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CPU Scheduling Simulator</w:t>
      </w:r>
    </w:p>
    <w:p>
      <w:pPr/>
      <w:r>
        <w:rPr>
          <w:color w:val="4B5561"/>
          <w:sz w:val="22"/>
        </w:rPr>
        <w:t>Project explanation and presentation pitch for an Operating Systems review</w:t>
      </w:r>
    </w:p>
    <w:p>
      <w:pPr>
        <w:pStyle w:val="Heading1"/>
      </w:pPr>
      <w:r>
        <w:t>Project purpose</w:t>
      </w:r>
    </w:p>
    <w:p>
      <w:pPr/>
      <w:r>
        <w:t>This browser-based project shows how CPU scheduling choices affect waiting time, response time, fairness, and utilization. A user enters processes, selects an optimization goal, and sees five standard algorithms alongside an explainable adaptive choice. The main contribution is the decision and verification layer: it reports which rule fired, why it fired, and when a measured competitor performs better.</w:t>
      </w:r>
    </w:p>
    <w:p>
      <w:pPr>
        <w:pStyle w:val="Heading1"/>
      </w:pPr>
      <w:r>
        <w:t>What the application does</w:t>
      </w:r>
    </w:p>
    <w:p>
      <w:pPr/>
      <w:r>
        <w:t>The simulator accepts manual rows, CSV files, presets, and random processes. It displays an interactive Gantt timeline with idle and context-switch intervals, step-by-step playback, per-process metrics, comparison charts, and CSV or JSON exports. The Evaluation page generates seeded workloads, searches selector thresholds, and lists cases where the rules made a worse choice.</w:t>
      </w:r>
    </w:p>
    <w:p>
      <w:pPr>
        <w:pStyle w:val="Heading1"/>
      </w:pPr>
      <w:r>
        <w:t>How the system is organized</w:t>
      </w:r>
    </w:p>
    <w:p>
      <w:pPr/>
      <w:r>
        <w:t>Input validation → pure JavaScript scheduling engine → metric and ranking calculations → React visualizations. The engine has no React or browser dependencies, so its decisions and timelines can be tested independently. The frontend uses React 18, Vite, Tailwind CSS, and Recharts; there is no backend.</w:t>
      </w:r>
    </w:p>
    <w:p>
      <w:pPr>
        <w:pStyle w:val="Heading1"/>
      </w:pPr>
      <w:r>
        <w:t>Five baseline scheduling algorithms</w:t>
      </w:r>
    </w:p>
    <w:tbl>
      <w:tblPr>
        <w:tblW w:type="auto" w:w="0"/>
        <w:jc w:val="center"/>
        <w:tblLayout w:type="fixed"/>
        <w:tblLook w:firstColumn="1" w:firstRow="1" w:lastColumn="0" w:lastRow="0" w:noHBand="0" w:noVBand="1" w:val="04A0"/>
      </w:tblPr>
      <w:tblGrid>
        <w:gridCol w:w="3202"/>
        <w:gridCol w:w="3202"/>
        <w:gridCol w:w="3202"/>
      </w:tblGrid>
      <w:tr>
        <w:trPr>
          <w:tblHeader/>
        </w:trPr>
        <w:tc>
          <w:tcPr>
            <w:tcW w:type="dxa" w:w="1699"/>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Algorithm</w:t>
            </w:r>
          </w:p>
        </w:tc>
        <w:tc>
          <w:tcPr>
            <w:tcW w:type="dxa" w:w="3571"/>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Decision rule</w:t>
            </w:r>
          </w:p>
        </w:tc>
        <w:tc>
          <w:tcPr>
            <w:tcW w:type="dxa" w:w="4262"/>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Key teaching point</w:t>
            </w:r>
          </w:p>
        </w:tc>
      </w:tr>
      <w:tr>
        <w:tc>
          <w:tcPr>
            <w:tcW w:type="dxa" w:w="1699"/>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FCFS</w:t>
            </w:r>
          </w:p>
        </w:tc>
        <w:tc>
          <w:tcPr>
            <w:tcW w:type="dxa" w:w="357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Earliest arrival runs first</w:t>
            </w:r>
          </w:p>
        </w:tc>
        <w:tc>
          <w:tcPr>
            <w:tcW w:type="dxa" w:w="426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Simple, but long jobs can delay short ones</w:t>
            </w:r>
          </w:p>
        </w:tc>
      </w:tr>
      <w:tr>
        <w:tc>
          <w:tcPr>
            <w:tcW w:type="dxa" w:w="1699"/>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SJF</w:t>
            </w:r>
          </w:p>
        </w:tc>
        <w:tc>
          <w:tcPr>
            <w:tcW w:type="dxa" w:w="357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Shortest ready burst runs to completion</w:t>
            </w:r>
          </w:p>
        </w:tc>
        <w:tc>
          <w:tcPr>
            <w:tcW w:type="dxa" w:w="426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Good average wait when bursts are known</w:t>
            </w:r>
          </w:p>
        </w:tc>
      </w:tr>
      <w:tr>
        <w:tc>
          <w:tcPr>
            <w:tcW w:type="dxa" w:w="1699"/>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SRTF</w:t>
            </w:r>
          </w:p>
        </w:tc>
        <w:tc>
          <w:tcPr>
            <w:tcW w:type="dxa" w:w="357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Shortest remaining burst can preempt</w:t>
            </w:r>
          </w:p>
        </w:tc>
        <w:tc>
          <w:tcPr>
            <w:tcW w:type="dxa" w:w="426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New short arrivals can interrupt a long job</w:t>
            </w:r>
          </w:p>
        </w:tc>
      </w:tr>
      <w:tr>
        <w:tc>
          <w:tcPr>
            <w:tcW w:type="dxa" w:w="1699"/>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Priority</w:t>
            </w:r>
          </w:p>
        </w:tc>
        <w:tc>
          <w:tcPr>
            <w:tcW w:type="dxa" w:w="357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Lowest priority number runs first</w:t>
            </w:r>
          </w:p>
        </w:tc>
        <w:tc>
          <w:tcPr>
            <w:tcW w:type="dxa" w:w="426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Aging can reduce starvation</w:t>
            </w:r>
          </w:p>
        </w:tc>
      </w:tr>
      <w:tr>
        <w:tc>
          <w:tcPr>
            <w:tcW w:type="dxa" w:w="1699"/>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Round Robin</w:t>
            </w:r>
          </w:p>
        </w:tc>
        <w:tc>
          <w:tcPr>
            <w:tcW w:type="dxa" w:w="357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Ready jobs rotate by quantum</w:t>
            </w:r>
          </w:p>
        </w:tc>
        <w:tc>
          <w:tcPr>
            <w:tcW w:type="dxa" w:w="426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Improves sharing and often initial response</w:t>
            </w:r>
          </w:p>
        </w:tc>
      </w:tr>
    </w:tbl>
    <w:p>
      <w:pPr>
        <w:spacing w:after="0"/>
      </w:pPr>
    </w:p>
    <w:p>
      <w:pPr/>
      <w:r>
        <w:t>The comparison runs all five on the same input, plus a separate adaptive run. Preemptive Priority is also implemented as an engine option; the baseline comparison uses non-preemptive Priority.</w:t>
      </w:r>
    </w:p>
    <w:p>
      <w:r>
        <w:br w:type="page"/>
      </w:r>
    </w:p>
    <w:p>
      <w:pPr>
        <w:pStyle w:val="Heading1"/>
      </w:pPr>
      <w:r>
        <w:t>Adaptive decision rules</w:t>
      </w:r>
    </w:p>
    <w:p>
      <w:pPr/>
      <w:r>
        <w:t>The selector computes burst coefficient of variation (CV), priority spread relative to a configured priority scale, and arrival spread relative to mean burst. With the waiting-time goal and default thresholds, the first matching rule applies:</w:t>
      </w:r>
    </w:p>
    <w:tbl>
      <w:tblPr>
        <w:tblW w:type="auto" w:w="0"/>
        <w:jc w:val="center"/>
        <w:tblLayout w:type="fixed"/>
        <w:tblLook w:firstColumn="1" w:firstRow="1" w:lastColumn="0" w:lastRow="0" w:noHBand="0" w:noVBand="1" w:val="04A0"/>
      </w:tblPr>
      <w:tblGrid>
        <w:gridCol w:w="3202"/>
        <w:gridCol w:w="3202"/>
        <w:gridCol w:w="3202"/>
      </w:tblGrid>
      <w:tr>
        <w:trPr>
          <w:tblHeader/>
        </w:trPr>
        <w:tc>
          <w:tcPr>
            <w:tcW w:type="dxa" w:w="2952"/>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Condition</w:t>
            </w:r>
          </w:p>
        </w:tc>
        <w:tc>
          <w:tcPr>
            <w:tcW w:type="dxa" w:w="3240"/>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Default choice</w:t>
            </w:r>
          </w:p>
        </w:tc>
        <w:tc>
          <w:tcPr>
            <w:tcW w:type="dxa" w:w="3341"/>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Why</w:t>
            </w:r>
          </w:p>
        </w:tc>
      </w:tr>
      <w:tr>
        <w:tc>
          <w:tcPr>
            <w:tcW w:type="dxa" w:w="295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Priority spread ≥ 0.40</w:t>
            </w:r>
          </w:p>
        </w:tc>
        <w:tc>
          <w:tcPr>
            <w:tcW w:type="dxa" w:w="32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Priority</w:t>
            </w:r>
          </w:p>
        </w:tc>
        <w:tc>
          <w:tcPr>
            <w:tcW w:type="dxa" w:w="334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Priority differences are prominent; high CV adds SJF tie-breaking</w:t>
            </w:r>
          </w:p>
        </w:tc>
      </w:tr>
      <w:tr>
        <w:tc>
          <w:tcPr>
            <w:tcW w:type="dxa" w:w="295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Burst CV ≥ 0.45</w:t>
            </w:r>
          </w:p>
        </w:tc>
        <w:tc>
          <w:tcPr>
            <w:tcW w:type="dxa" w:w="32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SRTF if arrival ratio ≥ 0.30; else SJF</w:t>
            </w:r>
          </w:p>
        </w:tc>
        <w:tc>
          <w:tcPr>
            <w:tcW w:type="dxa" w:w="334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High variation makes short jobs important</w:t>
            </w:r>
          </w:p>
        </w:tc>
      </w:tr>
      <w:tr>
        <w:tc>
          <w:tcPr>
            <w:tcW w:type="dxa" w:w="295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Burst CV &lt; 0.25</w:t>
            </w:r>
          </w:p>
        </w:tc>
        <w:tc>
          <w:tcPr>
            <w:tcW w:type="dxa" w:w="32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Round Robin</w:t>
            </w:r>
          </w:p>
        </w:tc>
        <w:tc>
          <w:tcPr>
            <w:tcW w:type="dxa" w:w="334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Similar bursts suit time sharing</w:t>
            </w:r>
          </w:p>
        </w:tc>
      </w:tr>
      <w:tr>
        <w:tc>
          <w:tcPr>
            <w:tcW w:type="dxa" w:w="295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Otherwise</w:t>
            </w:r>
          </w:p>
        </w:tc>
        <w:tc>
          <w:tcPr>
            <w:tcW w:type="dxa" w:w="32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SJF</w:t>
            </w:r>
          </w:p>
        </w:tc>
        <w:tc>
          <w:tcPr>
            <w:tcW w:type="dxa" w:w="3341"/>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Moderate-variation fallback</w:t>
            </w:r>
          </w:p>
        </w:tc>
      </w:tr>
    </w:tbl>
    <w:p>
      <w:pPr>
        <w:spacing w:after="0"/>
      </w:pPr>
    </w:p>
    <w:p>
      <w:pPr/>
      <w:r>
        <w:t>The response and fairness goals adjust these branches. A hybrid verification step simulates the chosen algorithm and three competitors. If a competitor exceeds the configured improvement margin, the UI shows a warning; it does not silently replace the rule-based choice. All thresholds are centralized in the engine configuration.</w:t>
      </w:r>
    </w:p>
    <w:p>
      <w:pPr>
        <w:pStyle w:val="Heading1"/>
      </w:pPr>
      <w:r>
        <w:t>How results are judged</w:t>
      </w:r>
    </w:p>
    <w:p>
      <w:pPr/>
      <w:r>
        <w:t>Per-process turnaround = completion − arrival; waiting = turnaround − burst; response = first start − arrival. The app also reports averages, throughput, makespan, maximum wait, CPU utilization, and Jain’s index for equality of waiting times. Explicit IDLE and context-switch intervals count against utilization.</w:t>
      </w:r>
    </w:p>
    <w:p>
      <w:pPr>
        <w:pStyle w:val="Heading1"/>
      </w:pPr>
      <w:r>
        <w:t>Evaluation on 50 generated workloads</w:t>
      </w:r>
    </w:p>
    <w:p>
      <w:pPr/>
      <w:r>
        <w:t>With seed 2026, the same 50 synthetic workloads were evaluated separately for each goal. Agreement means the selected algorithm tied for the best score among five fixed algorithms. These are in-sample tuning results, not an estimate of performance on unseen workloads.</w:t>
      </w:r>
    </w:p>
    <w:tbl>
      <w:tblPr>
        <w:tblW w:type="auto" w:w="0"/>
        <w:jc w:val="center"/>
        <w:tblLayout w:type="fixed"/>
        <w:tblLook w:firstColumn="1" w:firstRow="1" w:lastColumn="0" w:lastRow="0" w:noHBand="0" w:noVBand="1" w:val="04A0"/>
      </w:tblPr>
      <w:tblGrid>
        <w:gridCol w:w="2401"/>
        <w:gridCol w:w="2401"/>
        <w:gridCol w:w="2401"/>
        <w:gridCol w:w="2401"/>
      </w:tblGrid>
      <w:tr>
        <w:trPr>
          <w:tblHeader/>
        </w:trPr>
        <w:tc>
          <w:tcPr>
            <w:tcW w:type="dxa" w:w="3024"/>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Goal</w:t>
            </w:r>
          </w:p>
        </w:tc>
        <w:tc>
          <w:tcPr>
            <w:tcW w:type="dxa" w:w="2232"/>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Default agreement</w:t>
            </w:r>
          </w:p>
        </w:tc>
        <w:tc>
          <w:tcPr>
            <w:tcW w:type="dxa" w:w="2232"/>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Tuned agreement</w:t>
            </w:r>
          </w:p>
        </w:tc>
        <w:tc>
          <w:tcPr>
            <w:tcW w:type="dxa" w:w="2045"/>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Tuned failures</w:t>
            </w:r>
          </w:p>
        </w:tc>
      </w:tr>
      <w:tr>
        <w:tc>
          <w:tcPr>
            <w:tcW w:type="dxa" w:w="3024"/>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Average waiting</w:t>
            </w:r>
          </w:p>
        </w:tc>
        <w:tc>
          <w:tcPr>
            <w:tcW w:type="dxa" w:w="223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18% (9/50)</w:t>
            </w:r>
          </w:p>
        </w:tc>
        <w:tc>
          <w:tcPr>
            <w:tcW w:type="dxa" w:w="223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90% (45/50)</w:t>
            </w:r>
          </w:p>
        </w:tc>
        <w:tc>
          <w:tcPr>
            <w:tcW w:type="dxa" w:w="2045"/>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5</w:t>
            </w:r>
          </w:p>
        </w:tc>
      </w:tr>
      <w:tr>
        <w:tc>
          <w:tcPr>
            <w:tcW w:type="dxa" w:w="3024"/>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Average response</w:t>
            </w:r>
          </w:p>
        </w:tc>
        <w:tc>
          <w:tcPr>
            <w:tcW w:type="dxa" w:w="223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18% (9/50)</w:t>
            </w:r>
          </w:p>
        </w:tc>
        <w:tc>
          <w:tcPr>
            <w:tcW w:type="dxa" w:w="223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62% (31/50)</w:t>
            </w:r>
          </w:p>
        </w:tc>
        <w:tc>
          <w:tcPr>
            <w:tcW w:type="dxa" w:w="2045"/>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19</w:t>
            </w:r>
          </w:p>
        </w:tc>
      </w:tr>
      <w:tr>
        <w:tc>
          <w:tcPr>
            <w:tcW w:type="dxa" w:w="3024"/>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Waiting fairness</w:t>
            </w:r>
          </w:p>
        </w:tc>
        <w:tc>
          <w:tcPr>
            <w:tcW w:type="dxa" w:w="223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32% (16/50)</w:t>
            </w:r>
          </w:p>
        </w:tc>
        <w:tc>
          <w:tcPr>
            <w:tcW w:type="dxa" w:w="2232"/>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80% (40/50)</w:t>
            </w:r>
          </w:p>
        </w:tc>
        <w:tc>
          <w:tcPr>
            <w:tcW w:type="dxa" w:w="2045"/>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10</w:t>
            </w:r>
          </w:p>
        </w:tc>
      </w:tr>
    </w:tbl>
    <w:p>
      <w:pPr>
        <w:spacing w:after="0"/>
      </w:pPr>
    </w:p>
    <w:p>
      <w:pPr/>
      <w:r>
        <w:t>The search selected priorityHigh 1.05, cvHigh 0.35, cvLow 0.15, and staggered 0.20. Because the automatic observed priority spread ratio is at most 1, priorityHigh 1.05 effectively disables the priority branch in this sample. This result should be checked on other seeds before generalizing.</w:t>
      </w:r>
    </w:p>
    <w:p>
      <w:pPr>
        <w:pStyle w:val="Heading1"/>
      </w:pPr>
      <w:r>
        <w:t>Verification and limits</w:t>
      </w:r>
    </w:p>
    <w:p>
      <w:pPr/>
      <w:r>
        <w:t>The final suite passed 165 tests across 31 files. Engine coverage reached 96.82% of lines, 93.98% of branches, and 100% of functions. Tests include 500 deterministic random workloads per scheduler, invalid inputs, large idle gaps, and a 120-process case. The model assumes one CPU, integer time, and known bursts; it does not simulate I/O blocking, deadlines, or multicore execution. Jain’s index measures equal waits, which does not mean waits are short.</w:t>
      </w:r>
    </w:p>
    <w:p>
      <w:r>
        <w:br w:type="page"/>
      </w:r>
    </w:p>
    <w:p>
      <w:pPr>
        <w:pStyle w:val="Heading1"/>
      </w:pPr>
      <w:r>
        <w:t>Presentation pitch</w:t>
      </w:r>
    </w:p>
    <w:p>
      <w:pPr>
        <w:pStyle w:val="Heading2"/>
      </w:pPr>
      <w:r>
        <w:t>Ninety second spoken version</w:t>
      </w:r>
    </w:p>
    <w:p>
      <w:pPr/>
      <w:r>
        <w:t>Good morning, Professor. My project is an Adaptive CPU Scheduling Simulator. CPU scheduling is usually taught one algorithm at a time, which makes it hard to see why a choice works for one workload and fails for another. This application lets us enter the same processes once, then compare FCFS, SJF, SRTF, Priority, and Round Robin side by side.</w:t>
      </w:r>
    </w:p>
    <w:p>
      <w:pPr/>
      <w:r>
        <w:t>The core is a pure JavaScript scheduling engine. It builds Gantt timelines, calculates waiting, turnaround, response, utilization, throughput, and fairness, and checks the same input under each algorithm. On top of that, an adaptive selector examines burst variation, arrival spacing, and priority spread. It picks an algorithm through explicit rules and displays the numbers behind that decision. It also warns us when a simulated competitor is materially better, so a weak choice stays visible and explainable.</w:t>
      </w:r>
    </w:p>
    <w:p>
      <w:pPr/>
      <w:r>
        <w:t>I evaluated the selector on 50 reproducible generated workloads. After tuning the thresholds on that same sample, agreement with the best fixed scheduler rose from 18 to 90 percent for waiting time, from 18 to 62 percent for response time, and from 32 to 80 percent for fairness. Those are in-sample results; the failure cases are available in the app. The project demonstrates both scheduling behavior and how to test the limits of an adaptive rule.</w:t>
      </w:r>
    </w:p>
    <w:p>
      <w:pPr>
        <w:pStyle w:val="Heading2"/>
      </w:pPr>
      <w:r>
        <w:t>Thirty second version</w:t>
      </w:r>
    </w:p>
    <w:p>
      <w:pPr/>
      <w:r>
        <w:t>I built a browser simulator that compares five CPU scheduling algorithms on identical processes and then explains an adaptive selection. It shows Gantt charts, timing metrics, fairness, and a warning when another algorithm performs better. I tested the engine with 165 passing tests and evaluated the selector on 50 seeded workloads. The key learning is that scheduling depends on the workload, and an explainable rule should be checked against measured outcomes.</w:t>
      </w:r>
    </w:p>
    <w:p>
      <w:pPr>
        <w:pStyle w:val="Heading2"/>
      </w:pPr>
      <w:r>
        <w:t>Two minute live demonstration</w:t>
      </w:r>
    </w:p>
    <w:tbl>
      <w:tblPr>
        <w:tblW w:type="auto" w:w="0"/>
        <w:jc w:val="center"/>
        <w:tblLayout w:type="fixed"/>
        <w:tblLook w:firstColumn="1" w:firstRow="1" w:lastColumn="0" w:lastRow="0" w:noHBand="0" w:noVBand="1" w:val="04A0"/>
      </w:tblPr>
      <w:tblGrid>
        <w:gridCol w:w="4802"/>
        <w:gridCol w:w="4802"/>
      </w:tblGrid>
      <w:tr>
        <w:trPr>
          <w:tblHeader/>
        </w:trPr>
        <w:tc>
          <w:tcPr>
            <w:tcW w:type="dxa" w:w="893"/>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Step</w:t>
            </w:r>
          </w:p>
        </w:tc>
        <w:tc>
          <w:tcPr>
            <w:tcW w:type="dxa" w:w="8640"/>
            <w:vAlign w:val="center"/>
            <w:shd w:fill="21364C"/>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pPr>
            <w:r>
              <w:rPr>
                <w:b/>
                <w:color w:val="FFFFFF"/>
                <w:sz w:val="18"/>
              </w:rPr>
              <w:t>Action and line to say</w:t>
            </w:r>
          </w:p>
        </w:tc>
      </w:tr>
      <w:tr>
        <w:tc>
          <w:tcPr>
            <w:tcW w:type="dxa" w:w="893"/>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1</w:t>
            </w:r>
          </w:p>
        </w:tc>
        <w:tc>
          <w:tcPr>
            <w:tcW w:type="dxa" w:w="86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Load Staggered high variance. Point out P1 at time 0 and short arrivals at 3 and 6.</w:t>
            </w:r>
          </w:p>
        </w:tc>
      </w:tr>
      <w:tr>
        <w:tc>
          <w:tcPr>
            <w:tcW w:type="dxa" w:w="893"/>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2</w:t>
            </w:r>
          </w:p>
        </w:tc>
        <w:tc>
          <w:tcPr>
            <w:tcW w:type="dxa" w:w="86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Run simulation. Show CV about 1.06 and arrival ratio 0.75; the rule selects SRTF.</w:t>
            </w:r>
          </w:p>
        </w:tc>
      </w:tr>
      <w:tr>
        <w:tc>
          <w:tcPr>
            <w:tcW w:type="dxa" w:w="893"/>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3</w:t>
            </w:r>
          </w:p>
        </w:tc>
        <w:tc>
          <w:tcPr>
            <w:tcW w:type="dxa" w:w="86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Step through the Gantt timeline. Explain that a newly arrived short job preempts P1.</w:t>
            </w:r>
          </w:p>
        </w:tc>
      </w:tr>
      <w:tr>
        <w:tc>
          <w:tcPr>
            <w:tcW w:type="dxa" w:w="893"/>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4</w:t>
            </w:r>
          </w:p>
        </w:tc>
        <w:tc>
          <w:tcPr>
            <w:tcW w:type="dxa" w:w="86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shd w:fill="F2F5F8"/>
          </w:tcPr>
          <w:p>
            <w:pPr>
              <w:spacing w:after="0" w:line="259" w:lineRule="auto"/>
            </w:pPr>
            <w:r>
              <w:rPr>
                <w:sz w:val="17"/>
              </w:rPr>
              <w:t>Open the comparison results. Compare average wait and response, then note any verification warning.</w:t>
            </w:r>
          </w:p>
        </w:tc>
      </w:tr>
      <w:tr>
        <w:tc>
          <w:tcPr>
            <w:tcW w:type="dxa" w:w="893"/>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5</w:t>
            </w:r>
          </w:p>
        </w:tc>
        <w:tc>
          <w:tcPr>
            <w:tcW w:type="dxa" w:w="8640"/>
            <w:vAlign w:val="center"/>
            <w:tcBorders>
              <w:top w:val="single" w:sz="4" w:color="D9D9D9"/>
              <w:left w:val="single" w:sz="4" w:color="D9D9D9"/>
              <w:bottom w:val="single" w:sz="4" w:color="D9D9D9"/>
              <w:right w:val="single" w:sz="4" w:color="D9D9D9"/>
            </w:tcBorders>
            <w:tcMar>
              <w:top w:w="100" w:type="dxa"/>
              <w:bottom w:w="100" w:type="dxa"/>
              <w:left w:w="120" w:type="dxa"/>
              <w:right w:w="120" w:type="dxa"/>
            </w:tcMar>
          </w:tcPr>
          <w:p>
            <w:pPr>
              <w:spacing w:after="0" w:line="259" w:lineRule="auto"/>
            </w:pPr>
            <w:r>
              <w:rPr>
                <w:sz w:val="17"/>
              </w:rPr>
              <w:t>Switch to Evaluation. Show the 50-workload summary and one failure case; state that tuning used the same sample.</w:t>
            </w:r>
          </w:p>
        </w:tc>
      </w:tr>
    </w:tbl>
    <w:p>
      <w:pPr>
        <w:spacing w:after="0"/>
      </w:pPr>
    </w:p>
    <w:p>
      <w:pPr>
        <w:pStyle w:val="Heading2"/>
      </w:pPr>
      <w:r>
        <w:t>Likely questions</w:t>
      </w:r>
    </w:p>
    <w:p>
      <w:pPr/>
      <w:r>
        <w:t>Why does a lower priority number run first? It is the project’s stated convention and is applied consistently. Why can the adaptive pick lose? The rules are deliberately interpretable heuristics; the verification warning and failure list expose exceptions. What would improve the evaluation? Test tuned thresholds on new seeds and real workloads, then compare out-of-sample agreement and regret.</w:t>
      </w:r>
    </w:p>
    <w:sectPr w:rsidR="00FC693F" w:rsidRPr="0006063C" w:rsidSect="00034616">
      <w:footerReference w:type="default" r:id="rId9"/>
      <w:pgSz w:w="11909" w:h="16834"/>
      <w:pgMar w:top="1066"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D67"/>
        <w:sz w:val="16"/>
      </w:rPr>
      <w:t xml:space="preserve">Adaptive CPU Scheduling Simulator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Aptos" w:hAnsi="Aptos"/>
      <w:color w:val="191F2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