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bookmarkStart w:id="0" w:name="_GoBack"/>
      <w:bookmarkEnd w:id="0"/>
      <w:r>
        <w:drawing>
          <wp:inline distT="0" distB="0" distL="114300" distR="114300">
            <wp:extent cx="1920240" cy="48387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1920240" cy="483900"/>
                    </a:xfrm>
                    <a:prstGeom prst="rect">
                      <a:avLst/>
                    </a:prstGeom>
                  </pic:spPr>
                </pic:pic>
              </a:graphicData>
            </a:graphic>
          </wp:inline>
        </w:drawing>
      </w:r>
    </w:p>
    <w:p>
      <w:pPr>
        <w:spacing w:before="280"/>
        <w:jc w:val="center"/>
      </w:pPr>
      <w:r>
        <w:rPr>
          <w:b/>
          <w:color w:val="141F18"/>
          <w:sz w:val="52"/>
        </w:rPr>
        <w:t>COST PROPOSAL</w:t>
      </w:r>
    </w:p>
    <w:p>
      <w:pPr>
        <w:jc w:val="center"/>
      </w:pPr>
      <w:r>
        <w:rPr>
          <w:color w:val="5A5A5A"/>
          <w:sz w:val="28"/>
        </w:rPr>
        <w:t>Guest Wayfinding Dashboard — Club Mahindra Resorts</w:t>
      </w:r>
    </w:p>
    <w:p>
      <w:pPr>
        <w:spacing w:before="200"/>
        <w:jc w:val="center"/>
      </w:pPr>
      <w:r>
        <w:rPr>
          <w:i/>
          <w:color w:val="5A5A5A"/>
          <w:sz w:val="21"/>
        </w:rPr>
        <w:t>Prepared for client review · Two pricing models included</w:t>
      </w:r>
    </w:p>
    <w:p/>
    <w:p>
      <w:pPr>
        <w:spacing w:after="160"/>
      </w:pPr>
      <w:r>
        <w:rPr>
          <w:b w:val="0"/>
          <w:i/>
          <w:color w:val="5A5A5A"/>
          <w:sz w:val="21"/>
        </w:rPr>
        <w:t>This document presents two ways to price the Guest Wayfinding Dashboard project: (1) a single one-time cost covering the full project, and (2) a modular model that splits costs into per-resort development plus an ongoing subscription. All figures include development effort and cloud infrastructure (AWS/Azure) costs — nothing is billed separately unless explicitly marked as optional.</w:t>
      </w:r>
    </w:p>
    <w:p>
      <w:pPr>
        <w:spacing w:after="160"/>
      </w:pPr>
      <w:r>
        <w:rPr>
          <w:b w:val="0"/>
          <w:i/>
          <w:color w:val="5A5A5A"/>
          <w:sz w:val="21"/>
        </w:rPr>
        <w:t>Note: cloud hosting for this application is inherently low-cost (the site is lightweight and served through a content delivery network), so the pricing below reflects development, mapping, maintenance, and support effort — not a markup on the cloud bill.</w:t>
      </w:r>
    </w:p>
    <w:p>
      <w:r>
        <w:br w:type="page"/>
      </w:r>
    </w:p>
    <w:p>
      <w:pPr>
        <w:pBdr>
          <w:bottom w:val="single" w:color="D98A2B" w:sz="10" w:space="4"/>
        </w:pBdr>
        <w:spacing w:before="360" w:after="160"/>
      </w:pPr>
      <w:r>
        <w:rPr>
          <w:b/>
          <w:color w:val="141F18"/>
          <w:sz w:val="34"/>
        </w:rPr>
        <w:t>Way 1 — Direct One-Time Project Cost</w:t>
      </w:r>
    </w:p>
    <w:p>
      <w:pPr>
        <w:spacing w:after="160"/>
      </w:pPr>
      <w:r>
        <w:rPr>
          <w:b w:val="0"/>
          <w:i w:val="0"/>
          <w:color w:val="222222"/>
          <w:sz w:val="21"/>
        </w:rPr>
        <w:t>A single lump-sum payment covering the platform exactly as it stands today: the resort finder dashboard, the full 2D/3D interactive map engine, GPS-based live location, wayfinding and routing, the "Nearby Places" feature, sign-in gate, and all device-compatibility work — plus first-year cloud hosting. This is a "pay once, own it" model.</w:t>
      </w:r>
    </w:p>
    <w:p>
      <w:pPr>
        <w:spacing w:before="240" w:after="80"/>
      </w:pPr>
      <w:r>
        <w:rPr>
          <w:b/>
          <w:color w:val="D98A2B"/>
          <w:sz w:val="25"/>
        </w:rPr>
        <w:t>A. Development Cost</w:t>
      </w:r>
    </w:p>
    <w:tbl>
      <w:tblPr>
        <w:tblStyle w:val="36"/>
        <w:tblW w:w="100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3"/>
        <w:gridCol w:w="50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1B2A20"/>
            <w:vAlign w:val="center"/>
          </w:tcPr>
          <w:p>
            <w:pPr>
              <w:spacing w:after="0" w:line="240" w:lineRule="auto"/>
              <w:jc w:val="left"/>
            </w:pPr>
            <w:r>
              <w:rPr>
                <w:b/>
                <w:color w:val="FFFFFF"/>
                <w:sz w:val="20"/>
              </w:rPr>
              <w:t>Item</w:t>
            </w:r>
          </w:p>
        </w:tc>
        <w:tc>
          <w:tcPr>
            <w:tcW w:w="5043" w:type="dxa"/>
            <w:shd w:val="clear" w:color="auto" w:fill="1B2A20"/>
            <w:vAlign w:val="center"/>
          </w:tcPr>
          <w:p>
            <w:pPr>
              <w:spacing w:after="0" w:line="240" w:lineRule="auto"/>
              <w:jc w:val="right"/>
            </w:pPr>
            <w:r>
              <w:rPr>
                <w:b/>
                <w:color w:val="FFFFFF"/>
                <w:sz w:val="20"/>
              </w:rPr>
              <w:t>Cost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FFFFF"/>
            <w:vAlign w:val="center"/>
          </w:tcPr>
          <w:p>
            <w:pPr>
              <w:spacing w:after="0" w:line="240" w:lineRule="auto"/>
              <w:jc w:val="left"/>
            </w:pPr>
            <w:r>
              <w:rPr>
                <w:b w:val="0"/>
                <w:color w:val="222222"/>
                <w:sz w:val="20"/>
              </w:rPr>
              <w:t>UI/UX Design (dashboard, map styling, sign-in page, responsive design)</w:t>
            </w:r>
          </w:p>
        </w:tc>
        <w:tc>
          <w:tcPr>
            <w:tcW w:w="5043" w:type="dxa"/>
            <w:shd w:val="clear" w:color="auto" w:fill="FFFFFF"/>
            <w:vAlign w:val="center"/>
          </w:tcPr>
          <w:p>
            <w:pPr>
              <w:spacing w:after="0" w:line="240" w:lineRule="auto"/>
              <w:jc w:val="right"/>
            </w:pPr>
            <w:r>
              <w:rPr>
                <w:b/>
                <w:color w:val="222222"/>
                <w:sz w:val="20"/>
              </w:rPr>
              <w:t>50,000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4EFE3"/>
            <w:vAlign w:val="center"/>
          </w:tcPr>
          <w:p>
            <w:pPr>
              <w:spacing w:after="0" w:line="240" w:lineRule="auto"/>
              <w:jc w:val="left"/>
            </w:pPr>
            <w:r>
              <w:rPr>
                <w:b w:val="0"/>
                <w:color w:val="222222"/>
                <w:sz w:val="20"/>
              </w:rPr>
              <w:t>Frontend Development (dashboard, wayfinding UI, cross-device engineering)</w:t>
            </w:r>
          </w:p>
        </w:tc>
        <w:tc>
          <w:tcPr>
            <w:tcW w:w="5043" w:type="dxa"/>
            <w:shd w:val="clear" w:color="auto" w:fill="F4EFE3"/>
            <w:vAlign w:val="center"/>
          </w:tcPr>
          <w:p>
            <w:pPr>
              <w:spacing w:after="0" w:line="240" w:lineRule="auto"/>
              <w:jc w:val="right"/>
            </w:pPr>
            <w:r>
              <w:rPr>
                <w:b/>
                <w:color w:val="222222"/>
                <w:sz w:val="20"/>
              </w:rPr>
              <w:t>1,75,000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FFFFF"/>
            <w:vAlign w:val="center"/>
          </w:tcPr>
          <w:p>
            <w:pPr>
              <w:spacing w:after="0" w:line="240" w:lineRule="auto"/>
              <w:jc w:val="left"/>
            </w:pPr>
            <w:r>
              <w:rPr>
                <w:b w:val="0"/>
                <w:color w:val="222222"/>
                <w:sz w:val="20"/>
              </w:rPr>
              <w:t>2D/3D Map Rendering Engine (SVG engine, pathfinding, Three.js 3D view)</w:t>
            </w:r>
          </w:p>
        </w:tc>
        <w:tc>
          <w:tcPr>
            <w:tcW w:w="5043" w:type="dxa"/>
            <w:shd w:val="clear" w:color="auto" w:fill="FFFFFF"/>
            <w:vAlign w:val="center"/>
          </w:tcPr>
          <w:p>
            <w:pPr>
              <w:spacing w:after="0" w:line="240" w:lineRule="auto"/>
              <w:jc w:val="right"/>
            </w:pPr>
            <w:r>
              <w:rPr>
                <w:b/>
                <w:color w:val="222222"/>
                <w:sz w:val="20"/>
              </w:rPr>
              <w:t>3,00,000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4EFE3"/>
            <w:vAlign w:val="center"/>
          </w:tcPr>
          <w:p>
            <w:pPr>
              <w:spacing w:after="0" w:line="240" w:lineRule="auto"/>
              <w:jc w:val="left"/>
            </w:pPr>
            <w:r>
              <w:rPr>
                <w:b w:val="0"/>
                <w:color w:val="222222"/>
                <w:sz w:val="20"/>
              </w:rPr>
              <w:t>GPS Calibration &amp; Geofencing System</w:t>
            </w:r>
          </w:p>
        </w:tc>
        <w:tc>
          <w:tcPr>
            <w:tcW w:w="5043" w:type="dxa"/>
            <w:shd w:val="clear" w:color="auto" w:fill="F4EFE3"/>
            <w:vAlign w:val="center"/>
          </w:tcPr>
          <w:p>
            <w:pPr>
              <w:spacing w:after="0" w:line="240" w:lineRule="auto"/>
              <w:jc w:val="right"/>
            </w:pPr>
            <w:r>
              <w:rPr>
                <w:b/>
                <w:color w:val="222222"/>
                <w:sz w:val="20"/>
              </w:rPr>
              <w:t>65,000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FFFFF"/>
            <w:vAlign w:val="center"/>
          </w:tcPr>
          <w:p>
            <w:pPr>
              <w:spacing w:after="0" w:line="240" w:lineRule="auto"/>
              <w:jc w:val="left"/>
            </w:pPr>
            <w:r>
              <w:rPr>
                <w:b w:val="0"/>
                <w:color w:val="222222"/>
                <w:sz w:val="20"/>
              </w:rPr>
              <w:t>Backend/API Development (sign-in gate, hooks for future PMS integration)</w:t>
            </w:r>
          </w:p>
        </w:tc>
        <w:tc>
          <w:tcPr>
            <w:tcW w:w="5043" w:type="dxa"/>
            <w:shd w:val="clear" w:color="auto" w:fill="FFFFFF"/>
            <w:vAlign w:val="center"/>
          </w:tcPr>
          <w:p>
            <w:pPr>
              <w:spacing w:after="0" w:line="240" w:lineRule="auto"/>
              <w:jc w:val="right"/>
            </w:pPr>
            <w:r>
              <w:rPr>
                <w:b/>
                <w:color w:val="222222"/>
                <w:sz w:val="20"/>
              </w:rPr>
              <w:t>1,25,000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4EFE3"/>
            <w:vAlign w:val="center"/>
          </w:tcPr>
          <w:p>
            <w:pPr>
              <w:spacing w:after="0" w:line="240" w:lineRule="auto"/>
              <w:jc w:val="left"/>
            </w:pPr>
            <w:r>
              <w:rPr>
                <w:b w:val="0"/>
                <w:color w:val="222222"/>
                <w:sz w:val="20"/>
              </w:rPr>
              <w:t>Initial Resort Mapping — 4 resorts @ ₹25,000 each</w:t>
            </w:r>
          </w:p>
        </w:tc>
        <w:tc>
          <w:tcPr>
            <w:tcW w:w="5043" w:type="dxa"/>
            <w:shd w:val="clear" w:color="auto" w:fill="F4EFE3"/>
            <w:vAlign w:val="center"/>
          </w:tcPr>
          <w:p>
            <w:pPr>
              <w:spacing w:after="0" w:line="240" w:lineRule="auto"/>
              <w:jc w:val="right"/>
            </w:pPr>
            <w:r>
              <w:rPr>
                <w:b/>
                <w:color w:val="222222"/>
                <w:sz w:val="20"/>
              </w:rPr>
              <w:t>1,00,000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FFFFF"/>
            <w:vAlign w:val="center"/>
          </w:tcPr>
          <w:p>
            <w:pPr>
              <w:spacing w:after="0" w:line="240" w:lineRule="auto"/>
              <w:jc w:val="left"/>
            </w:pPr>
            <w:r>
              <w:rPr>
                <w:b w:val="0"/>
                <w:color w:val="222222"/>
                <w:sz w:val="20"/>
              </w:rPr>
              <w:t>QA &amp; Cross-Device/Browser Testing</w:t>
            </w:r>
          </w:p>
        </w:tc>
        <w:tc>
          <w:tcPr>
            <w:tcW w:w="5043" w:type="dxa"/>
            <w:shd w:val="clear" w:color="auto" w:fill="FFFFFF"/>
            <w:vAlign w:val="center"/>
          </w:tcPr>
          <w:p>
            <w:pPr>
              <w:spacing w:after="0" w:line="240" w:lineRule="auto"/>
              <w:jc w:val="right"/>
            </w:pPr>
            <w:r>
              <w:rPr>
                <w:b/>
                <w:color w:val="222222"/>
                <w:sz w:val="20"/>
              </w:rPr>
              <w:t>65,000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4EFE3"/>
            <w:vAlign w:val="center"/>
          </w:tcPr>
          <w:p>
            <w:pPr>
              <w:spacing w:after="0" w:line="240" w:lineRule="auto"/>
              <w:jc w:val="left"/>
            </w:pPr>
            <w:r>
              <w:rPr>
                <w:b w:val="0"/>
                <w:color w:val="222222"/>
                <w:sz w:val="20"/>
              </w:rPr>
              <w:t>Project Management &amp; Coordination</w:t>
            </w:r>
          </w:p>
        </w:tc>
        <w:tc>
          <w:tcPr>
            <w:tcW w:w="5043" w:type="dxa"/>
            <w:shd w:val="clear" w:color="auto" w:fill="F4EFE3"/>
            <w:vAlign w:val="center"/>
          </w:tcPr>
          <w:p>
            <w:pPr>
              <w:spacing w:after="0" w:line="240" w:lineRule="auto"/>
              <w:jc w:val="right"/>
            </w:pPr>
            <w:r>
              <w:rPr>
                <w:b/>
                <w:color w:val="222222"/>
                <w:sz w:val="20"/>
              </w:rPr>
              <w:t>50,000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FFFFF"/>
            <w:vAlign w:val="center"/>
          </w:tcPr>
          <w:p>
            <w:pPr>
              <w:spacing w:after="0" w:line="240" w:lineRule="auto"/>
              <w:jc w:val="left"/>
            </w:pPr>
            <w:r>
              <w:rPr>
                <w:b w:val="0"/>
                <w:color w:val="222222"/>
                <w:sz w:val="20"/>
              </w:rPr>
              <w:t>Documentation &amp; Handover</w:t>
            </w:r>
          </w:p>
        </w:tc>
        <w:tc>
          <w:tcPr>
            <w:tcW w:w="5043" w:type="dxa"/>
            <w:shd w:val="clear" w:color="auto" w:fill="FFFFFF"/>
            <w:vAlign w:val="center"/>
          </w:tcPr>
          <w:p>
            <w:pPr>
              <w:spacing w:after="0" w:line="240" w:lineRule="auto"/>
              <w:jc w:val="right"/>
            </w:pPr>
            <w:r>
              <w:rPr>
                <w:b/>
                <w:color w:val="222222"/>
                <w:sz w:val="20"/>
              </w:rPr>
              <w:t>25,000</w:t>
            </w:r>
          </w:p>
        </w:tc>
      </w:tr>
    </w:tbl>
    <w:p>
      <w:pPr>
        <w:spacing w:after="40"/>
      </w:pPr>
    </w:p>
    <w:p>
      <w:pPr>
        <w:spacing w:after="200"/>
      </w:pPr>
      <w:r>
        <w:rPr>
          <w:b/>
          <w:i w:val="0"/>
          <w:color w:val="222222"/>
          <w:sz w:val="21"/>
        </w:rPr>
        <w:t>Subtotal — Development: ₹9,55,000</w:t>
      </w:r>
    </w:p>
    <w:p>
      <w:pPr>
        <w:spacing w:before="240" w:after="80"/>
      </w:pPr>
      <w:r>
        <w:rPr>
          <w:b/>
          <w:color w:val="D98A2B"/>
          <w:sz w:val="25"/>
        </w:rPr>
        <w:t>B. Cloud Infrastructure Cost (AWS or Azure) — Year 1</w:t>
      </w:r>
    </w:p>
    <w:tbl>
      <w:tblPr>
        <w:tblStyle w:val="36"/>
        <w:tblW w:w="100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3"/>
        <w:gridCol w:w="50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1B2A20"/>
            <w:vAlign w:val="center"/>
          </w:tcPr>
          <w:p>
            <w:pPr>
              <w:spacing w:after="0" w:line="240" w:lineRule="auto"/>
              <w:jc w:val="left"/>
            </w:pPr>
            <w:r>
              <w:rPr>
                <w:b/>
                <w:color w:val="FFFFFF"/>
                <w:sz w:val="20"/>
              </w:rPr>
              <w:t>Item</w:t>
            </w:r>
          </w:p>
        </w:tc>
        <w:tc>
          <w:tcPr>
            <w:tcW w:w="5043" w:type="dxa"/>
            <w:shd w:val="clear" w:color="auto" w:fill="1B2A20"/>
            <w:vAlign w:val="center"/>
          </w:tcPr>
          <w:p>
            <w:pPr>
              <w:spacing w:after="0" w:line="240" w:lineRule="auto"/>
              <w:jc w:val="right"/>
            </w:pPr>
            <w:r>
              <w:rPr>
                <w:b/>
                <w:color w:val="FFFFFF"/>
                <w:sz w:val="20"/>
              </w:rPr>
              <w:t>Cost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FFFFF"/>
            <w:vAlign w:val="center"/>
          </w:tcPr>
          <w:p>
            <w:pPr>
              <w:spacing w:after="0" w:line="240" w:lineRule="auto"/>
              <w:jc w:val="left"/>
            </w:pPr>
            <w:r>
              <w:rPr>
                <w:b w:val="0"/>
                <w:color w:val="222222"/>
                <w:sz w:val="20"/>
              </w:rPr>
              <w:t>Cloud architecture setup &amp; configuration (one-time)</w:t>
            </w:r>
          </w:p>
        </w:tc>
        <w:tc>
          <w:tcPr>
            <w:tcW w:w="5043" w:type="dxa"/>
            <w:shd w:val="clear" w:color="auto" w:fill="FFFFFF"/>
            <w:vAlign w:val="center"/>
          </w:tcPr>
          <w:p>
            <w:pPr>
              <w:spacing w:after="0" w:line="240" w:lineRule="auto"/>
              <w:jc w:val="right"/>
            </w:pPr>
            <w:r>
              <w:rPr>
                <w:b/>
                <w:color w:val="222222"/>
                <w:sz w:val="20"/>
              </w:rPr>
              <w:t>15,000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4EFE3"/>
            <w:vAlign w:val="center"/>
          </w:tcPr>
          <w:p>
            <w:pPr>
              <w:spacing w:after="0" w:line="240" w:lineRule="auto"/>
              <w:jc w:val="left"/>
            </w:pPr>
            <w:r>
              <w:rPr>
                <w:b w:val="0"/>
                <w:color w:val="222222"/>
                <w:sz w:val="20"/>
              </w:rPr>
              <w:t>Hosting &amp; CDN — Year 1 (usage-based; within free tier at expected traffic)</w:t>
            </w:r>
          </w:p>
        </w:tc>
        <w:tc>
          <w:tcPr>
            <w:tcW w:w="5043" w:type="dxa"/>
            <w:shd w:val="clear" w:color="auto" w:fill="F4EFE3"/>
            <w:vAlign w:val="center"/>
          </w:tcPr>
          <w:p>
            <w:pPr>
              <w:spacing w:after="0" w:line="240" w:lineRule="auto"/>
              <w:jc w:val="right"/>
            </w:pPr>
            <w:r>
              <w:rPr>
                <w:b/>
                <w:color w:val="222222"/>
                <w:sz w:val="20"/>
              </w:rPr>
              <w:t>3,000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FFFFF"/>
            <w:vAlign w:val="center"/>
          </w:tcPr>
          <w:p>
            <w:pPr>
              <w:spacing w:after="0" w:line="240" w:lineRule="auto"/>
              <w:jc w:val="left"/>
            </w:pPr>
            <w:r>
              <w:rPr>
                <w:b w:val="0"/>
                <w:color w:val="222222"/>
                <w:sz w:val="20"/>
              </w:rPr>
              <w:t>SSL certificate</w:t>
            </w:r>
          </w:p>
        </w:tc>
        <w:tc>
          <w:tcPr>
            <w:tcW w:w="5043" w:type="dxa"/>
            <w:shd w:val="clear" w:color="auto" w:fill="FFFFFF"/>
            <w:vAlign w:val="center"/>
          </w:tcPr>
          <w:p>
            <w:pPr>
              <w:spacing w:after="0" w:line="240" w:lineRule="auto"/>
              <w:jc w:val="right"/>
            </w:pPr>
            <w:r>
              <w:rPr>
                <w:b/>
                <w:color w:val="222222"/>
                <w:sz w:val="20"/>
              </w:rPr>
              <w:t>Included (Free)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4EFE3"/>
            <w:vAlign w:val="center"/>
          </w:tcPr>
          <w:p>
            <w:pPr>
              <w:spacing w:after="0" w:line="240" w:lineRule="auto"/>
              <w:jc w:val="left"/>
            </w:pPr>
            <w:r>
              <w:rPr>
                <w:b w:val="0"/>
                <w:color w:val="222222"/>
                <w:sz w:val="20"/>
              </w:rPr>
              <w:t>Custom domain (only if a new domain is needed — skip if using client’s own)</w:t>
            </w:r>
          </w:p>
        </w:tc>
        <w:tc>
          <w:tcPr>
            <w:tcW w:w="5043" w:type="dxa"/>
            <w:shd w:val="clear" w:color="auto" w:fill="F4EFE3"/>
            <w:vAlign w:val="center"/>
          </w:tcPr>
          <w:p>
            <w:pPr>
              <w:spacing w:after="0" w:line="240" w:lineRule="auto"/>
              <w:jc w:val="right"/>
            </w:pPr>
            <w:r>
              <w:rPr>
                <w:b/>
                <w:color w:val="222222"/>
                <w:sz w:val="20"/>
              </w:rPr>
              <w:t>1,200 (optional)</w:t>
            </w:r>
          </w:p>
        </w:tc>
      </w:tr>
    </w:tbl>
    <w:p>
      <w:pPr>
        <w:spacing w:after="40"/>
      </w:pPr>
    </w:p>
    <w:p>
      <w:pPr>
        <w:spacing w:after="200"/>
      </w:pPr>
      <w:r>
        <w:rPr>
          <w:b/>
          <w:i w:val="0"/>
          <w:color w:val="222222"/>
          <w:sz w:val="21"/>
        </w:rPr>
        <w:t>Subtotal — Infrastructure (Year 1): ₹18,000  (+₹1,200 only if a new domain is required)</w:t>
      </w:r>
    </w:p>
    <w:tbl>
      <w:tblPr>
        <w:tblStyle w:val="35"/>
        <w:tblW w:w="10086" w:type="dxa"/>
        <w:jc w:val="center"/>
        <w:tblInd w:w="0" w:type="dxa"/>
        <w:tblLayout w:type="fixed"/>
        <w:tblCellMar>
          <w:top w:w="0" w:type="dxa"/>
          <w:left w:w="108" w:type="dxa"/>
          <w:bottom w:w="0" w:type="dxa"/>
          <w:right w:w="108" w:type="dxa"/>
        </w:tblCellMar>
      </w:tblPr>
      <w:tblGrid>
        <w:gridCol w:w="5043"/>
        <w:gridCol w:w="5043"/>
      </w:tblGrid>
      <w:tr>
        <w:tblPrEx>
          <w:tblLayout w:type="fixed"/>
          <w:tblCellMar>
            <w:top w:w="0" w:type="dxa"/>
            <w:left w:w="108" w:type="dxa"/>
            <w:bottom w:w="0" w:type="dxa"/>
            <w:right w:w="108" w:type="dxa"/>
          </w:tblCellMar>
        </w:tblPrEx>
        <w:trPr>
          <w:jc w:val="center"/>
        </w:trPr>
        <w:tc>
          <w:tcPr>
            <w:tcW w:w="5043" w:type="dxa"/>
            <w:shd w:val="clear" w:color="auto" w:fill="1B2A20"/>
            <w:vAlign w:val="center"/>
          </w:tcPr>
          <w:p>
            <w:pPr>
              <w:jc w:val="left"/>
            </w:pPr>
            <w:r>
              <w:rPr>
                <w:b/>
                <w:color w:val="FFFFFF"/>
                <w:sz w:val="25"/>
              </w:rPr>
              <w:t>TOTAL ONE-TIME PROJECT COST</w:t>
            </w:r>
          </w:p>
        </w:tc>
        <w:tc>
          <w:tcPr>
            <w:tcW w:w="5043" w:type="dxa"/>
            <w:shd w:val="clear" w:color="auto" w:fill="1B2A20"/>
            <w:vAlign w:val="center"/>
          </w:tcPr>
          <w:p>
            <w:pPr>
              <w:jc w:val="right"/>
            </w:pPr>
            <w:r>
              <w:rPr>
                <w:b/>
                <w:color w:val="F2A93B"/>
                <w:sz w:val="28"/>
              </w:rPr>
              <w:t>₹9,73,000</w:t>
            </w:r>
          </w:p>
        </w:tc>
      </w:tr>
    </w:tbl>
    <w:p>
      <w:pPr>
        <w:spacing w:before="60"/>
      </w:pPr>
      <w:r>
        <w:rPr>
          <w:i/>
          <w:color w:val="5A5A5A"/>
          <w:sz w:val="18"/>
        </w:rPr>
        <w:t>Approx. US$ 11,700 · using the client’s existing domain, first-year hosting included</w:t>
      </w:r>
    </w:p>
    <w:p/>
    <w:p>
      <w:pPr>
        <w:spacing w:after="160"/>
      </w:pPr>
      <w:r>
        <w:rPr>
          <w:b w:val="0"/>
          <w:i w:val="0"/>
          <w:color w:val="222222"/>
          <w:sz w:val="21"/>
        </w:rPr>
        <w:t>From Year 2 onward, hosting and platform upkeep can either be self-managed by the client’s own team, or covered by an optional Annual Maintenance Contract (AMC):</w:t>
      </w:r>
    </w:p>
    <w:tbl>
      <w:tblPr>
        <w:tblStyle w:val="36"/>
        <w:tblW w:w="100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3"/>
        <w:gridCol w:w="50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1B2A20"/>
            <w:vAlign w:val="center"/>
          </w:tcPr>
          <w:p>
            <w:pPr>
              <w:spacing w:after="0" w:line="240" w:lineRule="auto"/>
              <w:jc w:val="left"/>
            </w:pPr>
            <w:r>
              <w:rPr>
                <w:b/>
                <w:color w:val="FFFFFF"/>
                <w:sz w:val="20"/>
              </w:rPr>
              <w:t>Optional Year 2+ Annual Maintenance Contract</w:t>
            </w:r>
          </w:p>
        </w:tc>
        <w:tc>
          <w:tcPr>
            <w:tcW w:w="5043" w:type="dxa"/>
            <w:shd w:val="clear" w:color="auto" w:fill="1B2A20"/>
            <w:vAlign w:val="center"/>
          </w:tcPr>
          <w:p>
            <w:pPr>
              <w:spacing w:after="0" w:line="240" w:lineRule="auto"/>
              <w:jc w:val="right"/>
            </w:pPr>
            <w:r>
              <w:rPr>
                <w:b/>
                <w:color w:val="FFFFFF"/>
                <w:sz w:val="20"/>
              </w:rPr>
              <w:t>Cost (₹/year)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FFFFF"/>
            <w:vAlign w:val="center"/>
          </w:tcPr>
          <w:p>
            <w:pPr>
              <w:spacing w:after="0" w:line="240" w:lineRule="auto"/>
              <w:jc w:val="left"/>
            </w:pPr>
            <w:r>
              <w:rPr>
                <w:b w:val="0"/>
                <w:color w:val="222222"/>
                <w:sz w:val="20"/>
              </w:rPr>
              <w:t>Hosting, uptime monitoring, security patches, and minor bug fixes</w:t>
            </w:r>
          </w:p>
        </w:tc>
        <w:tc>
          <w:tcPr>
            <w:tcW w:w="5043" w:type="dxa"/>
            <w:shd w:val="clear" w:color="auto" w:fill="FFFFFF"/>
            <w:vAlign w:val="center"/>
          </w:tcPr>
          <w:p>
            <w:pPr>
              <w:spacing w:after="0" w:line="240" w:lineRule="auto"/>
              <w:jc w:val="right"/>
            </w:pPr>
            <w:r>
              <w:rPr>
                <w:b/>
                <w:color w:val="222222"/>
                <w:sz w:val="20"/>
              </w:rPr>
              <w:t>60,000 – 90,000</w:t>
            </w:r>
          </w:p>
        </w:tc>
      </w:tr>
    </w:tbl>
    <w:p>
      <w:pPr>
        <w:spacing w:after="40"/>
      </w:pPr>
    </w:p>
    <w:p>
      <w:pPr>
        <w:spacing w:after="160"/>
      </w:pPr>
      <w:r>
        <w:rPr>
          <w:b w:val="0"/>
          <w:i/>
          <w:color w:val="5A5A5A"/>
          <w:sz w:val="21"/>
        </w:rPr>
        <w:t>Additional resorts beyond the initial 4 are not included in this one-time price — they are quoted using the same per-resort rates shown in Way 2, Section B, regardless of which overall model is chosen.</w:t>
      </w:r>
    </w:p>
    <w:p>
      <w:r>
        <w:br w:type="page"/>
      </w:r>
    </w:p>
    <w:p>
      <w:pPr>
        <w:pBdr>
          <w:bottom w:val="single" w:color="D98A2B" w:sz="10" w:space="4"/>
        </w:pBdr>
        <w:spacing w:before="360" w:after="160"/>
      </w:pPr>
      <w:r>
        <w:rPr>
          <w:b/>
          <w:color w:val="141F18"/>
          <w:sz w:val="34"/>
        </w:rPr>
        <w:t>Way 2 — Per-Resort (Slot-Based) + Subscription</w:t>
      </w:r>
    </w:p>
    <w:p>
      <w:pPr>
        <w:spacing w:after="160"/>
      </w:pPr>
      <w:r>
        <w:rPr>
          <w:b w:val="0"/>
          <w:i w:val="0"/>
          <w:color w:val="222222"/>
          <w:sz w:val="21"/>
        </w:rPr>
        <w:t>A lower upfront cost, with resorts added and paid for individually over time, plus a recurring subscription that covers hosting, platform maintenance, and support. This model scales naturally as more of the 107 resorts get their own interactive map, and keeps monthly cost tied to how much of the platform is actually in active use.</w:t>
      </w:r>
    </w:p>
    <w:p>
      <w:pPr>
        <w:spacing w:before="240" w:after="80"/>
      </w:pPr>
      <w:r>
        <w:rPr>
          <w:b/>
          <w:color w:val="D98A2B"/>
          <w:sz w:val="25"/>
        </w:rPr>
        <w:t>A. One-Time Platform Build Cost (core platform only — excludes resort mapping)</w:t>
      </w:r>
    </w:p>
    <w:tbl>
      <w:tblPr>
        <w:tblStyle w:val="36"/>
        <w:tblW w:w="100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3"/>
        <w:gridCol w:w="50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1B2A20"/>
            <w:vAlign w:val="center"/>
          </w:tcPr>
          <w:p>
            <w:pPr>
              <w:spacing w:after="0" w:line="240" w:lineRule="auto"/>
              <w:jc w:val="left"/>
            </w:pPr>
            <w:r>
              <w:rPr>
                <w:b/>
                <w:color w:val="FFFFFF"/>
                <w:sz w:val="20"/>
              </w:rPr>
              <w:t>Item</w:t>
            </w:r>
          </w:p>
        </w:tc>
        <w:tc>
          <w:tcPr>
            <w:tcW w:w="5043" w:type="dxa"/>
            <w:shd w:val="clear" w:color="auto" w:fill="1B2A20"/>
            <w:vAlign w:val="center"/>
          </w:tcPr>
          <w:p>
            <w:pPr>
              <w:spacing w:after="0" w:line="240" w:lineRule="auto"/>
              <w:jc w:val="right"/>
            </w:pPr>
            <w:r>
              <w:rPr>
                <w:b/>
                <w:color w:val="FFFFFF"/>
                <w:sz w:val="20"/>
              </w:rPr>
              <w:t>Cost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FFFFF"/>
            <w:vAlign w:val="center"/>
          </w:tcPr>
          <w:p>
            <w:pPr>
              <w:spacing w:after="0" w:line="240" w:lineRule="auto"/>
              <w:jc w:val="left"/>
            </w:pPr>
            <w:r>
              <w:rPr>
                <w:b w:val="0"/>
                <w:color w:val="222222"/>
                <w:sz w:val="20"/>
              </w:rPr>
              <w:t>UI/UX Design + Frontend Development</w:t>
            </w:r>
          </w:p>
        </w:tc>
        <w:tc>
          <w:tcPr>
            <w:tcW w:w="5043" w:type="dxa"/>
            <w:shd w:val="clear" w:color="auto" w:fill="FFFFFF"/>
            <w:vAlign w:val="center"/>
          </w:tcPr>
          <w:p>
            <w:pPr>
              <w:spacing w:after="0" w:line="240" w:lineRule="auto"/>
              <w:jc w:val="right"/>
            </w:pPr>
            <w:r>
              <w:rPr>
                <w:b/>
                <w:color w:val="222222"/>
                <w:sz w:val="20"/>
              </w:rPr>
              <w:t>2,25,000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4EFE3"/>
            <w:vAlign w:val="center"/>
          </w:tcPr>
          <w:p>
            <w:pPr>
              <w:spacing w:after="0" w:line="240" w:lineRule="auto"/>
              <w:jc w:val="left"/>
            </w:pPr>
            <w:r>
              <w:rPr>
                <w:b w:val="0"/>
                <w:color w:val="222222"/>
                <w:sz w:val="20"/>
              </w:rPr>
              <w:t>2D/3D Map Rendering Engine (built once, reused for every resort)</w:t>
            </w:r>
          </w:p>
        </w:tc>
        <w:tc>
          <w:tcPr>
            <w:tcW w:w="5043" w:type="dxa"/>
            <w:shd w:val="clear" w:color="auto" w:fill="F4EFE3"/>
            <w:vAlign w:val="center"/>
          </w:tcPr>
          <w:p>
            <w:pPr>
              <w:spacing w:after="0" w:line="240" w:lineRule="auto"/>
              <w:jc w:val="right"/>
            </w:pPr>
            <w:r>
              <w:rPr>
                <w:b/>
                <w:color w:val="222222"/>
                <w:sz w:val="20"/>
              </w:rPr>
              <w:t>3,00,000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FFFFF"/>
            <w:vAlign w:val="center"/>
          </w:tcPr>
          <w:p>
            <w:pPr>
              <w:spacing w:after="0" w:line="240" w:lineRule="auto"/>
              <w:jc w:val="left"/>
            </w:pPr>
            <w:r>
              <w:rPr>
                <w:b w:val="0"/>
                <w:color w:val="222222"/>
                <w:sz w:val="20"/>
              </w:rPr>
              <w:t>GPS Calibration &amp; Geofencing System</w:t>
            </w:r>
          </w:p>
        </w:tc>
        <w:tc>
          <w:tcPr>
            <w:tcW w:w="5043" w:type="dxa"/>
            <w:shd w:val="clear" w:color="auto" w:fill="FFFFFF"/>
            <w:vAlign w:val="center"/>
          </w:tcPr>
          <w:p>
            <w:pPr>
              <w:spacing w:after="0" w:line="240" w:lineRule="auto"/>
              <w:jc w:val="right"/>
            </w:pPr>
            <w:r>
              <w:rPr>
                <w:b/>
                <w:color w:val="222222"/>
                <w:sz w:val="20"/>
              </w:rPr>
              <w:t>65,000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4EFE3"/>
            <w:vAlign w:val="center"/>
          </w:tcPr>
          <w:p>
            <w:pPr>
              <w:spacing w:after="0" w:line="240" w:lineRule="auto"/>
              <w:jc w:val="left"/>
            </w:pPr>
            <w:r>
              <w:rPr>
                <w:b w:val="0"/>
                <w:color w:val="222222"/>
                <w:sz w:val="20"/>
              </w:rPr>
              <w:t>Backend/API Development</w:t>
            </w:r>
          </w:p>
        </w:tc>
        <w:tc>
          <w:tcPr>
            <w:tcW w:w="5043" w:type="dxa"/>
            <w:shd w:val="clear" w:color="auto" w:fill="F4EFE3"/>
            <w:vAlign w:val="center"/>
          </w:tcPr>
          <w:p>
            <w:pPr>
              <w:spacing w:after="0" w:line="240" w:lineRule="auto"/>
              <w:jc w:val="right"/>
            </w:pPr>
            <w:r>
              <w:rPr>
                <w:b/>
                <w:color w:val="222222"/>
                <w:sz w:val="20"/>
              </w:rPr>
              <w:t>1,25,000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FFFFF"/>
            <w:vAlign w:val="center"/>
          </w:tcPr>
          <w:p>
            <w:pPr>
              <w:spacing w:after="0" w:line="240" w:lineRule="auto"/>
              <w:jc w:val="left"/>
            </w:pPr>
            <w:r>
              <w:rPr>
                <w:b w:val="0"/>
                <w:color w:val="222222"/>
                <w:sz w:val="20"/>
              </w:rPr>
              <w:t>QA, Project Management, Documentation &amp; Handover</w:t>
            </w:r>
          </w:p>
        </w:tc>
        <w:tc>
          <w:tcPr>
            <w:tcW w:w="5043" w:type="dxa"/>
            <w:shd w:val="clear" w:color="auto" w:fill="FFFFFF"/>
            <w:vAlign w:val="center"/>
          </w:tcPr>
          <w:p>
            <w:pPr>
              <w:spacing w:after="0" w:line="240" w:lineRule="auto"/>
              <w:jc w:val="right"/>
            </w:pPr>
            <w:r>
              <w:rPr>
                <w:b/>
                <w:color w:val="222222"/>
                <w:sz w:val="20"/>
              </w:rPr>
              <w:t>1,40,000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4EFE3"/>
            <w:vAlign w:val="center"/>
          </w:tcPr>
          <w:p>
            <w:pPr>
              <w:spacing w:after="0" w:line="240" w:lineRule="auto"/>
              <w:jc w:val="left"/>
            </w:pPr>
            <w:r>
              <w:rPr>
                <w:b w:val="0"/>
                <w:color w:val="222222"/>
                <w:sz w:val="20"/>
              </w:rPr>
              <w:t>Cloud architecture setup &amp; configuration</w:t>
            </w:r>
          </w:p>
        </w:tc>
        <w:tc>
          <w:tcPr>
            <w:tcW w:w="5043" w:type="dxa"/>
            <w:shd w:val="clear" w:color="auto" w:fill="F4EFE3"/>
            <w:vAlign w:val="center"/>
          </w:tcPr>
          <w:p>
            <w:pPr>
              <w:spacing w:after="0" w:line="240" w:lineRule="auto"/>
              <w:jc w:val="right"/>
            </w:pPr>
            <w:r>
              <w:rPr>
                <w:b/>
                <w:color w:val="222222"/>
                <w:sz w:val="20"/>
              </w:rPr>
              <w:t>15,000</w:t>
            </w:r>
          </w:p>
        </w:tc>
      </w:tr>
    </w:tbl>
    <w:p>
      <w:pPr>
        <w:spacing w:after="40"/>
      </w:pPr>
    </w:p>
    <w:tbl>
      <w:tblPr>
        <w:tblStyle w:val="35"/>
        <w:tblW w:w="10086" w:type="dxa"/>
        <w:jc w:val="center"/>
        <w:tblInd w:w="0" w:type="dxa"/>
        <w:tblLayout w:type="fixed"/>
        <w:tblCellMar>
          <w:top w:w="0" w:type="dxa"/>
          <w:left w:w="108" w:type="dxa"/>
          <w:bottom w:w="0" w:type="dxa"/>
          <w:right w:w="108" w:type="dxa"/>
        </w:tblCellMar>
      </w:tblPr>
      <w:tblGrid>
        <w:gridCol w:w="5043"/>
        <w:gridCol w:w="5043"/>
      </w:tblGrid>
      <w:tr>
        <w:tblPrEx>
          <w:tblLayout w:type="fixed"/>
          <w:tblCellMar>
            <w:top w:w="0" w:type="dxa"/>
            <w:left w:w="108" w:type="dxa"/>
            <w:bottom w:w="0" w:type="dxa"/>
            <w:right w:w="108" w:type="dxa"/>
          </w:tblCellMar>
        </w:tblPrEx>
        <w:trPr>
          <w:jc w:val="center"/>
        </w:trPr>
        <w:tc>
          <w:tcPr>
            <w:tcW w:w="5043" w:type="dxa"/>
            <w:shd w:val="clear" w:color="auto" w:fill="1B2A20"/>
            <w:vAlign w:val="center"/>
          </w:tcPr>
          <w:p>
            <w:pPr>
              <w:jc w:val="left"/>
            </w:pPr>
            <w:r>
              <w:rPr>
                <w:b/>
                <w:color w:val="FFFFFF"/>
                <w:sz w:val="25"/>
              </w:rPr>
              <w:t>ONE-TIME PLATFORM BUILD COST</w:t>
            </w:r>
          </w:p>
        </w:tc>
        <w:tc>
          <w:tcPr>
            <w:tcW w:w="5043" w:type="dxa"/>
            <w:shd w:val="clear" w:color="auto" w:fill="1B2A20"/>
            <w:vAlign w:val="center"/>
          </w:tcPr>
          <w:p>
            <w:pPr>
              <w:jc w:val="right"/>
            </w:pPr>
            <w:r>
              <w:rPr>
                <w:b/>
                <w:color w:val="F2A93B"/>
                <w:sz w:val="28"/>
              </w:rPr>
              <w:t>₹8,70,000</w:t>
            </w:r>
          </w:p>
        </w:tc>
      </w:tr>
    </w:tbl>
    <w:p>
      <w:pPr>
        <w:spacing w:before="60"/>
      </w:pPr>
      <w:r>
        <w:rPr>
          <w:i/>
          <w:color w:val="5A5A5A"/>
          <w:sz w:val="18"/>
        </w:rPr>
        <w:t>Approx. US$ 10,500 · resort mapping priced separately below</w:t>
      </w:r>
    </w:p>
    <w:p/>
    <w:p>
      <w:pPr>
        <w:spacing w:before="240" w:after="80"/>
      </w:pPr>
      <w:r>
        <w:rPr>
          <w:b/>
          <w:color w:val="D98A2B"/>
          <w:sz w:val="25"/>
        </w:rPr>
        <w:t>B. Per-Resort Development Cost (one-time, per resort added)</w:t>
      </w:r>
    </w:p>
    <w:tbl>
      <w:tblPr>
        <w:tblStyle w:val="36"/>
        <w:tblW w:w="100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2"/>
        <w:gridCol w:w="3362"/>
        <w:gridCol w:w="33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362" w:type="dxa"/>
            <w:shd w:val="clear" w:color="auto" w:fill="1B2A20"/>
            <w:vAlign w:val="center"/>
          </w:tcPr>
          <w:p>
            <w:pPr>
              <w:spacing w:after="0" w:line="240" w:lineRule="auto"/>
              <w:jc w:val="left"/>
            </w:pPr>
            <w:r>
              <w:rPr>
                <w:b/>
                <w:color w:val="FFFFFF"/>
                <w:sz w:val="20"/>
              </w:rPr>
              <w:t>Tier</w:t>
            </w:r>
          </w:p>
        </w:tc>
        <w:tc>
          <w:tcPr>
            <w:tcW w:w="3362" w:type="dxa"/>
            <w:shd w:val="clear" w:color="auto" w:fill="1B2A20"/>
            <w:vAlign w:val="center"/>
          </w:tcPr>
          <w:p>
            <w:pPr>
              <w:spacing w:after="0" w:line="240" w:lineRule="auto"/>
              <w:jc w:val="left"/>
            </w:pPr>
            <w:r>
              <w:rPr>
                <w:b/>
                <w:color w:val="FFFFFF"/>
                <w:sz w:val="20"/>
              </w:rPr>
              <w:t>What the guest gets</w:t>
            </w:r>
          </w:p>
        </w:tc>
        <w:tc>
          <w:tcPr>
            <w:tcW w:w="3362" w:type="dxa"/>
            <w:shd w:val="clear" w:color="auto" w:fill="1B2A20"/>
            <w:vAlign w:val="center"/>
          </w:tcPr>
          <w:p>
            <w:pPr>
              <w:spacing w:after="0" w:line="240" w:lineRule="auto"/>
              <w:jc w:val="right"/>
            </w:pPr>
            <w:r>
              <w:rPr>
                <w:b/>
                <w:color w:val="FFFFFF"/>
                <w:sz w:val="20"/>
              </w:rPr>
              <w:t>One-time cost per resort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362" w:type="dxa"/>
            <w:shd w:val="clear" w:color="auto" w:fill="FFFFFF"/>
            <w:vAlign w:val="center"/>
          </w:tcPr>
          <w:p>
            <w:pPr>
              <w:spacing w:after="0" w:line="240" w:lineRule="auto"/>
              <w:jc w:val="left"/>
            </w:pPr>
            <w:r>
              <w:rPr>
                <w:b w:val="0"/>
                <w:color w:val="222222"/>
                <w:sz w:val="20"/>
              </w:rPr>
              <w:t>Listed Only</w:t>
            </w:r>
          </w:p>
        </w:tc>
        <w:tc>
          <w:tcPr>
            <w:tcW w:w="3362" w:type="dxa"/>
            <w:shd w:val="clear" w:color="auto" w:fill="FFFFFF"/>
            <w:vAlign w:val="center"/>
          </w:tcPr>
          <w:p>
            <w:pPr>
              <w:spacing w:after="0" w:line="240" w:lineRule="auto"/>
              <w:jc w:val="left"/>
            </w:pPr>
            <w:r>
              <w:rPr>
                <w:b w:val="0"/>
                <w:color w:val="222222"/>
                <w:sz w:val="20"/>
              </w:rPr>
              <w:t>Appears in the dashboard directory + Nearby Places links</w:t>
            </w:r>
          </w:p>
        </w:tc>
        <w:tc>
          <w:tcPr>
            <w:tcW w:w="3362" w:type="dxa"/>
            <w:shd w:val="clear" w:color="auto" w:fill="FFFFFF"/>
            <w:vAlign w:val="center"/>
          </w:tcPr>
          <w:p>
            <w:pPr>
              <w:spacing w:after="0" w:line="240" w:lineRule="auto"/>
              <w:jc w:val="right"/>
            </w:pPr>
            <w:r>
              <w:rPr>
                <w:b/>
                <w:color w:val="222222"/>
                <w:sz w:val="20"/>
              </w:rPr>
              <w:t>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362" w:type="dxa"/>
            <w:shd w:val="clear" w:color="auto" w:fill="F4EFE3"/>
            <w:vAlign w:val="center"/>
          </w:tcPr>
          <w:p>
            <w:pPr>
              <w:spacing w:after="0" w:line="240" w:lineRule="auto"/>
              <w:jc w:val="left"/>
            </w:pPr>
            <w:r>
              <w:rPr>
                <w:b w:val="0"/>
                <w:color w:val="222222"/>
                <w:sz w:val="20"/>
              </w:rPr>
              <w:t>Full Interactive Map</w:t>
            </w:r>
          </w:p>
        </w:tc>
        <w:tc>
          <w:tcPr>
            <w:tcW w:w="3362" w:type="dxa"/>
            <w:shd w:val="clear" w:color="auto" w:fill="F4EFE3"/>
            <w:vAlign w:val="center"/>
          </w:tcPr>
          <w:p>
            <w:pPr>
              <w:spacing w:after="0" w:line="240" w:lineRule="auto"/>
              <w:jc w:val="left"/>
            </w:pPr>
            <w:r>
              <w:rPr>
                <w:b w:val="0"/>
                <w:color w:val="222222"/>
                <w:sz w:val="20"/>
              </w:rPr>
              <w:t>2D/3D map, wayfinding &amp; routing, GPS live location</w:t>
            </w:r>
          </w:p>
        </w:tc>
        <w:tc>
          <w:tcPr>
            <w:tcW w:w="3362" w:type="dxa"/>
            <w:shd w:val="clear" w:color="auto" w:fill="F4EFE3"/>
            <w:vAlign w:val="center"/>
          </w:tcPr>
          <w:p>
            <w:pPr>
              <w:spacing w:after="0" w:line="240" w:lineRule="auto"/>
              <w:jc w:val="right"/>
            </w:pPr>
            <w:r>
              <w:rPr>
                <w:b/>
                <w:color w:val="222222"/>
                <w:sz w:val="20"/>
              </w:rPr>
              <w:t>25,000 – 40,000</w:t>
            </w:r>
          </w:p>
        </w:tc>
      </w:tr>
    </w:tbl>
    <w:p>
      <w:pPr>
        <w:spacing w:after="40"/>
      </w:pPr>
    </w:p>
    <w:p>
      <w:pPr>
        <w:spacing w:after="160"/>
      </w:pPr>
      <w:r>
        <w:rPr>
          <w:b w:val="0"/>
          <w:i/>
          <w:color w:val="5A5A5A"/>
          <w:sz w:val="21"/>
        </w:rPr>
        <w:t>The 4 resorts already built (Tungi, Sherwood, Hatgad, Saj) can be credited against this model if Way 2 is selected as the ongoing structure, or billed at the same rate if treated as a fresh start.</w:t>
      </w:r>
    </w:p>
    <w:p>
      <w:pPr>
        <w:spacing w:before="240" w:after="80"/>
      </w:pPr>
      <w:r>
        <w:rPr>
          <w:b/>
          <w:color w:val="D98A2B"/>
          <w:sz w:val="25"/>
        </w:rPr>
        <w:t>C. Recurring Subscription (covers hosting, maintenance &amp; support)</w:t>
      </w:r>
    </w:p>
    <w:tbl>
      <w:tblPr>
        <w:tblStyle w:val="36"/>
        <w:tblW w:w="100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3"/>
        <w:gridCol w:w="50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1B2A20"/>
            <w:vAlign w:val="center"/>
          </w:tcPr>
          <w:p>
            <w:pPr>
              <w:spacing w:after="0" w:line="240" w:lineRule="auto"/>
              <w:jc w:val="left"/>
            </w:pPr>
            <w:r>
              <w:rPr>
                <w:b/>
                <w:color w:val="FFFFFF"/>
                <w:sz w:val="20"/>
              </w:rPr>
              <w:t>Component</w:t>
            </w:r>
          </w:p>
        </w:tc>
        <w:tc>
          <w:tcPr>
            <w:tcW w:w="5043" w:type="dxa"/>
            <w:shd w:val="clear" w:color="auto" w:fill="1B2A20"/>
            <w:vAlign w:val="center"/>
          </w:tcPr>
          <w:p>
            <w:pPr>
              <w:spacing w:after="0" w:line="240" w:lineRule="auto"/>
              <w:jc w:val="right"/>
            </w:pPr>
            <w:r>
              <w:rPr>
                <w:b/>
                <w:color w:val="FFFFFF"/>
                <w:sz w:val="20"/>
              </w:rPr>
              <w:t>Price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FFFFF"/>
            <w:vAlign w:val="center"/>
          </w:tcPr>
          <w:p>
            <w:pPr>
              <w:spacing w:after="0" w:line="240" w:lineRule="auto"/>
              <w:jc w:val="left"/>
            </w:pPr>
            <w:r>
              <w:rPr>
                <w:b w:val="0"/>
                <w:color w:val="222222"/>
                <w:sz w:val="20"/>
              </w:rPr>
              <w:t>Base platform fee (flat, regardless of resort count)</w:t>
            </w:r>
          </w:p>
        </w:tc>
        <w:tc>
          <w:tcPr>
            <w:tcW w:w="5043" w:type="dxa"/>
            <w:shd w:val="clear" w:color="auto" w:fill="FFFFFF"/>
            <w:vAlign w:val="center"/>
          </w:tcPr>
          <w:p>
            <w:pPr>
              <w:spacing w:after="0" w:line="240" w:lineRule="auto"/>
              <w:jc w:val="right"/>
            </w:pPr>
            <w:r>
              <w:rPr>
                <w:b/>
                <w:color w:val="222222"/>
                <w:sz w:val="20"/>
              </w:rPr>
              <w:t>₹20,000 / month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4EFE3"/>
            <w:vAlign w:val="center"/>
          </w:tcPr>
          <w:p>
            <w:pPr>
              <w:spacing w:after="0" w:line="240" w:lineRule="auto"/>
              <w:jc w:val="left"/>
            </w:pPr>
            <w:r>
              <w:rPr>
                <w:b w:val="0"/>
                <w:color w:val="222222"/>
                <w:sz w:val="20"/>
              </w:rPr>
              <w:t>Per "Listed" resort</w:t>
            </w:r>
          </w:p>
        </w:tc>
        <w:tc>
          <w:tcPr>
            <w:tcW w:w="5043" w:type="dxa"/>
            <w:shd w:val="clear" w:color="auto" w:fill="F4EFE3"/>
            <w:vAlign w:val="center"/>
          </w:tcPr>
          <w:p>
            <w:pPr>
              <w:spacing w:after="0" w:line="240" w:lineRule="auto"/>
              <w:jc w:val="right"/>
            </w:pPr>
            <w:r>
              <w:rPr>
                <w:b/>
                <w:color w:val="222222"/>
                <w:sz w:val="20"/>
              </w:rPr>
              <w:t>₹500 / month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FFFFF"/>
            <w:vAlign w:val="center"/>
          </w:tcPr>
          <w:p>
            <w:pPr>
              <w:spacing w:after="0" w:line="240" w:lineRule="auto"/>
              <w:jc w:val="left"/>
            </w:pPr>
            <w:r>
              <w:rPr>
                <w:b w:val="0"/>
                <w:color w:val="222222"/>
                <w:sz w:val="20"/>
              </w:rPr>
              <w:t>Per "Full Interactive Map" resort</w:t>
            </w:r>
          </w:p>
        </w:tc>
        <w:tc>
          <w:tcPr>
            <w:tcW w:w="5043" w:type="dxa"/>
            <w:shd w:val="clear" w:color="auto" w:fill="FFFFFF"/>
            <w:vAlign w:val="center"/>
          </w:tcPr>
          <w:p>
            <w:pPr>
              <w:spacing w:after="0" w:line="240" w:lineRule="auto"/>
              <w:jc w:val="right"/>
            </w:pPr>
            <w:r>
              <w:rPr>
                <w:b/>
                <w:color w:val="222222"/>
                <w:sz w:val="20"/>
              </w:rPr>
              <w:t>₹3,000 – 4,000 / month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4EFE3"/>
            <w:vAlign w:val="center"/>
          </w:tcPr>
          <w:p>
            <w:pPr>
              <w:spacing w:after="0" w:line="240" w:lineRule="auto"/>
              <w:jc w:val="left"/>
            </w:pPr>
            <w:r>
              <w:rPr>
                <w:b w:val="0"/>
                <w:color w:val="222222"/>
                <w:sz w:val="20"/>
              </w:rPr>
              <w:t>Annual prepay discount</w:t>
            </w:r>
          </w:p>
        </w:tc>
        <w:tc>
          <w:tcPr>
            <w:tcW w:w="5043" w:type="dxa"/>
            <w:shd w:val="clear" w:color="auto" w:fill="F4EFE3"/>
            <w:vAlign w:val="center"/>
          </w:tcPr>
          <w:p>
            <w:pPr>
              <w:spacing w:after="0" w:line="240" w:lineRule="auto"/>
              <w:jc w:val="right"/>
            </w:pPr>
            <w:r>
              <w:rPr>
                <w:b/>
                <w:color w:val="222222"/>
                <w:sz w:val="20"/>
              </w:rPr>
              <w:t>15% off total, if paid yearly upfront</w:t>
            </w:r>
          </w:p>
        </w:tc>
      </w:tr>
    </w:tbl>
    <w:p>
      <w:pPr>
        <w:spacing w:after="40"/>
      </w:pPr>
    </w:p>
    <w:p>
      <w:pPr>
        <w:spacing w:before="240" w:after="80"/>
      </w:pPr>
      <w:r>
        <w:rPr>
          <w:b/>
          <w:color w:val="D98A2B"/>
          <w:sz w:val="25"/>
        </w:rPr>
        <w:t>D. Update &amp; Upgrade Pricing (per resort, charged as-needed)</w:t>
      </w:r>
    </w:p>
    <w:tbl>
      <w:tblPr>
        <w:tblStyle w:val="36"/>
        <w:tblW w:w="100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2"/>
        <w:gridCol w:w="3362"/>
        <w:gridCol w:w="33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362" w:type="dxa"/>
            <w:shd w:val="clear" w:color="auto" w:fill="1B2A20"/>
            <w:vAlign w:val="center"/>
          </w:tcPr>
          <w:p>
            <w:pPr>
              <w:spacing w:after="0" w:line="240" w:lineRule="auto"/>
              <w:jc w:val="left"/>
            </w:pPr>
            <w:r>
              <w:rPr>
                <w:b/>
                <w:color w:val="FFFFFF"/>
                <w:sz w:val="20"/>
              </w:rPr>
              <w:t>Type</w:t>
            </w:r>
          </w:p>
        </w:tc>
        <w:tc>
          <w:tcPr>
            <w:tcW w:w="3362" w:type="dxa"/>
            <w:shd w:val="clear" w:color="auto" w:fill="1B2A20"/>
            <w:vAlign w:val="center"/>
          </w:tcPr>
          <w:p>
            <w:pPr>
              <w:spacing w:after="0" w:line="240" w:lineRule="auto"/>
              <w:jc w:val="left"/>
            </w:pPr>
            <w:r>
              <w:rPr>
                <w:b/>
                <w:color w:val="FFFFFF"/>
                <w:sz w:val="20"/>
              </w:rPr>
              <w:t>Description</w:t>
            </w:r>
          </w:p>
        </w:tc>
        <w:tc>
          <w:tcPr>
            <w:tcW w:w="3362" w:type="dxa"/>
            <w:shd w:val="clear" w:color="auto" w:fill="1B2A20"/>
            <w:vAlign w:val="center"/>
          </w:tcPr>
          <w:p>
            <w:pPr>
              <w:spacing w:after="0" w:line="240" w:lineRule="auto"/>
              <w:jc w:val="right"/>
            </w:pPr>
            <w:r>
              <w:rPr>
                <w:b/>
                <w:color w:val="FFFFFF"/>
                <w:sz w:val="20"/>
              </w:rPr>
              <w:t>Price per resort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362" w:type="dxa"/>
            <w:shd w:val="clear" w:color="auto" w:fill="FFFFFF"/>
            <w:vAlign w:val="center"/>
          </w:tcPr>
          <w:p>
            <w:pPr>
              <w:spacing w:after="0" w:line="240" w:lineRule="auto"/>
              <w:jc w:val="left"/>
            </w:pPr>
            <w:r>
              <w:rPr>
                <w:b w:val="0"/>
                <w:color w:val="222222"/>
                <w:sz w:val="20"/>
              </w:rPr>
              <w:t>Minor update</w:t>
            </w:r>
          </w:p>
        </w:tc>
        <w:tc>
          <w:tcPr>
            <w:tcW w:w="3362" w:type="dxa"/>
            <w:shd w:val="clear" w:color="auto" w:fill="FFFFFF"/>
            <w:vAlign w:val="center"/>
          </w:tcPr>
          <w:p>
            <w:pPr>
              <w:spacing w:after="0" w:line="240" w:lineRule="auto"/>
              <w:jc w:val="left"/>
            </w:pPr>
            <w:r>
              <w:rPr>
                <w:b w:val="0"/>
                <w:color w:val="222222"/>
                <w:sz w:val="20"/>
              </w:rPr>
              <w:t>Fixing a label, small icon/POI correction, text change</w:t>
            </w:r>
          </w:p>
        </w:tc>
        <w:tc>
          <w:tcPr>
            <w:tcW w:w="3362" w:type="dxa"/>
            <w:shd w:val="clear" w:color="auto" w:fill="FFFFFF"/>
            <w:vAlign w:val="center"/>
          </w:tcPr>
          <w:p>
            <w:pPr>
              <w:spacing w:after="0" w:line="240" w:lineRule="auto"/>
              <w:jc w:val="right"/>
            </w:pPr>
            <w:r>
              <w:rPr>
                <w:b/>
                <w:color w:val="222222"/>
                <w:sz w:val="20"/>
              </w:rPr>
              <w:t>2,000 – 3,000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362" w:type="dxa"/>
            <w:shd w:val="clear" w:color="auto" w:fill="F4EFE3"/>
            <w:vAlign w:val="center"/>
          </w:tcPr>
          <w:p>
            <w:pPr>
              <w:spacing w:after="0" w:line="240" w:lineRule="auto"/>
              <w:jc w:val="left"/>
            </w:pPr>
            <w:r>
              <w:rPr>
                <w:b w:val="0"/>
                <w:color w:val="222222"/>
                <w:sz w:val="20"/>
              </w:rPr>
              <w:t>Moderate update</w:t>
            </w:r>
          </w:p>
        </w:tc>
        <w:tc>
          <w:tcPr>
            <w:tcW w:w="3362" w:type="dxa"/>
            <w:shd w:val="clear" w:color="auto" w:fill="F4EFE3"/>
            <w:vAlign w:val="center"/>
          </w:tcPr>
          <w:p>
            <w:pPr>
              <w:spacing w:after="0" w:line="240" w:lineRule="auto"/>
              <w:jc w:val="left"/>
            </w:pPr>
            <w:r>
              <w:rPr>
                <w:b w:val="0"/>
                <w:color w:val="222222"/>
                <w:sz w:val="20"/>
              </w:rPr>
              <w:t>Adding/removing a few points of interest, small layout tweak</w:t>
            </w:r>
          </w:p>
        </w:tc>
        <w:tc>
          <w:tcPr>
            <w:tcW w:w="3362" w:type="dxa"/>
            <w:shd w:val="clear" w:color="auto" w:fill="F4EFE3"/>
            <w:vAlign w:val="center"/>
          </w:tcPr>
          <w:p>
            <w:pPr>
              <w:spacing w:after="0" w:line="240" w:lineRule="auto"/>
              <w:jc w:val="right"/>
            </w:pPr>
            <w:r>
              <w:rPr>
                <w:b/>
                <w:color w:val="222222"/>
                <w:sz w:val="20"/>
              </w:rPr>
              <w:t>5,000 – 8,000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362" w:type="dxa"/>
            <w:shd w:val="clear" w:color="auto" w:fill="FFFFFF"/>
            <w:vAlign w:val="center"/>
          </w:tcPr>
          <w:p>
            <w:pPr>
              <w:spacing w:after="0" w:line="240" w:lineRule="auto"/>
              <w:jc w:val="left"/>
            </w:pPr>
            <w:r>
              <w:rPr>
                <w:b w:val="0"/>
                <w:color w:val="222222"/>
                <w:sz w:val="20"/>
              </w:rPr>
              <w:t>Major upgrade</w:t>
            </w:r>
          </w:p>
        </w:tc>
        <w:tc>
          <w:tcPr>
            <w:tcW w:w="3362" w:type="dxa"/>
            <w:shd w:val="clear" w:color="auto" w:fill="FFFFFF"/>
            <w:vAlign w:val="center"/>
          </w:tcPr>
          <w:p>
            <w:pPr>
              <w:spacing w:after="0" w:line="240" w:lineRule="auto"/>
              <w:jc w:val="left"/>
            </w:pPr>
            <w:r>
              <w:rPr>
                <w:b w:val="0"/>
                <w:color w:val="222222"/>
                <w:sz w:val="20"/>
              </w:rPr>
              <w:t>Re-tracing due to construction/renovation, new wings or blocks added</w:t>
            </w:r>
          </w:p>
        </w:tc>
        <w:tc>
          <w:tcPr>
            <w:tcW w:w="3362" w:type="dxa"/>
            <w:shd w:val="clear" w:color="auto" w:fill="FFFFFF"/>
            <w:vAlign w:val="center"/>
          </w:tcPr>
          <w:p>
            <w:pPr>
              <w:spacing w:after="0" w:line="240" w:lineRule="auto"/>
              <w:jc w:val="right"/>
            </w:pPr>
            <w:r>
              <w:rPr>
                <w:b/>
                <w:color w:val="222222"/>
                <w:sz w:val="20"/>
              </w:rPr>
              <w:t>15,000 – 25,000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362" w:type="dxa"/>
            <w:shd w:val="clear" w:color="auto" w:fill="F4EFE3"/>
            <w:vAlign w:val="center"/>
          </w:tcPr>
          <w:p>
            <w:pPr>
              <w:spacing w:after="0" w:line="240" w:lineRule="auto"/>
              <w:jc w:val="left"/>
            </w:pPr>
            <w:r>
              <w:rPr>
                <w:b w:val="0"/>
                <w:color w:val="222222"/>
                <w:sz w:val="20"/>
              </w:rPr>
              <w:t>Platform-wide new feature</w:t>
            </w:r>
          </w:p>
        </w:tc>
        <w:tc>
          <w:tcPr>
            <w:tcW w:w="3362" w:type="dxa"/>
            <w:shd w:val="clear" w:color="auto" w:fill="F4EFE3"/>
            <w:vAlign w:val="center"/>
          </w:tcPr>
          <w:p>
            <w:pPr>
              <w:spacing w:after="0" w:line="240" w:lineRule="auto"/>
              <w:jc w:val="left"/>
            </w:pPr>
            <w:r>
              <w:rPr>
                <w:b w:val="0"/>
                <w:color w:val="222222"/>
                <w:sz w:val="20"/>
              </w:rPr>
              <w:t>A new capability rolled out across all resorts at once</w:t>
            </w:r>
          </w:p>
        </w:tc>
        <w:tc>
          <w:tcPr>
            <w:tcW w:w="3362" w:type="dxa"/>
            <w:shd w:val="clear" w:color="auto" w:fill="F4EFE3"/>
            <w:vAlign w:val="center"/>
          </w:tcPr>
          <w:p>
            <w:pPr>
              <w:spacing w:after="0" w:line="240" w:lineRule="auto"/>
              <w:jc w:val="right"/>
            </w:pPr>
            <w:r>
              <w:rPr>
                <w:b/>
                <w:color w:val="222222"/>
                <w:sz w:val="20"/>
              </w:rPr>
              <w:t>Custom quote</w:t>
            </w:r>
          </w:p>
        </w:tc>
      </w:tr>
    </w:tbl>
    <w:p>
      <w:pPr>
        <w:spacing w:after="40"/>
      </w:pPr>
    </w:p>
    <w:p>
      <w:pPr>
        <w:spacing w:before="240" w:after="80"/>
      </w:pPr>
      <w:r>
        <w:rPr>
          <w:b/>
          <w:color w:val="D98A2B"/>
          <w:sz w:val="25"/>
        </w:rPr>
        <w:t>Worked Example — 10 resorts fully mapped, 97 listed</w:t>
      </w:r>
    </w:p>
    <w:tbl>
      <w:tblPr>
        <w:tblStyle w:val="36"/>
        <w:tblW w:w="100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3"/>
        <w:gridCol w:w="50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1B2A20"/>
            <w:vAlign w:val="center"/>
          </w:tcPr>
          <w:p>
            <w:pPr>
              <w:spacing w:after="0" w:line="240" w:lineRule="auto"/>
              <w:jc w:val="left"/>
            </w:pPr>
            <w:r>
              <w:rPr>
                <w:b/>
                <w:color w:val="FFFFFF"/>
                <w:sz w:val="20"/>
              </w:rPr>
              <w:t>Line item</w:t>
            </w:r>
          </w:p>
        </w:tc>
        <w:tc>
          <w:tcPr>
            <w:tcW w:w="5043" w:type="dxa"/>
            <w:shd w:val="clear" w:color="auto" w:fill="1B2A20"/>
            <w:vAlign w:val="center"/>
          </w:tcPr>
          <w:p>
            <w:pPr>
              <w:spacing w:after="0" w:line="240" w:lineRule="auto"/>
              <w:jc w:val="right"/>
            </w:pPr>
            <w:r>
              <w:rPr>
                <w:b/>
                <w:color w:val="FFFFFF"/>
                <w:sz w:val="20"/>
              </w:rPr>
              <w:t>Monthly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FFFFF"/>
            <w:vAlign w:val="center"/>
          </w:tcPr>
          <w:p>
            <w:pPr>
              <w:spacing w:after="0" w:line="240" w:lineRule="auto"/>
              <w:jc w:val="left"/>
            </w:pPr>
            <w:r>
              <w:rPr>
                <w:b w:val="0"/>
                <w:color w:val="222222"/>
                <w:sz w:val="20"/>
              </w:rPr>
              <w:t>Base platform fee</w:t>
            </w:r>
          </w:p>
        </w:tc>
        <w:tc>
          <w:tcPr>
            <w:tcW w:w="5043" w:type="dxa"/>
            <w:shd w:val="clear" w:color="auto" w:fill="FFFFFF"/>
            <w:vAlign w:val="center"/>
          </w:tcPr>
          <w:p>
            <w:pPr>
              <w:spacing w:after="0" w:line="240" w:lineRule="auto"/>
              <w:jc w:val="right"/>
            </w:pPr>
            <w:r>
              <w:rPr>
                <w:b/>
                <w:color w:val="222222"/>
                <w:sz w:val="20"/>
              </w:rPr>
              <w:t>20,000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4EFE3"/>
            <w:vAlign w:val="center"/>
          </w:tcPr>
          <w:p>
            <w:pPr>
              <w:spacing w:after="0" w:line="240" w:lineRule="auto"/>
              <w:jc w:val="left"/>
            </w:pPr>
            <w:r>
              <w:rPr>
                <w:b w:val="0"/>
                <w:color w:val="222222"/>
                <w:sz w:val="20"/>
              </w:rPr>
              <w:t>10 × Full Interactive Map resorts @ ₹4,000</w:t>
            </w:r>
          </w:p>
        </w:tc>
        <w:tc>
          <w:tcPr>
            <w:tcW w:w="5043" w:type="dxa"/>
            <w:shd w:val="clear" w:color="auto" w:fill="F4EFE3"/>
            <w:vAlign w:val="center"/>
          </w:tcPr>
          <w:p>
            <w:pPr>
              <w:spacing w:after="0" w:line="240" w:lineRule="auto"/>
              <w:jc w:val="right"/>
            </w:pPr>
            <w:r>
              <w:rPr>
                <w:b/>
                <w:color w:val="222222"/>
                <w:sz w:val="20"/>
              </w:rPr>
              <w:t>40,000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043" w:type="dxa"/>
            <w:shd w:val="clear" w:color="auto" w:fill="FFFFFF"/>
            <w:vAlign w:val="center"/>
          </w:tcPr>
          <w:p>
            <w:pPr>
              <w:spacing w:after="0" w:line="240" w:lineRule="auto"/>
              <w:jc w:val="left"/>
            </w:pPr>
            <w:r>
              <w:rPr>
                <w:b w:val="0"/>
                <w:color w:val="222222"/>
                <w:sz w:val="20"/>
              </w:rPr>
              <w:t>97 × Listed resorts @ ₹500</w:t>
            </w:r>
          </w:p>
        </w:tc>
        <w:tc>
          <w:tcPr>
            <w:tcW w:w="5043" w:type="dxa"/>
            <w:shd w:val="clear" w:color="auto" w:fill="FFFFFF"/>
            <w:vAlign w:val="center"/>
          </w:tcPr>
          <w:p>
            <w:pPr>
              <w:spacing w:after="0" w:line="240" w:lineRule="auto"/>
              <w:jc w:val="right"/>
            </w:pPr>
            <w:r>
              <w:rPr>
                <w:b/>
                <w:color w:val="222222"/>
                <w:sz w:val="20"/>
              </w:rPr>
              <w:t>48,500</w:t>
            </w:r>
          </w:p>
        </w:tc>
      </w:tr>
    </w:tbl>
    <w:p>
      <w:pPr>
        <w:spacing w:after="40"/>
      </w:pPr>
    </w:p>
    <w:tbl>
      <w:tblPr>
        <w:tblStyle w:val="35"/>
        <w:tblW w:w="10086" w:type="dxa"/>
        <w:jc w:val="center"/>
        <w:tblInd w:w="0" w:type="dxa"/>
        <w:tblLayout w:type="fixed"/>
        <w:tblCellMar>
          <w:top w:w="0" w:type="dxa"/>
          <w:left w:w="108" w:type="dxa"/>
          <w:bottom w:w="0" w:type="dxa"/>
          <w:right w:w="108" w:type="dxa"/>
        </w:tblCellMar>
      </w:tblPr>
      <w:tblGrid>
        <w:gridCol w:w="5043"/>
        <w:gridCol w:w="5043"/>
      </w:tblGrid>
      <w:tr>
        <w:tblPrEx>
          <w:tblLayout w:type="fixed"/>
          <w:tblCellMar>
            <w:top w:w="0" w:type="dxa"/>
            <w:left w:w="108" w:type="dxa"/>
            <w:bottom w:w="0" w:type="dxa"/>
            <w:right w:w="108" w:type="dxa"/>
          </w:tblCellMar>
        </w:tblPrEx>
        <w:trPr>
          <w:jc w:val="center"/>
        </w:trPr>
        <w:tc>
          <w:tcPr>
            <w:tcW w:w="5043" w:type="dxa"/>
            <w:shd w:val="clear" w:color="auto" w:fill="1B2A20"/>
            <w:vAlign w:val="center"/>
          </w:tcPr>
          <w:p>
            <w:pPr>
              <w:jc w:val="left"/>
            </w:pPr>
            <w:r>
              <w:rPr>
                <w:b/>
                <w:color w:val="FFFFFF"/>
                <w:sz w:val="25"/>
              </w:rPr>
              <w:t>TOTAL RECURRING SUBSCRIPTION</w:t>
            </w:r>
          </w:p>
        </w:tc>
        <w:tc>
          <w:tcPr>
            <w:tcW w:w="5043" w:type="dxa"/>
            <w:shd w:val="clear" w:color="auto" w:fill="1B2A20"/>
            <w:vAlign w:val="center"/>
          </w:tcPr>
          <w:p>
            <w:pPr>
              <w:jc w:val="right"/>
            </w:pPr>
            <w:r>
              <w:rPr>
                <w:b/>
                <w:color w:val="F2A93B"/>
                <w:sz w:val="28"/>
              </w:rPr>
              <w:t>₹1,08,500 / month</w:t>
            </w:r>
          </w:p>
        </w:tc>
      </w:tr>
    </w:tbl>
    <w:p>
      <w:pPr>
        <w:spacing w:before="60"/>
      </w:pPr>
      <w:r>
        <w:rPr>
          <w:i/>
          <w:color w:val="5A5A5A"/>
          <w:sz w:val="18"/>
        </w:rPr>
        <w:t>Approx. US$ 1,300/month · ~US$ 15,600/year · excludes one-time per-resort mapping fees as new resorts are added</w:t>
      </w:r>
    </w:p>
    <w:p/>
    <w:p>
      <w:r>
        <w:br w:type="page"/>
      </w:r>
    </w:p>
    <w:p>
      <w:pPr>
        <w:pBdr>
          <w:bottom w:val="single" w:color="D98A2B" w:sz="10" w:space="4"/>
        </w:pBdr>
        <w:spacing w:before="360" w:after="160"/>
      </w:pPr>
      <w:r>
        <w:rPr>
          <w:b/>
          <w:color w:val="141F18"/>
          <w:sz w:val="34"/>
        </w:rPr>
        <w:t>Optional Add-Ons (quoted separately, scope-dependent)</w:t>
      </w:r>
    </w:p>
    <w:tbl>
      <w:tblPr>
        <w:tblStyle w:val="36"/>
        <w:tblW w:w="100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2"/>
        <w:gridCol w:w="3362"/>
        <w:gridCol w:w="33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362" w:type="dxa"/>
            <w:shd w:val="clear" w:color="auto" w:fill="1B2A20"/>
            <w:vAlign w:val="center"/>
          </w:tcPr>
          <w:p>
            <w:pPr>
              <w:spacing w:after="0" w:line="240" w:lineRule="auto"/>
              <w:jc w:val="left"/>
            </w:pPr>
            <w:r>
              <w:rPr>
                <w:b/>
                <w:color w:val="FFFFFF"/>
                <w:sz w:val="20"/>
              </w:rPr>
              <w:t>Add-on</w:t>
            </w:r>
          </w:p>
        </w:tc>
        <w:tc>
          <w:tcPr>
            <w:tcW w:w="3362" w:type="dxa"/>
            <w:shd w:val="clear" w:color="auto" w:fill="1B2A20"/>
            <w:vAlign w:val="center"/>
          </w:tcPr>
          <w:p>
            <w:pPr>
              <w:spacing w:after="0" w:line="240" w:lineRule="auto"/>
              <w:jc w:val="left"/>
            </w:pPr>
            <w:r>
              <w:rPr>
                <w:b/>
                <w:color w:val="FFFFFF"/>
                <w:sz w:val="20"/>
              </w:rPr>
              <w:t>Pricing style</w:t>
            </w:r>
          </w:p>
        </w:tc>
        <w:tc>
          <w:tcPr>
            <w:tcW w:w="3362" w:type="dxa"/>
            <w:shd w:val="clear" w:color="auto" w:fill="1B2A20"/>
            <w:vAlign w:val="center"/>
          </w:tcPr>
          <w:p>
            <w:pPr>
              <w:spacing w:after="0" w:line="240" w:lineRule="auto"/>
              <w:jc w:val="right"/>
            </w:pPr>
            <w:r>
              <w:rPr>
                <w:b/>
                <w:color w:val="FFFFFF"/>
                <w:sz w:val="20"/>
              </w:rPr>
              <w:t>Why it’s separate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362" w:type="dxa"/>
            <w:shd w:val="clear" w:color="auto" w:fill="FFFFFF"/>
            <w:vAlign w:val="center"/>
          </w:tcPr>
          <w:p>
            <w:pPr>
              <w:spacing w:after="0" w:line="240" w:lineRule="auto"/>
              <w:jc w:val="left"/>
            </w:pPr>
            <w:r>
              <w:rPr>
                <w:b w:val="0"/>
                <w:color w:val="222222"/>
                <w:sz w:val="20"/>
              </w:rPr>
              <w:t>PMS integration (automatic check-in/checkout enforcement)</w:t>
            </w:r>
          </w:p>
        </w:tc>
        <w:tc>
          <w:tcPr>
            <w:tcW w:w="3362" w:type="dxa"/>
            <w:shd w:val="clear" w:color="auto" w:fill="FFFFFF"/>
            <w:vAlign w:val="center"/>
          </w:tcPr>
          <w:p>
            <w:pPr>
              <w:spacing w:after="0" w:line="240" w:lineRule="auto"/>
              <w:jc w:val="left"/>
            </w:pPr>
            <w:r>
              <w:rPr>
                <w:b w:val="0"/>
                <w:color w:val="222222"/>
                <w:sz w:val="20"/>
              </w:rPr>
              <w:t>One-time ₹75,000 – 1,50,000 + ~₹5,000/month</w:t>
            </w:r>
          </w:p>
        </w:tc>
        <w:tc>
          <w:tcPr>
            <w:tcW w:w="3362" w:type="dxa"/>
            <w:shd w:val="clear" w:color="auto" w:fill="FFFFFF"/>
            <w:vAlign w:val="center"/>
          </w:tcPr>
          <w:p>
            <w:pPr>
              <w:spacing w:after="0" w:line="240" w:lineRule="auto"/>
              <w:jc w:val="right"/>
            </w:pPr>
            <w:r>
              <w:rPr>
                <w:b/>
                <w:color w:val="222222"/>
                <w:sz w:val="20"/>
              </w:rPr>
              <w:t>Depends heavily on which PMS is used and whether it offers a usable API — needs scoping before a firm quote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362" w:type="dxa"/>
            <w:shd w:val="clear" w:color="auto" w:fill="F4EFE3"/>
            <w:vAlign w:val="center"/>
          </w:tcPr>
          <w:p>
            <w:pPr>
              <w:spacing w:after="0" w:line="240" w:lineRule="auto"/>
              <w:jc w:val="left"/>
            </w:pPr>
            <w:r>
              <w:rPr>
                <w:b w:val="0"/>
                <w:color w:val="222222"/>
                <w:sz w:val="20"/>
              </w:rPr>
              <w:t>Custom domain setup</w:t>
            </w:r>
          </w:p>
        </w:tc>
        <w:tc>
          <w:tcPr>
            <w:tcW w:w="3362" w:type="dxa"/>
            <w:shd w:val="clear" w:color="auto" w:fill="F4EFE3"/>
            <w:vAlign w:val="center"/>
          </w:tcPr>
          <w:p>
            <w:pPr>
              <w:spacing w:after="0" w:line="240" w:lineRule="auto"/>
              <w:jc w:val="left"/>
            </w:pPr>
            <w:r>
              <w:rPr>
                <w:b w:val="0"/>
                <w:color w:val="222222"/>
                <w:sz w:val="20"/>
              </w:rPr>
              <w:t>One-time ₹5,000 – 10,000 (or ₹0 if client’s domain team handles DNS)</w:t>
            </w:r>
          </w:p>
        </w:tc>
        <w:tc>
          <w:tcPr>
            <w:tcW w:w="3362" w:type="dxa"/>
            <w:shd w:val="clear" w:color="auto" w:fill="F4EFE3"/>
            <w:vAlign w:val="center"/>
          </w:tcPr>
          <w:p>
            <w:pPr>
              <w:spacing w:after="0" w:line="240" w:lineRule="auto"/>
              <w:jc w:val="right"/>
            </w:pPr>
            <w:r>
              <w:rPr>
                <w:b/>
                <w:color w:val="222222"/>
                <w:sz w:val="20"/>
              </w:rPr>
              <w:t>Minimal effort once, not recurring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362" w:type="dxa"/>
            <w:shd w:val="clear" w:color="auto" w:fill="FFFFFF"/>
            <w:vAlign w:val="center"/>
          </w:tcPr>
          <w:p>
            <w:pPr>
              <w:spacing w:after="0" w:line="240" w:lineRule="auto"/>
              <w:jc w:val="left"/>
            </w:pPr>
            <w:r>
              <w:rPr>
                <w:b w:val="0"/>
                <w:color w:val="222222"/>
                <w:sz w:val="20"/>
              </w:rPr>
              <w:t>Multi-language support</w:t>
            </w:r>
          </w:p>
        </w:tc>
        <w:tc>
          <w:tcPr>
            <w:tcW w:w="3362" w:type="dxa"/>
            <w:shd w:val="clear" w:color="auto" w:fill="FFFFFF"/>
            <w:vAlign w:val="center"/>
          </w:tcPr>
          <w:p>
            <w:pPr>
              <w:spacing w:after="0" w:line="240" w:lineRule="auto"/>
              <w:jc w:val="left"/>
            </w:pPr>
            <w:r>
              <w:rPr>
                <w:b w:val="0"/>
                <w:color w:val="222222"/>
                <w:sz w:val="20"/>
              </w:rPr>
              <w:t>Quoted per language</w:t>
            </w:r>
          </w:p>
        </w:tc>
        <w:tc>
          <w:tcPr>
            <w:tcW w:w="3362" w:type="dxa"/>
            <w:shd w:val="clear" w:color="auto" w:fill="FFFFFF"/>
            <w:vAlign w:val="center"/>
          </w:tcPr>
          <w:p>
            <w:pPr>
              <w:spacing w:after="0" w:line="240" w:lineRule="auto"/>
              <w:jc w:val="right"/>
            </w:pPr>
            <w:r>
              <w:rPr>
                <w:b/>
                <w:color w:val="222222"/>
                <w:sz w:val="20"/>
              </w:rPr>
              <w:t>Real translation and testing effort per language</w:t>
            </w:r>
          </w:p>
        </w:tc>
      </w:tr>
    </w:tbl>
    <w:p>
      <w:pPr>
        <w:spacing w:after="40"/>
      </w:pPr>
    </w:p>
    <w:p>
      <w:pPr>
        <w:pBdr>
          <w:bottom w:val="single" w:color="D98A2B" w:sz="10" w:space="4"/>
        </w:pBdr>
        <w:spacing w:before="360" w:after="160"/>
      </w:pPr>
      <w:r>
        <w:rPr>
          <w:b/>
          <w:color w:val="141F18"/>
          <w:sz w:val="34"/>
        </w:rPr>
        <w:t>Which Model to Choose</w:t>
      </w:r>
    </w:p>
    <w:tbl>
      <w:tblPr>
        <w:tblStyle w:val="36"/>
        <w:tblW w:w="100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2"/>
        <w:gridCol w:w="3362"/>
        <w:gridCol w:w="33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362" w:type="dxa"/>
            <w:shd w:val="clear" w:color="auto" w:fill="1B2A20"/>
            <w:vAlign w:val="center"/>
          </w:tcPr>
          <w:p>
            <w:pPr>
              <w:spacing w:after="0" w:line="240" w:lineRule="auto"/>
              <w:jc w:val="left"/>
            </w:pPr>
          </w:p>
        </w:tc>
        <w:tc>
          <w:tcPr>
            <w:tcW w:w="3362" w:type="dxa"/>
            <w:shd w:val="clear" w:color="auto" w:fill="1B2A20"/>
            <w:vAlign w:val="center"/>
          </w:tcPr>
          <w:p>
            <w:pPr>
              <w:spacing w:after="0" w:line="240" w:lineRule="auto"/>
              <w:jc w:val="left"/>
            </w:pPr>
            <w:r>
              <w:rPr>
                <w:b/>
                <w:color w:val="FFFFFF"/>
                <w:sz w:val="20"/>
              </w:rPr>
              <w:t>Way 1 — Direct One-Time</w:t>
            </w:r>
          </w:p>
        </w:tc>
        <w:tc>
          <w:tcPr>
            <w:tcW w:w="3362" w:type="dxa"/>
            <w:shd w:val="clear" w:color="auto" w:fill="1B2A20"/>
            <w:vAlign w:val="center"/>
          </w:tcPr>
          <w:p>
            <w:pPr>
              <w:spacing w:after="0" w:line="240" w:lineRule="auto"/>
              <w:jc w:val="right"/>
            </w:pPr>
            <w:r>
              <w:rPr>
                <w:b/>
                <w:color w:val="FFFFFF"/>
                <w:sz w:val="20"/>
              </w:rPr>
              <w:t>Way 2 — Slot + Subscription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362" w:type="dxa"/>
            <w:shd w:val="clear" w:color="auto" w:fill="FFFFFF"/>
            <w:vAlign w:val="center"/>
          </w:tcPr>
          <w:p>
            <w:pPr>
              <w:spacing w:after="0" w:line="240" w:lineRule="auto"/>
              <w:jc w:val="left"/>
            </w:pPr>
            <w:r>
              <w:rPr>
                <w:b w:val="0"/>
                <w:color w:val="222222"/>
                <w:sz w:val="20"/>
              </w:rPr>
              <w:t>Upfront cost</w:t>
            </w:r>
          </w:p>
        </w:tc>
        <w:tc>
          <w:tcPr>
            <w:tcW w:w="3362" w:type="dxa"/>
            <w:shd w:val="clear" w:color="auto" w:fill="FFFFFF"/>
            <w:vAlign w:val="center"/>
          </w:tcPr>
          <w:p>
            <w:pPr>
              <w:spacing w:after="0" w:line="240" w:lineRule="auto"/>
              <w:jc w:val="left"/>
            </w:pPr>
            <w:r>
              <w:rPr>
                <w:b w:val="0"/>
                <w:color w:val="222222"/>
                <w:sz w:val="20"/>
              </w:rPr>
              <w:t>Higher (₹9,73,000)</w:t>
            </w:r>
          </w:p>
        </w:tc>
        <w:tc>
          <w:tcPr>
            <w:tcW w:w="3362" w:type="dxa"/>
            <w:shd w:val="clear" w:color="auto" w:fill="FFFFFF"/>
            <w:vAlign w:val="center"/>
          </w:tcPr>
          <w:p>
            <w:pPr>
              <w:spacing w:after="0" w:line="240" w:lineRule="auto"/>
              <w:jc w:val="right"/>
            </w:pPr>
            <w:r>
              <w:rPr>
                <w:b/>
                <w:color w:val="222222"/>
                <w:sz w:val="20"/>
              </w:rPr>
              <w:t>Lower (₹8,70,000, resorts billed separately)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362" w:type="dxa"/>
            <w:shd w:val="clear" w:color="auto" w:fill="F4EFE3"/>
            <w:vAlign w:val="center"/>
          </w:tcPr>
          <w:p>
            <w:pPr>
              <w:spacing w:after="0" w:line="240" w:lineRule="auto"/>
              <w:jc w:val="left"/>
            </w:pPr>
            <w:r>
              <w:rPr>
                <w:b w:val="0"/>
                <w:color w:val="222222"/>
                <w:sz w:val="20"/>
              </w:rPr>
              <w:t>Ongoing cost</w:t>
            </w:r>
          </w:p>
        </w:tc>
        <w:tc>
          <w:tcPr>
            <w:tcW w:w="3362" w:type="dxa"/>
            <w:shd w:val="clear" w:color="auto" w:fill="F4EFE3"/>
            <w:vAlign w:val="center"/>
          </w:tcPr>
          <w:p>
            <w:pPr>
              <w:spacing w:after="0" w:line="240" w:lineRule="auto"/>
              <w:jc w:val="left"/>
            </w:pPr>
            <w:r>
              <w:rPr>
                <w:b w:val="0"/>
                <w:color w:val="222222"/>
                <w:sz w:val="20"/>
              </w:rPr>
              <w:t>Optional AMC only (₹60,000–90,000/yr)</w:t>
            </w:r>
          </w:p>
        </w:tc>
        <w:tc>
          <w:tcPr>
            <w:tcW w:w="3362" w:type="dxa"/>
            <w:shd w:val="clear" w:color="auto" w:fill="F4EFE3"/>
            <w:vAlign w:val="center"/>
          </w:tcPr>
          <w:p>
            <w:pPr>
              <w:spacing w:after="0" w:line="240" w:lineRule="auto"/>
              <w:jc w:val="right"/>
            </w:pPr>
            <w:r>
              <w:rPr>
                <w:b/>
                <w:color w:val="222222"/>
                <w:sz w:val="20"/>
              </w:rPr>
              <w:t>Required monthly subscription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362" w:type="dxa"/>
            <w:shd w:val="clear" w:color="auto" w:fill="FFFFFF"/>
            <w:vAlign w:val="center"/>
          </w:tcPr>
          <w:p>
            <w:pPr>
              <w:spacing w:after="0" w:line="240" w:lineRule="auto"/>
              <w:jc w:val="left"/>
            </w:pPr>
            <w:r>
              <w:rPr>
                <w:b w:val="0"/>
                <w:color w:val="222222"/>
                <w:sz w:val="20"/>
              </w:rPr>
              <w:t>Best when...</w:t>
            </w:r>
          </w:p>
        </w:tc>
        <w:tc>
          <w:tcPr>
            <w:tcW w:w="3362" w:type="dxa"/>
            <w:shd w:val="clear" w:color="auto" w:fill="FFFFFF"/>
            <w:vAlign w:val="center"/>
          </w:tcPr>
          <w:p>
            <w:pPr>
              <w:spacing w:after="0" w:line="240" w:lineRule="auto"/>
              <w:jc w:val="left"/>
            </w:pPr>
            <w:r>
              <w:rPr>
                <w:b w:val="0"/>
                <w:color w:val="222222"/>
                <w:sz w:val="20"/>
              </w:rPr>
              <w:t>Client wants full ownership and predictable one-time budget</w:t>
            </w:r>
          </w:p>
        </w:tc>
        <w:tc>
          <w:tcPr>
            <w:tcW w:w="3362" w:type="dxa"/>
            <w:shd w:val="clear" w:color="auto" w:fill="FFFFFF"/>
            <w:vAlign w:val="center"/>
          </w:tcPr>
          <w:p>
            <w:pPr>
              <w:spacing w:after="0" w:line="240" w:lineRule="auto"/>
              <w:jc w:val="right"/>
            </w:pPr>
            <w:r>
              <w:rPr>
                <w:b/>
                <w:color w:val="222222"/>
                <w:sz w:val="20"/>
              </w:rPr>
              <w:t>Client wants to scale resort-by-resort and pay based on usage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362" w:type="dxa"/>
            <w:shd w:val="clear" w:color="auto" w:fill="F4EFE3"/>
            <w:vAlign w:val="center"/>
          </w:tcPr>
          <w:p>
            <w:pPr>
              <w:spacing w:after="0" w:line="240" w:lineRule="auto"/>
              <w:jc w:val="left"/>
            </w:pPr>
            <w:r>
              <w:rPr>
                <w:b w:val="0"/>
                <w:color w:val="222222"/>
                <w:sz w:val="20"/>
              </w:rPr>
              <w:t>Resort rollout pace</w:t>
            </w:r>
          </w:p>
        </w:tc>
        <w:tc>
          <w:tcPr>
            <w:tcW w:w="3362" w:type="dxa"/>
            <w:shd w:val="clear" w:color="auto" w:fill="F4EFE3"/>
            <w:vAlign w:val="center"/>
          </w:tcPr>
          <w:p>
            <w:pPr>
              <w:spacing w:after="0" w:line="240" w:lineRule="auto"/>
              <w:jc w:val="left"/>
            </w:pPr>
            <w:r>
              <w:rPr>
                <w:b w:val="0"/>
                <w:color w:val="222222"/>
                <w:sz w:val="20"/>
              </w:rPr>
              <w:t>All at once, or add later at per-resort rates</w:t>
            </w:r>
          </w:p>
        </w:tc>
        <w:tc>
          <w:tcPr>
            <w:tcW w:w="3362" w:type="dxa"/>
            <w:shd w:val="clear" w:color="auto" w:fill="F4EFE3"/>
            <w:vAlign w:val="center"/>
          </w:tcPr>
          <w:p>
            <w:pPr>
              <w:spacing w:after="0" w:line="240" w:lineRule="auto"/>
              <w:jc w:val="right"/>
            </w:pPr>
            <w:r>
              <w:rPr>
                <w:b/>
                <w:color w:val="222222"/>
                <w:sz w:val="20"/>
              </w:rPr>
              <w:t>Naturally incremental — add resorts over time</w:t>
            </w:r>
          </w:p>
        </w:tc>
      </w:tr>
    </w:tbl>
    <w:p>
      <w:pPr>
        <w:spacing w:after="40"/>
      </w:pPr>
    </w:p>
    <w:p>
      <w:pPr>
        <w:pBdr>
          <w:bottom w:val="single" w:color="D98A2B" w:sz="10" w:space="4"/>
        </w:pBdr>
        <w:spacing w:before="400" w:after="160"/>
      </w:pPr>
      <w:r>
        <w:rPr>
          <w:b/>
          <w:color w:val="141F18"/>
          <w:sz w:val="28"/>
        </w:rPr>
        <w:t>Payment Terms (suggested)</w:t>
      </w:r>
    </w:p>
    <w:p>
      <w:pPr>
        <w:pStyle w:val="20"/>
        <w:spacing w:after="80"/>
      </w:pPr>
      <w:r>
        <w:rPr>
          <w:color w:val="222222"/>
          <w:sz w:val="21"/>
        </w:rPr>
        <w:t>Way 1: 40% advance to begin, 40% on demo/UAT sign-off, 20% on final handover.</w:t>
      </w:r>
    </w:p>
    <w:p>
      <w:pPr>
        <w:pStyle w:val="20"/>
        <w:spacing w:after="80"/>
      </w:pPr>
      <w:r>
        <w:rPr>
          <w:color w:val="222222"/>
          <w:sz w:val="21"/>
        </w:rPr>
        <w:t>Way 2: 50% advance on platform build, 50% on handover; subscription billed monthly or annually in advance.</w:t>
      </w:r>
    </w:p>
    <w:p>
      <w:pPr>
        <w:pStyle w:val="20"/>
        <w:spacing w:after="80"/>
      </w:pPr>
      <w:r>
        <w:rPr>
          <w:color w:val="222222"/>
          <w:sz w:val="21"/>
        </w:rPr>
        <w:t>Per-resort mapping fees (Way 2, Section B) invoiced as each resort is delivered and approved.</w:t>
      </w:r>
    </w:p>
    <w:p>
      <w:pPr>
        <w:pStyle w:val="20"/>
        <w:spacing w:after="80"/>
      </w:pPr>
      <w:r>
        <w:rPr>
          <w:color w:val="222222"/>
          <w:sz w:val="21"/>
        </w:rPr>
        <w:t>All figures in Indian Rupees (₹); approximate USD figures shown for reference only, at ~₹83 = US$1.</w:t>
      </w:r>
    </w:p>
    <w:sectPr>
      <w:pgSz w:w="12240" w:h="15840"/>
      <w:pgMar w:top="907" w:right="1077" w:bottom="907" w:left="107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Cambria">
    <w:altName w:val="FreeSerif"/>
    <w:panose1 w:val="02040503050406030204"/>
    <w:charset w:val="00"/>
    <w:family w:val="auto"/>
    <w:pitch w:val="default"/>
    <w:sig w:usb0="00000000" w:usb1="00000000" w:usb2="00000000" w:usb3="00000000" w:csb0="0000019F" w:csb1="00000000"/>
  </w:font>
  <w:font w:name="ＭＳ 明朝">
    <w:altName w:val="URW Bookman"/>
    <w:panose1 w:val="00000000000000000000"/>
    <w:charset w:val="80"/>
    <w:family w:val="roman"/>
    <w:pitch w:val="default"/>
    <w:sig w:usb0="00000000" w:usb1="00000000" w:usb2="00000010" w:usb3="00000000" w:csb0="00020000" w:csb1="00000000"/>
  </w:font>
  <w:font w:name="ＭＳ 明朝">
    <w:altName w:val="Droid Sans Fallback"/>
    <w:panose1 w:val="00000000000000000000"/>
    <w:charset w:val="86"/>
    <w:family w:val="auto"/>
    <w:pitch w:val="default"/>
    <w:sig w:usb0="00000000" w:usb1="00000000" w:usb2="00000000" w:usb3="00000000" w:csb0="00000000" w:csb1="00000000"/>
  </w:font>
  <w:font w:name="ＭＳ ゴシック">
    <w:altName w:val="URW Bookman"/>
    <w:panose1 w:val="00000000000000000000"/>
    <w:charset w:val="80"/>
    <w:family w:val="modern"/>
    <w:pitch w:val="default"/>
    <w:sig w:usb0="00000000" w:usb1="00000000" w:usb2="00000010" w:usb3="00000000" w:csb0="00020000" w:csb1="00000000"/>
  </w:font>
  <w:font w:name="Symbol">
    <w:panose1 w:val="05050102010706020507"/>
    <w:charset w:val="02"/>
    <w:family w:val="auto"/>
    <w:pitch w:val="default"/>
    <w:sig w:usb0="00000000" w:usb1="00000000" w:usb2="00000000" w:usb3="00000000" w:csb0="80000000" w:csb1="00000000"/>
  </w:font>
  <w:font w:name="Courier">
    <w:altName w:val="DejaVu Math TeX Gyre"/>
    <w:panose1 w:val="02000500000000000000"/>
    <w:charset w:val="00"/>
    <w:family w:val="auto"/>
    <w:pitch w:val="default"/>
    <w:sig w:usb0="00000000" w:usb1="00000000" w:usb2="00000000" w:usb3="00000000" w:csb0="00000001" w:csb1="00000000"/>
  </w:font>
  <w:font w:name="ＭＳ 明朝">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DejaVu Sans">
    <w:panose1 w:val="020B0603030804020204"/>
    <w:charset w:val="00"/>
    <w:family w:val="auto"/>
    <w:pitch w:val="default"/>
    <w:sig w:usb0="E7006EFF" w:usb1="D200FDFF" w:usb2="0A246029" w:usb3="0400200C" w:csb0="600001FF" w:csb1="DFFF0000"/>
  </w:font>
  <w:font w:name="FreeSerif">
    <w:panose1 w:val="02020603050405020304"/>
    <w:charset w:val="00"/>
    <w:family w:val="auto"/>
    <w:pitch w:val="default"/>
    <w:sig w:usb0="E5DFAFFF" w:usb1="C240FDFF" w:usb2="4B541B29" w:usb3="0400004B" w:csb0="6001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3F74C9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222222"/>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semiHidden/>
    <w:unhideWhenUsed/>
    <w:uiPriority w:val="1"/>
  </w:style>
  <w:style w:type="table" w:default="1" w:styleId="35">
    <w:name w:val="Normal Table"/>
    <w:semiHidden/>
    <w:unhideWhenUsed/>
    <w:uiPriority w:val="99"/>
    <w:tblPr>
      <w:tblLayout w:type="fixed"/>
      <w:tblCellMar>
        <w:top w:w="0" w:type="dxa"/>
        <w:left w:w="108" w:type="dxa"/>
        <w:bottom w:w="0" w:type="dxa"/>
        <w:right w:w="108" w:type="dxa"/>
      </w:tblCellMar>
    </w:tblPr>
  </w:style>
  <w:style w:type="paragraph" w:styleId="11">
    <w:name w:val="Body Text"/>
    <w:basedOn w:val="1"/>
    <w:link w:val="144"/>
    <w:unhideWhenUsed/>
    <w:uiPriority w:val="99"/>
    <w:pPr>
      <w:spacing w:after="120"/>
    </w:pPr>
  </w:style>
  <w:style w:type="paragraph" w:styleId="12">
    <w:name w:val="Body Text 2"/>
    <w:basedOn w:val="1"/>
    <w:link w:val="145"/>
    <w:unhideWhenUsed/>
    <w:uiPriority w:val="99"/>
    <w:pPr>
      <w:spacing w:after="120" w:line="480" w:lineRule="auto"/>
    </w:pPr>
  </w:style>
  <w:style w:type="paragraph" w:styleId="13">
    <w:name w:val="Body Text 3"/>
    <w:basedOn w:val="1"/>
    <w:link w:val="146"/>
    <w:unhideWhenUsed/>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6"/>
    <w:unhideWhenUsed/>
    <w:uiPriority w:val="99"/>
    <w:pPr>
      <w:tabs>
        <w:tab w:val="center" w:pos="4680"/>
        <w:tab w:val="right" w:pos="9360"/>
      </w:tabs>
      <w:spacing w:after="0" w:line="240" w:lineRule="auto"/>
    </w:pPr>
  </w:style>
  <w:style w:type="paragraph" w:styleId="16">
    <w:name w:val="header"/>
    <w:basedOn w:val="1"/>
    <w:link w:val="135"/>
    <w:unhideWhenUsed/>
    <w:uiPriority w:val="99"/>
    <w:pPr>
      <w:tabs>
        <w:tab w:val="center" w:pos="4680"/>
        <w:tab w:val="right" w:pos="9360"/>
      </w:tabs>
      <w:spacing w:after="0" w:line="240" w:lineRule="auto"/>
    </w:pPr>
  </w:style>
  <w:style w:type="paragraph" w:styleId="17">
    <w:name w:val="List"/>
    <w:basedOn w:val="1"/>
    <w:unhideWhenUsed/>
    <w:uiPriority w:val="99"/>
    <w:pPr>
      <w:ind w:left="360" w:hanging="360"/>
      <w:contextualSpacing/>
    </w:pPr>
  </w:style>
  <w:style w:type="paragraph" w:styleId="18">
    <w:name w:val="List 2"/>
    <w:basedOn w:val="1"/>
    <w:unhideWhenUsed/>
    <w:uiPriority w:val="99"/>
    <w:pPr>
      <w:ind w:left="720" w:hanging="360"/>
      <w:contextualSpacing/>
    </w:pPr>
  </w:style>
  <w:style w:type="paragraph" w:styleId="19">
    <w:name w:val="List 3"/>
    <w:basedOn w:val="1"/>
    <w:unhideWhenUsed/>
    <w:uiPriority w:val="99"/>
    <w:pPr>
      <w:ind w:left="1080" w:hanging="360"/>
      <w:contextualSpacing/>
    </w:pPr>
  </w:style>
  <w:style w:type="paragraph" w:styleId="20">
    <w:name w:val="List Bullet"/>
    <w:basedOn w:val="1"/>
    <w:unhideWhenUsed/>
    <w:uiPriority w:val="99"/>
    <w:pPr>
      <w:numPr>
        <w:ilvl w:val="0"/>
        <w:numId w:val="1"/>
      </w:numPr>
      <w:contextualSpacing/>
    </w:pPr>
  </w:style>
  <w:style w:type="paragraph" w:styleId="21">
    <w:name w:val="List Bullet 2"/>
    <w:basedOn w:val="1"/>
    <w:unhideWhenUsed/>
    <w:uiPriority w:val="99"/>
    <w:pPr>
      <w:numPr>
        <w:ilvl w:val="0"/>
        <w:numId w:val="2"/>
      </w:numPr>
      <w:contextualSpacing/>
    </w:pPr>
  </w:style>
  <w:style w:type="paragraph" w:styleId="22">
    <w:name w:val="List Bullet 3"/>
    <w:basedOn w:val="1"/>
    <w:unhideWhenUsed/>
    <w:uiPriority w:val="99"/>
    <w:pPr>
      <w:numPr>
        <w:ilvl w:val="0"/>
        <w:numId w:val="3"/>
      </w:numPr>
      <w:contextualSpacing/>
    </w:pPr>
  </w:style>
  <w:style w:type="paragraph" w:styleId="23">
    <w:name w:val="List Continue"/>
    <w:basedOn w:val="1"/>
    <w:unhideWhenUsed/>
    <w:uiPriority w:val="99"/>
    <w:pPr>
      <w:spacing w:after="120"/>
      <w:ind w:left="360"/>
      <w:contextualSpacing/>
    </w:pPr>
  </w:style>
  <w:style w:type="paragraph" w:styleId="24">
    <w:name w:val="List Continue 2"/>
    <w:basedOn w:val="1"/>
    <w:unhideWhenUsed/>
    <w:uiPriority w:val="99"/>
    <w:pPr>
      <w:spacing w:after="120"/>
      <w:ind w:left="720"/>
      <w:contextualSpacing/>
    </w:pPr>
  </w:style>
  <w:style w:type="paragraph" w:styleId="25">
    <w:name w:val="List Continue 3"/>
    <w:basedOn w:val="1"/>
    <w:unhideWhenUsed/>
    <w:uiPriority w:val="99"/>
    <w:pPr>
      <w:spacing w:after="120"/>
      <w:ind w:left="1080"/>
      <w:contextualSpacing/>
    </w:pPr>
  </w:style>
  <w:style w:type="paragraph" w:styleId="26">
    <w:name w:val="List Number"/>
    <w:basedOn w:val="1"/>
    <w:unhideWhenUsed/>
    <w:uiPriority w:val="99"/>
    <w:pPr>
      <w:numPr>
        <w:ilvl w:val="0"/>
        <w:numId w:val="4"/>
      </w:numPr>
      <w:contextualSpacing/>
    </w:pPr>
  </w:style>
  <w:style w:type="paragraph" w:styleId="27">
    <w:name w:val="List Number 2"/>
    <w:basedOn w:val="1"/>
    <w:unhideWhenUsed/>
    <w:uiPriority w:val="99"/>
    <w:pPr>
      <w:numPr>
        <w:ilvl w:val="0"/>
        <w:numId w:val="5"/>
      </w:numPr>
      <w:contextualSpacing/>
    </w:pPr>
  </w:style>
  <w:style w:type="paragraph" w:styleId="28">
    <w:name w:val="List Number 3"/>
    <w:basedOn w:val="1"/>
    <w:unhideWhenUsed/>
    <w:uiPriority w:val="99"/>
    <w:pPr>
      <w:numPr>
        <w:ilvl w:val="0"/>
        <w:numId w:val="6"/>
      </w:numPr>
      <w:contextualSpacing/>
    </w:pPr>
  </w:style>
  <w:style w:type="paragraph" w:styleId="29">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3">
    <w:name w:val="Emphasis"/>
    <w:basedOn w:val="32"/>
    <w:qFormat/>
    <w:uiPriority w:val="20"/>
    <w:rPr>
      <w:i/>
      <w:iCs/>
    </w:rPr>
  </w:style>
  <w:style w:type="character" w:styleId="34">
    <w:name w:val="Strong"/>
    <w:basedOn w:val="32"/>
    <w:qFormat/>
    <w:uiPriority w:val="22"/>
    <w:rPr>
      <w:b/>
      <w:bCs/>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5">
    <w:name w:val="Header Char"/>
    <w:basedOn w:val="32"/>
    <w:link w:val="16"/>
    <w:uiPriority w:val="99"/>
  </w:style>
  <w:style w:type="character" w:customStyle="1" w:styleId="136">
    <w:name w:val="Footer Char"/>
    <w:basedOn w:val="32"/>
    <w:link w:val="15"/>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30"/>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32"/>
    <w:link w:val="11"/>
    <w:uiPriority w:val="99"/>
  </w:style>
  <w:style w:type="character" w:customStyle="1" w:styleId="145">
    <w:name w:val="Body Text 2 Char"/>
    <w:basedOn w:val="32"/>
    <w:link w:val="12"/>
    <w:uiPriority w:val="99"/>
  </w:style>
  <w:style w:type="character" w:customStyle="1" w:styleId="146">
    <w:name w:val="Body Text 3 Char"/>
    <w:basedOn w:val="32"/>
    <w:link w:val="13"/>
    <w:uiPriority w:val="99"/>
    <w:rPr>
      <w:sz w:val="16"/>
      <w:szCs w:val="16"/>
    </w:rPr>
  </w:style>
  <w:style w:type="character" w:customStyle="1" w:styleId="147">
    <w:name w:val="Macro Text Char"/>
    <w:basedOn w:val="32"/>
    <w:link w:val="29"/>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uiPriority w:val="29"/>
    <w:rPr>
      <w:i/>
      <w:iCs/>
      <w:color w:val="000000" w:themeColor="text1"/>
      <w14:textFill>
        <w14:solidFill>
          <w14:schemeClr w14:val="tx1"/>
        </w14:solidFill>
      </w14:textFill>
    </w:rPr>
  </w:style>
  <w:style w:type="character" w:customStyle="1" w:styleId="150">
    <w:name w:val="Heading 4 Char"/>
    <w:basedOn w:val="32"/>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kartik</cp:lastModifiedBy>
  <dcterms:modified xsi:type="dcterms:W3CDTF">2026-07-23T16:28:37Z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