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1.png" ContentType="image/png"/>
  <Override PartName="/word/media/rId23.png" ContentType="image/png"/>
  <Override PartName="/word/media/rId16.png" ContentType="image/png"/>
  <Override PartName="/word/media/rId20.png" ContentType="image/png"/>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Trader Performance vs Bitcoin Sentiment</w:t>
      </w:r>
    </w:p>
    <w:p>
      <w:pPr>
        <w:pStyle w:val="Subtitle"/>
      </w:pPr>
      <w:r>
        <w:t xml:space="preserve">Primetrade.ai Data Science Internship Assignment</w:t>
      </w:r>
    </w:p>
    <w:p>
      <w:pPr>
        <w:pStyle w:val="Author"/>
      </w:pPr>
      <w:r>
        <w:t xml:space="preserve">Kartik Shirode</w:t>
      </w:r>
    </w:p>
    <w:bookmarkStart w:id="38" w:name="trader-performance-vs-bitcoin-sentiment"/>
    <w:p>
      <w:pPr>
        <w:pStyle w:val="Heading1"/>
      </w:pPr>
      <w:r>
        <w:t xml:space="preserve">Trader Performance vs Bitcoin Sentiment</w:t>
      </w:r>
    </w:p>
    <w:p>
      <w:pPr>
        <w:pStyle w:val="FirstParagraph"/>
      </w:pPr>
      <w:r>
        <w:t xml:space="preserve">Primetrade.ai assignment writeup. Author: Kartik Shirode.</w:t>
      </w:r>
    </w:p>
    <w:bookmarkStart w:id="15" w:name="what-the-data-looks-like"/>
    <w:p>
      <w:pPr>
        <w:pStyle w:val="Heading2"/>
      </w:pPr>
      <w:r>
        <w:t xml:space="preserve">1. What the data looks like</w:t>
      </w:r>
    </w:p>
    <w:p>
      <w:pPr>
        <w:pStyle w:val="FirstParagraph"/>
      </w:pPr>
      <w:r>
        <w:t xml:space="preserve">Two sources got joined on the trade date.</w:t>
      </w:r>
    </w:p>
    <w:p>
      <w:pPr>
        <w:pStyle w:val="BodyText"/>
      </w:pPr>
      <w:r>
        <w:rPr>
          <w:b/>
          <w:bCs/>
        </w:rPr>
        <w:t xml:space="preserve">Hyperliquid trades.</w:t>
      </w:r>
      <w:r>
        <w:t xml:space="preserve"> </w:t>
      </w:r>
      <w:r>
        <w:t xml:space="preserve">211,224 rows covering 2023-05-01 to 2025-05-01. Sixteen columns including the account address, coin, execution price, USD size, side (BUY or SELL), IST timestamp, start position, and closed PnL. No leverage column, so the risk view here uses notional and per-trade PnL standard deviation as a stand-in. About 49 percent of rows are actual close events (non-zero closed PnL). The rest are entries or scale-ins where PnL is zero by construction.</w:t>
      </w:r>
    </w:p>
    <w:p>
      <w:pPr>
        <w:pStyle w:val="BodyText"/>
      </w:pPr>
      <w:r>
        <w:rPr>
          <w:b/>
          <w:bCs/>
        </w:rPr>
        <w:t xml:space="preserve">Bitcoin Fear and Greed Index.</w:t>
      </w:r>
      <w:r>
        <w:t xml:space="preserve"> </w:t>
      </w:r>
      <w:r>
        <w:t xml:space="preserve">2,644 daily rows from 2018-02-01 to 2025-05-02, with a numeric value 0 to 100 and a five-class label: Extreme Fear, Fear, Neutral, Greed, Extreme Greed. The trades window sits entirely inside the sentiment window, so the join lands cleanly with only 6 unlabelled rows out of 211k.</w:t>
      </w:r>
    </w:p>
    <w:p>
      <w:pPr>
        <w:pStyle w:val="CaptionedFigure"/>
      </w:pPr>
      <w:r>
        <w:drawing>
          <wp:inline>
            <wp:extent cx="5334000" cy="1524000"/>
            <wp:effectExtent b="0" l="0" r="0" t="0"/>
            <wp:docPr descr="Bitcoin Fear and Greed Index over the trades window" title="" id="10" name="Picture"/>
            <a:graphic>
              <a:graphicData uri="http://schemas.openxmlformats.org/drawingml/2006/picture">
                <pic:pic>
                  <pic:nvPicPr>
                    <pic:cNvPr descr="sentiment_timeline.png" id="11" name="Picture"/>
                    <pic:cNvPicPr>
                      <a:picLocks noChangeArrowheads="1" noChangeAspect="1"/>
                    </pic:cNvPicPr>
                  </pic:nvPicPr>
                  <pic:blipFill>
                    <a:blip r:embed="rId9"/>
                    <a:stretch>
                      <a:fillRect/>
                    </a:stretch>
                  </pic:blipFill>
                  <pic:spPr bwMode="auto">
                    <a:xfrm>
                      <a:off x="0" y="0"/>
                      <a:ext cx="5334000" cy="1524000"/>
                    </a:xfrm>
                    <a:prstGeom prst="rect">
                      <a:avLst/>
                    </a:prstGeom>
                    <a:noFill/>
                    <a:ln w="9525">
                      <a:noFill/>
                      <a:headEnd/>
                      <a:tailEnd/>
                    </a:ln>
                  </pic:spPr>
                </pic:pic>
              </a:graphicData>
            </a:graphic>
          </wp:inline>
        </w:drawing>
      </w:r>
    </w:p>
    <w:p>
      <w:pPr>
        <w:pStyle w:val="ImageCaption"/>
      </w:pPr>
      <w:r>
        <w:t xml:space="preserve">Bitcoin Fear and Greed Index over the trades window</w:t>
      </w:r>
    </w:p>
    <w:p>
      <w:pPr>
        <w:pStyle w:val="CaptionedFigure"/>
      </w:pPr>
      <w:r>
        <w:drawing>
          <wp:inline>
            <wp:extent cx="5334000" cy="1524000"/>
            <wp:effectExtent b="0" l="0" r="0" t="0"/>
            <wp:docPr descr="Trade-level closed PnL distribution and daily notional traded" title="" id="13" name="Picture"/>
            <a:graphic>
              <a:graphicData uri="http://schemas.openxmlformats.org/drawingml/2006/picture">
                <pic:pic>
                  <pic:nvPicPr>
                    <pic:cNvPr descr="trades_eda.png" id="14" name="Picture"/>
                    <pic:cNvPicPr>
                      <a:picLocks noChangeArrowheads="1" noChangeAspect="1"/>
                    </pic:cNvPicPr>
                  </pic:nvPicPr>
                  <pic:blipFill>
                    <a:blip r:embed="rId12"/>
                    <a:stretch>
                      <a:fillRect/>
                    </a:stretch>
                  </pic:blipFill>
                  <pic:spPr bwMode="auto">
                    <a:xfrm>
                      <a:off x="0" y="0"/>
                      <a:ext cx="5334000" cy="1524000"/>
                    </a:xfrm>
                    <a:prstGeom prst="rect">
                      <a:avLst/>
                    </a:prstGeom>
                    <a:noFill/>
                    <a:ln w="9525">
                      <a:noFill/>
                      <a:headEnd/>
                      <a:tailEnd/>
                    </a:ln>
                  </pic:spPr>
                </pic:pic>
              </a:graphicData>
            </a:graphic>
          </wp:inline>
        </w:drawing>
      </w:r>
    </w:p>
    <w:p>
      <w:pPr>
        <w:pStyle w:val="ImageCaption"/>
      </w:pPr>
      <w:r>
        <w:t xml:space="preserve">Trade-level closed PnL distribution and daily notional traded</w:t>
      </w:r>
    </w:p>
    <w:bookmarkEnd w:id="15"/>
    <w:bookmarkStart w:id="19" w:name="headline-finding"/>
    <w:p>
      <w:pPr>
        <w:pStyle w:val="Heading2"/>
      </w:pPr>
      <w:r>
        <w:t xml:space="preserve">2. Headline finding</w:t>
      </w:r>
    </w:p>
    <w:p>
      <w:pPr>
        <w:pStyle w:val="FirstParagraph"/>
      </w:pPr>
      <w:r>
        <w:t xml:space="preserve">Trader performance is not flat across sentiment regimes, and the shape of the curve is not what a naive</w:t>
      </w:r>
      <w:r>
        <w:t xml:space="preserve"> </w:t>
      </w:r>
      <w:r>
        <w:t xml:space="preserve">“buy fear, sell greed”</w:t>
      </w:r>
      <w:r>
        <w:t xml:space="preserve"> </w:t>
      </w:r>
      <w:r>
        <w:t xml:space="preserve">reading would predict.</w:t>
      </w:r>
    </w:p>
    <w:p>
      <w:pPr>
        <w:pStyle w:val="BodyText"/>
      </w:pPr>
      <w:r>
        <w:t xml:space="preserve">The strongest regime by every profitability metric is</w:t>
      </w:r>
      <w:r>
        <w:t xml:space="preserve"> </w:t>
      </w:r>
      <w:r>
        <w:rPr>
          <w:b/>
          <w:bCs/>
        </w:rPr>
        <w:t xml:space="preserve">Extreme Greed</w:t>
      </w:r>
      <w:r>
        <w:t xml:space="preserve">. Per-trade PnL averages</w:t>
      </w:r>
      <w:r>
        <w:t xml:space="preserve"> </w:t>
      </w:r>
      <m:oMath>
        <m:r>
          <m:t>67.89</m:t>
        </m:r>
        <m:r>
          <m:rPr>
            <m:sty m:val="p"/>
          </m:rPr>
          <m:t>,</m:t>
        </m:r>
        <m:r>
          <m:t>w</m:t>
        </m:r>
        <m:r>
          <m:t>i</m:t>
        </m:r>
        <m:r>
          <m:t>n</m:t>
        </m:r>
        <m:r>
          <m:t>r</m:t>
        </m:r>
        <m:r>
          <m:t>a</m:t>
        </m:r>
        <m:r>
          <m:t>t</m:t>
        </m:r>
        <m:r>
          <m:t>e</m:t>
        </m:r>
        <m:r>
          <m:t>h</m:t>
        </m:r>
        <m:r>
          <m:t>i</m:t>
        </m:r>
        <m:r>
          <m:t>t</m:t>
        </m:r>
        <m:r>
          <m:t>s</m:t>
        </m:r>
        <m:r>
          <m:t>89.2</m:t>
        </m:r>
        <m:r>
          <m:t>p</m:t>
        </m:r>
        <m:r>
          <m:t>e</m:t>
        </m:r>
        <m:r>
          <m:t>r</m:t>
        </m:r>
        <m:r>
          <m:t>c</m:t>
        </m:r>
        <m:r>
          <m:t>e</m:t>
        </m:r>
        <m:r>
          <m:t>n</m:t>
        </m:r>
        <m:r>
          <m:t>t</m:t>
        </m:r>
        <m:r>
          <m:rPr>
            <m:sty m:val="p"/>
          </m:rPr>
          <m:t>,</m:t>
        </m:r>
        <m:r>
          <m:t>p</m:t>
        </m:r>
        <m:r>
          <m:t>r</m:t>
        </m:r>
        <m:r>
          <m:t>o</m:t>
        </m:r>
        <m:r>
          <m:t>f</m:t>
        </m:r>
        <m:r>
          <m:t>i</m:t>
        </m:r>
        <m:r>
          <m:t>t</m:t>
        </m:r>
        <m:r>
          <m:t>f</m:t>
        </m:r>
        <m:r>
          <m:t>a</m:t>
        </m:r>
        <m:r>
          <m:t>c</m:t>
        </m:r>
        <m:r>
          <m:t>t</m:t>
        </m:r>
        <m:r>
          <m:t>o</m:t>
        </m:r>
        <m:r>
          <m:t>r</m:t>
        </m:r>
        <m:r>
          <m:t>r</m:t>
        </m:r>
        <m:r>
          <m:t>e</m:t>
        </m:r>
        <m:r>
          <m:t>a</m:t>
        </m:r>
        <m:r>
          <m:t>c</m:t>
        </m:r>
        <m:r>
          <m:t>h</m:t>
        </m:r>
        <m:r>
          <m:t>e</m:t>
        </m:r>
        <m:r>
          <m:t>s</m:t>
        </m:r>
        <m:r>
          <m:t>11.0</m:t>
        </m:r>
        <m:r>
          <m:rPr>
            <m:sty m:val="p"/>
          </m:rPr>
          <m:t>,</m:t>
        </m:r>
        <m:r>
          <m:t>a</m:t>
        </m:r>
        <m:r>
          <m:t>n</m:t>
        </m:r>
        <m:r>
          <m:t>d</m:t>
        </m:r>
        <m:r>
          <m:t>R</m:t>
        </m:r>
        <m:r>
          <m:t>O</m:t>
        </m:r>
        <m:r>
          <m:t>I</m:t>
        </m:r>
        <m:r>
          <m:t>o</m:t>
        </m:r>
        <m:r>
          <m:t>n</m:t>
        </m:r>
        <m:r>
          <m:t>n</m:t>
        </m:r>
        <m:r>
          <m:t>o</m:t>
        </m:r>
        <m:r>
          <m:t>t</m:t>
        </m:r>
        <m:r>
          <m:t>i</m:t>
        </m:r>
        <m:r>
          <m:t>o</m:t>
        </m:r>
        <m:r>
          <m:t>n</m:t>
        </m:r>
        <m:r>
          <m:t>a</m:t>
        </m:r>
        <m:r>
          <m:t>l</m:t>
        </m:r>
        <m:r>
          <m:t>j</m:t>
        </m:r>
        <m:r>
          <m:t>u</m:t>
        </m:r>
        <m:r>
          <m:t>m</m:t>
        </m:r>
        <m:r>
          <m:t>p</m:t>
        </m:r>
        <m:r>
          <m:t>s</m:t>
        </m:r>
        <m:r>
          <m:t>t</m:t>
        </m:r>
        <m:r>
          <m:t>o</m:t>
        </m:r>
        <m:r>
          <m:t>2.18</m:t>
        </m:r>
        <m:r>
          <m:t>p</m:t>
        </m:r>
        <m:r>
          <m:t>e</m:t>
        </m:r>
        <m:r>
          <m:t>r</m:t>
        </m:r>
        <m:r>
          <m:t>c</m:t>
        </m:r>
        <m:r>
          <m:t>e</m:t>
        </m:r>
        <m:r>
          <m:t>n</m:t>
        </m:r>
        <m:r>
          <m:t>t</m:t>
        </m:r>
        <m:r>
          <m:rPr>
            <m:sty m:val="p"/>
          </m:rPr>
          <m:t>(</m:t>
        </m:r>
        <m:r>
          <m:t>3</m:t>
        </m:r>
        <m:r>
          <m:t>x</m:t>
        </m:r>
        <m:r>
          <m:t>t</m:t>
        </m:r>
        <m:r>
          <m:t>h</m:t>
        </m:r>
        <m:r>
          <m:t>e</m:t>
        </m:r>
        <m:r>
          <m:t>n</m:t>
        </m:r>
        <m:r>
          <m:t>e</m:t>
        </m:r>
        <m:r>
          <m:t>x</m:t>
        </m:r>
        <m:r>
          <m:t>t</m:t>
        </m:r>
        <m:r>
          <m:t>r</m:t>
        </m:r>
        <m:r>
          <m:t>e</m:t>
        </m:r>
        <m:r>
          <m:t>g</m:t>
        </m:r>
        <m:r>
          <m:t>i</m:t>
        </m:r>
        <m:r>
          <m:t>m</m:t>
        </m:r>
        <m:r>
          <m:t>e</m:t>
        </m:r>
        <m:r>
          <m:rPr>
            <m:sty m:val="p"/>
          </m:rPr>
          <m:t>)</m:t>
        </m:r>
        <m:r>
          <m:rPr>
            <m:sty m:val="p"/>
          </m:rPr>
          <m:t>.</m:t>
        </m:r>
        <m:r>
          <m:t>F</m:t>
        </m:r>
        <m:r>
          <m:t>e</m:t>
        </m:r>
        <m:r>
          <m:t>a</m:t>
        </m:r>
        <m:r>
          <m:t>r</m:t>
        </m:r>
        <m:r>
          <m:t>d</m:t>
        </m:r>
        <m:r>
          <m:t>a</m:t>
        </m:r>
        <m:r>
          <m:t>y</m:t>
        </m:r>
        <m:r>
          <m:t>s</m:t>
        </m:r>
        <m:r>
          <m:t>a</m:t>
        </m:r>
        <m:r>
          <m:t>r</m:t>
        </m:r>
        <m:r>
          <m:t>e</m:t>
        </m:r>
        <m:r>
          <m:t>s</m:t>
        </m:r>
        <m:r>
          <m:t>e</m:t>
        </m:r>
        <m:r>
          <m:t>c</m:t>
        </m:r>
        <m:r>
          <m:t>o</m:t>
        </m:r>
        <m:r>
          <m:t>n</m:t>
        </m:r>
        <m:r>
          <m:t>d</m:t>
        </m:r>
        <m:r>
          <m:rPr>
            <m:sty m:val="p"/>
          </m:rPr>
          <m:t>−</m:t>
        </m:r>
        <m:r>
          <m:t>b</m:t>
        </m:r>
        <m:r>
          <m:t>e</m:t>
        </m:r>
        <m:r>
          <m:t>s</m:t>
        </m:r>
        <m:r>
          <m:t>t</m:t>
        </m:r>
        <m:r>
          <m:t>o</m:t>
        </m:r>
        <m:r>
          <m:t>n</m:t>
        </m:r>
        <m:r>
          <m:t>w</m:t>
        </m:r>
        <m:r>
          <m:t>i</m:t>
        </m:r>
        <m:r>
          <m:t>n</m:t>
        </m:r>
        <m:r>
          <m:t>r</m:t>
        </m:r>
        <m:r>
          <m:t>a</m:t>
        </m:r>
        <m:r>
          <m:t>t</m:t>
        </m:r>
        <m:r>
          <m:t>e</m:t>
        </m:r>
        <m:r>
          <m:t>a</m:t>
        </m:r>
        <m:r>
          <m:t>n</m:t>
        </m:r>
        <m:r>
          <m:t>d</m:t>
        </m:r>
        <m:r>
          <m:t>p</m:t>
        </m:r>
        <m:r>
          <m:t>r</m:t>
        </m:r>
        <m:r>
          <m:t>o</m:t>
        </m:r>
        <m:r>
          <m:t>f</m:t>
        </m:r>
        <m:r>
          <m:t>i</m:t>
        </m:r>
        <m:r>
          <m:t>t</m:t>
        </m:r>
        <m:r>
          <m:t>f</m:t>
        </m:r>
        <m:r>
          <m:t>a</m:t>
        </m:r>
        <m:r>
          <m:t>c</m:t>
        </m:r>
        <m:r>
          <m:t>t</m:t>
        </m:r>
        <m:r>
          <m:t>o</m:t>
        </m:r>
        <m:r>
          <m:t>r</m:t>
        </m:r>
        <m:r>
          <m:rPr>
            <m:sty m:val="p"/>
          </m:rPr>
          <m:t>.</m:t>
        </m:r>
        <m:r>
          <m:t>T</m:t>
        </m:r>
        <m:r>
          <m:t>h</m:t>
        </m:r>
        <m:r>
          <m:t>e</m:t>
        </m:r>
        <m:r>
          <m:t>w</m:t>
        </m:r>
        <m:r>
          <m:t>e</m:t>
        </m:r>
        <m:r>
          <m:t>a</m:t>
        </m:r>
        <m:r>
          <m:t>k</m:t>
        </m:r>
        <m:r>
          <m:t>b</m:t>
        </m:r>
        <m:r>
          <m:t>a</m:t>
        </m:r>
        <m:r>
          <m:t>n</m:t>
        </m:r>
        <m:r>
          <m:t>d</m:t>
        </m:r>
        <m:r>
          <m:t>i</m:t>
        </m:r>
        <m:r>
          <m:t>s</m:t>
        </m:r>
        <m:r>
          <m:t>p</m:t>
        </m:r>
        <m:r>
          <m:t>l</m:t>
        </m:r>
        <m:r>
          <m:t>a</m:t>
        </m:r>
        <m:r>
          <m:t>i</m:t>
        </m:r>
        <m:r>
          <m:t>n</m:t>
        </m:r>
        <m:r>
          <m:rPr>
            <m:sty m:val="p"/>
          </m:rPr>
          <m:t>*</m:t>
        </m:r>
        <m:r>
          <m:rPr>
            <m:sty m:val="p"/>
          </m:rPr>
          <m:t>*</m:t>
        </m:r>
        <m:r>
          <m:t>G</m:t>
        </m:r>
        <m:r>
          <m:t>r</m:t>
        </m:r>
        <m:r>
          <m:t>e</m:t>
        </m:r>
        <m:r>
          <m:t>e</m:t>
        </m:r>
        <m:r>
          <m:t>d</m:t>
        </m:r>
        <m:r>
          <m:rPr>
            <m:sty m:val="p"/>
          </m:rPr>
          <m:t>*</m:t>
        </m:r>
        <m:r>
          <m:rPr>
            <m:sty m:val="p"/>
          </m:rPr>
          <m:t>*</m:t>
        </m:r>
        <m:r>
          <m:rPr>
            <m:sty m:val="p"/>
          </m:rPr>
          <m:t>,</m:t>
        </m:r>
        <m:r>
          <m:t>w</m:t>
        </m:r>
        <m:r>
          <m:t>h</m:t>
        </m:r>
        <m:r>
          <m:t>i</m:t>
        </m:r>
        <m:r>
          <m:t>c</m:t>
        </m:r>
        <m:r>
          <m:t>h</m:t>
        </m:r>
        <m:r>
          <m:t>p</m:t>
        </m:r>
        <m:r>
          <m:t>o</m:t>
        </m:r>
        <m:r>
          <m:t>s</m:t>
        </m:r>
        <m:r>
          <m:t>t</m:t>
        </m:r>
        <m:r>
          <m:t>s</m:t>
        </m:r>
        <m:r>
          <m:t>t</m:t>
        </m:r>
        <m:r>
          <m:t>h</m:t>
        </m:r>
        <m:r>
          <m:t>e</m:t>
        </m:r>
        <m:r>
          <m:t>l</m:t>
        </m:r>
        <m:r>
          <m:t>o</m:t>
        </m:r>
        <m:r>
          <m:t>w</m:t>
        </m:r>
        <m:r>
          <m:t>e</m:t>
        </m:r>
        <m:r>
          <m:t>s</m:t>
        </m:r>
        <m:r>
          <m:t>t</m:t>
        </m:r>
        <m:r>
          <m:t>p</m:t>
        </m:r>
        <m:r>
          <m:t>r</m:t>
        </m:r>
        <m:r>
          <m:t>o</m:t>
        </m:r>
        <m:r>
          <m:t>f</m:t>
        </m:r>
        <m:r>
          <m:t>i</m:t>
        </m:r>
        <m:r>
          <m:t>t</m:t>
        </m:r>
        <m:r>
          <m:t>f</m:t>
        </m:r>
        <m:r>
          <m:t>a</m:t>
        </m:r>
        <m:r>
          <m:t>c</m:t>
        </m:r>
        <m:r>
          <m:t>t</m:t>
        </m:r>
        <m:r>
          <m:t>o</m:t>
        </m:r>
        <m:r>
          <m:t>r</m:t>
        </m:r>
        <m:r>
          <m:rPr>
            <m:sty m:val="p"/>
          </m:rPr>
          <m:t>(</m:t>
        </m:r>
        <m:r>
          <m:t>3.03</m:t>
        </m:r>
        <m:r>
          <m:rPr>
            <m:sty m:val="p"/>
          </m:rPr>
          <m:t>)</m:t>
        </m:r>
        <m:r>
          <m:rPr>
            <m:sty m:val="p"/>
          </m:rPr>
          <m:t>,</m:t>
        </m:r>
        <m:r>
          <m:t>t</m:t>
        </m:r>
        <m:r>
          <m:t>h</m:t>
        </m:r>
        <m:r>
          <m:t>e</m:t>
        </m:r>
        <m:r>
          <m:t>l</m:t>
        </m:r>
        <m:r>
          <m:t>o</m:t>
        </m:r>
        <m:r>
          <m:t>w</m:t>
        </m:r>
        <m:r>
          <m:t>e</m:t>
        </m:r>
        <m:r>
          <m:t>s</m:t>
        </m:r>
        <m:r>
          <m:t>t</m:t>
        </m:r>
        <m:r>
          <m:t>S</m:t>
        </m:r>
        <m:r>
          <m:t>h</m:t>
        </m:r>
        <m:r>
          <m:t>a</m:t>
        </m:r>
        <m:r>
          <m:t>r</m:t>
        </m:r>
        <m:r>
          <m:t>p</m:t>
        </m:r>
        <m:r>
          <m:t>e</m:t>
        </m:r>
        <m:r>
          <m:rPr>
            <m:sty m:val="p"/>
          </m:rPr>
          <m:t>(</m:t>
        </m:r>
        <m:r>
          <m:t>3.41</m:t>
        </m:r>
        <m:r>
          <m:rPr>
            <m:sty m:val="p"/>
          </m:rPr>
          <m:t>)</m:t>
        </m:r>
        <m:r>
          <m:rPr>
            <m:sty m:val="p"/>
          </m:rPr>
          <m:t>,</m:t>
        </m:r>
        <m:r>
          <m:t>s</m:t>
        </m:r>
        <m:r>
          <m:t>t</m:t>
        </m:r>
        <m:r>
          <m:t>i</m:t>
        </m:r>
        <m:r>
          <m:t>l</m:t>
        </m:r>
        <m:r>
          <m:t>l</m:t>
        </m:r>
        <m:r>
          <m:t>h</m:t>
        </m:r>
        <m:r>
          <m:t>e</m:t>
        </m:r>
        <m:r>
          <m:t>a</m:t>
        </m:r>
        <m:r>
          <m:t>l</m:t>
        </m:r>
        <m:r>
          <m:t>t</m:t>
        </m:r>
        <m:r>
          <m:t>h</m:t>
        </m:r>
        <m:r>
          <m:t>y</m:t>
        </m:r>
        <m:r>
          <m:t>i</m:t>
        </m:r>
        <m:r>
          <m:t>n</m:t>
        </m:r>
        <m:r>
          <m:t>a</m:t>
        </m:r>
        <m:r>
          <m:t>b</m:t>
        </m:r>
        <m:r>
          <m:t>s</m:t>
        </m:r>
        <m:r>
          <m:t>o</m:t>
        </m:r>
        <m:r>
          <m:t>l</m:t>
        </m:r>
        <m:r>
          <m:t>u</m:t>
        </m:r>
        <m:r>
          <m:t>t</m:t>
        </m:r>
        <m:r>
          <m:t>e</m:t>
        </m:r>
        <m:r>
          <m:t>t</m:t>
        </m:r>
        <m:r>
          <m:t>e</m:t>
        </m:r>
        <m:r>
          <m:t>r</m:t>
        </m:r>
        <m:r>
          <m:t>m</m:t>
        </m:r>
        <m:r>
          <m:t>s</m:t>
        </m:r>
        <m:r>
          <m:t>b</m:t>
        </m:r>
        <m:r>
          <m:t>u</m:t>
        </m:r>
        <m:r>
          <m:t>t</m:t>
        </m:r>
        <m:r>
          <m:t>t</m:t>
        </m:r>
        <m:r>
          <m:t>h</m:t>
        </m:r>
        <m:r>
          <m:t>e</m:t>
        </m:r>
        <m:r>
          <m:t>l</m:t>
        </m:r>
        <m:r>
          <m:t>o</m:t>
        </m:r>
        <m:r>
          <m:t>w</m:t>
        </m:r>
        <m:r>
          <m:t>e</m:t>
        </m:r>
        <m:r>
          <m:t>s</m:t>
        </m:r>
        <m:r>
          <m:t>t</m:t>
        </m:r>
        <m:r>
          <m:t>o</m:t>
        </m:r>
        <m:r>
          <m:t>f</m:t>
        </m:r>
        <m:r>
          <m:t>t</m:t>
        </m:r>
        <m:r>
          <m:t>h</m:t>
        </m:r>
        <m:r>
          <m:t>e</m:t>
        </m:r>
        <m:r>
          <m:t>f</m:t>
        </m:r>
        <m:r>
          <m:t>i</m:t>
        </m:r>
        <m:r>
          <m:t>v</m:t>
        </m:r>
        <m:r>
          <m:t>e</m:t>
        </m:r>
        <m:r>
          <m:t>r</m:t>
        </m:r>
        <m:r>
          <m:t>e</m:t>
        </m:r>
        <m:r>
          <m:t>g</m:t>
        </m:r>
        <m:r>
          <m:t>i</m:t>
        </m:r>
        <m:r>
          <m:t>m</m:t>
        </m:r>
        <m:r>
          <m:t>e</m:t>
        </m:r>
        <m:r>
          <m:t>s</m:t>
        </m:r>
        <m:r>
          <m:rPr>
            <m:sty m:val="p"/>
          </m:rPr>
          <m:t>,</m:t>
        </m:r>
        <m:r>
          <m:t>a</m:t>
        </m:r>
        <m:r>
          <m:t>n</m:t>
        </m:r>
        <m:r>
          <m:t>d</m:t>
        </m:r>
        <m:r>
          <m:t>t</m:t>
        </m:r>
        <m:r>
          <m:t>h</m:t>
        </m:r>
        <m:r>
          <m:t>e</m:t>
        </m:r>
        <m:r>
          <m:t>w</m:t>
        </m:r>
        <m:r>
          <m:t>o</m:t>
        </m:r>
        <m:r>
          <m:t>r</m:t>
        </m:r>
        <m:r>
          <m:t>s</m:t>
        </m:r>
        <m:r>
          <m:t>t</m:t>
        </m:r>
        <m:r>
          <m:t>d</m:t>
        </m:r>
        <m:r>
          <m:t>r</m:t>
        </m:r>
        <m:r>
          <m:t>a</m:t>
        </m:r>
        <m:r>
          <m:t>w</m:t>
        </m:r>
        <m:r>
          <m:t>d</m:t>
        </m:r>
        <m:r>
          <m:t>o</m:t>
        </m:r>
        <m:r>
          <m:t>w</m:t>
        </m:r>
        <m:r>
          <m:t>n</m:t>
        </m:r>
        <m:r>
          <m:t>i</m:t>
        </m:r>
        <m:r>
          <m:t>n</m:t>
        </m:r>
        <m:r>
          <m:t>t</m:t>
        </m:r>
        <m:r>
          <m:t>h</m:t>
        </m:r>
        <m:r>
          <m:t>e</m:t>
        </m:r>
        <m:r>
          <m:t>d</m:t>
        </m:r>
        <m:r>
          <m:t>a</m:t>
        </m:r>
        <m:r>
          <m:t>t</m:t>
        </m:r>
        <m:r>
          <m:t>a</m:t>
        </m:r>
        <m:r>
          <m:t>s</m:t>
        </m:r>
        <m:r>
          <m:t>e</m:t>
        </m:r>
        <m:r>
          <m:t>t</m:t>
        </m:r>
        <m:r>
          <m:rPr>
            <m:sty m:val="p"/>
          </m:rPr>
          <m:t>(</m:t>
        </m:r>
      </m:oMath>
      <w:r>
        <w:t xml:space="preserve">-419k).</w:t>
      </w:r>
    </w:p>
    <w:p>
      <w:pPr>
        <w:pStyle w:val="BodyText"/>
      </w:pPr>
      <w:r>
        <w:t xml:space="preserve">Translation: the regime where it actually pays to trade aggressively is when the market has gone fully into Extreme Greed, not the middle of the cycle. The middle of a greed rally is where this cohort of traders gets chopped up the hardest.</w:t>
      </w:r>
    </w:p>
    <w:p>
      <w:pPr>
        <w:pStyle w:val="CaptionedFigure"/>
      </w:pPr>
      <w:r>
        <w:drawing>
          <wp:inline>
            <wp:extent cx="5334000" cy="3000375"/>
            <wp:effectExtent b="0" l="0" r="0" t="0"/>
            <wp:docPr descr="Headline metrics broken out by regime" title="" id="17" name="Picture"/>
            <a:graphic>
              <a:graphicData uri="http://schemas.openxmlformats.org/drawingml/2006/picture">
                <pic:pic>
                  <pic:nvPicPr>
                    <pic:cNvPr descr="metrics_by_regime.png" id="18" name="Picture"/>
                    <pic:cNvPicPr>
                      <a:picLocks noChangeArrowheads="1" noChangeAspect="1"/>
                    </pic:cNvPicPr>
                  </pic:nvPicPr>
                  <pic:blipFill>
                    <a:blip r:embed="rId1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Headline metrics broken out by regime</w:t>
      </w:r>
    </w:p>
    <w:bookmarkEnd w:id="19"/>
    <w:bookmarkStart w:id="26" w:name="regime-level-metric-table"/>
    <w:p>
      <w:pPr>
        <w:pStyle w:val="Heading2"/>
      </w:pPr>
      <w:r>
        <w:t xml:space="preserve">3. Regime-level metric table</w:t>
      </w:r>
    </w:p>
    <w:tbl>
      <w:tblPr>
        <w:tblStyle w:val="Table"/>
        <w:tblW w:type="pct" w:w="5000"/>
        <w:tblLayout w:type="fixed"/>
        <w:tblLook w:firstRow="1" w:lastRow="0" w:firstColumn="0" w:lastColumn="0" w:noHBand="0" w:noVBand="0" w:val="0020"/>
      </w:tblPr>
      <w:tblGrid>
        <w:gridCol w:w="1518"/>
        <w:gridCol w:w="759"/>
        <w:gridCol w:w="759"/>
        <w:gridCol w:w="867"/>
        <w:gridCol w:w="1410"/>
        <w:gridCol w:w="650"/>
        <w:gridCol w:w="650"/>
        <w:gridCol w:w="1301"/>
      </w:tblGrid>
      <w:tr>
        <w:trPr>
          <w:tblHeader w:val="on"/>
        </w:trPr>
        <w:tc>
          <w:tcPr/>
          <w:p>
            <w:pPr>
              <w:pStyle w:val="Compact"/>
            </w:pPr>
            <w:r>
              <w:t xml:space="preserve">Regime</w:t>
            </w:r>
          </w:p>
        </w:tc>
        <w:tc>
          <w:tcPr/>
          <w:p>
            <w:pPr>
              <w:pStyle w:val="Compact"/>
            </w:pPr>
            <w:r>
              <w:t xml:space="preserve">Trades</w:t>
            </w:r>
          </w:p>
        </w:tc>
        <w:tc>
          <w:tcPr/>
          <w:p>
            <w:pPr>
              <w:pStyle w:val="Compact"/>
            </w:pPr>
            <w:r>
              <w:t xml:space="preserve">Avg PnL</w:t>
            </w:r>
          </w:p>
        </w:tc>
        <w:tc>
          <w:tcPr/>
          <w:p>
            <w:pPr>
              <w:pStyle w:val="Compact"/>
            </w:pPr>
            <w:r>
              <w:t xml:space="preserve">Win rate</w:t>
            </w:r>
          </w:p>
        </w:tc>
        <w:tc>
          <w:tcPr/>
          <w:p>
            <w:pPr>
              <w:pStyle w:val="Compact"/>
            </w:pPr>
            <w:r>
              <w:t xml:space="preserve">Profit factor</w:t>
            </w:r>
          </w:p>
        </w:tc>
        <w:tc>
          <w:tcPr/>
          <w:p>
            <w:pPr>
              <w:pStyle w:val="Compact"/>
            </w:pPr>
            <w:r>
              <w:t xml:space="preserve">Sharpe</w:t>
            </w:r>
          </w:p>
        </w:tc>
        <w:tc>
          <w:tcPr/>
          <w:p>
            <w:pPr>
              <w:pStyle w:val="Compact"/>
            </w:pPr>
            <w:r>
              <w:t xml:space="preserve">ROI</w:t>
            </w:r>
          </w:p>
        </w:tc>
        <w:tc>
          <w:tcPr/>
          <w:p>
            <w:pPr>
              <w:pStyle w:val="Compact"/>
            </w:pPr>
            <w:r>
              <w:t xml:space="preserve">Max drawdown</w:t>
            </w:r>
          </w:p>
        </w:tc>
      </w:tr>
      <w:tr>
        <w:tc>
          <w:tcPr/>
          <w:p>
            <w:pPr>
              <w:pStyle w:val="Compact"/>
            </w:pPr>
            <w:r>
              <w:t xml:space="preserve">Extreme Fear</w:t>
            </w:r>
          </w:p>
        </w:tc>
        <w:tc>
          <w:tcPr/>
          <w:p>
            <w:pPr>
              <w:pStyle w:val="Compact"/>
            </w:pPr>
            <w:r>
              <w:t xml:space="preserve">21,400</w:t>
            </w:r>
          </w:p>
        </w:tc>
        <w:tc>
          <w:tcPr/>
          <w:p>
            <w:pPr>
              <w:pStyle w:val="Compact"/>
            </w:pPr>
            <w:r>
              <w:t xml:space="preserve">$34.54</w:t>
            </w:r>
          </w:p>
        </w:tc>
        <w:tc>
          <w:tcPr/>
          <w:p>
            <w:pPr>
              <w:pStyle w:val="Compact"/>
            </w:pPr>
            <w:r>
              <w:t xml:space="preserve">76.2 %</w:t>
            </w:r>
          </w:p>
        </w:tc>
        <w:tc>
          <w:tcPr/>
          <w:p>
            <w:pPr>
              <w:pStyle w:val="Compact"/>
            </w:pPr>
            <w:r>
              <w:t xml:space="preserve">2.16</w:t>
            </w:r>
          </w:p>
        </w:tc>
        <w:tc>
          <w:tcPr/>
          <w:p>
            <w:pPr>
              <w:pStyle w:val="Compact"/>
            </w:pPr>
            <w:r>
              <w:t xml:space="preserve">9.96</w:t>
            </w:r>
          </w:p>
        </w:tc>
        <w:tc>
          <w:tcPr/>
          <w:p>
            <w:pPr>
              <w:pStyle w:val="Compact"/>
            </w:pPr>
            <w:r>
              <w:t xml:space="preserve">0.65 %</w:t>
            </w:r>
          </w:p>
        </w:tc>
        <w:tc>
          <w:tcPr/>
          <w:p>
            <w:pPr>
              <w:pStyle w:val="Compact"/>
            </w:pPr>
            <w:r>
              <w:t xml:space="preserve">-$86,891</w:t>
            </w:r>
          </w:p>
        </w:tc>
      </w:tr>
      <w:tr>
        <w:tc>
          <w:tcPr/>
          <w:p>
            <w:pPr>
              <w:pStyle w:val="Compact"/>
            </w:pPr>
            <w:r>
              <w:t xml:space="preserve">Fear</w:t>
            </w:r>
          </w:p>
        </w:tc>
        <w:tc>
          <w:tcPr/>
          <w:p>
            <w:pPr>
              <w:pStyle w:val="Compact"/>
            </w:pPr>
            <w:r>
              <w:t xml:space="preserve">61,837</w:t>
            </w:r>
          </w:p>
        </w:tc>
        <w:tc>
          <w:tcPr/>
          <w:p>
            <w:pPr>
              <w:pStyle w:val="Compact"/>
            </w:pPr>
            <w:r>
              <w:t xml:space="preserve">$54.29</w:t>
            </w:r>
          </w:p>
        </w:tc>
        <w:tc>
          <w:tcPr/>
          <w:p>
            <w:pPr>
              <w:pStyle w:val="Compact"/>
            </w:pPr>
            <w:r>
              <w:t xml:space="preserve">87.3 %</w:t>
            </w:r>
          </w:p>
        </w:tc>
        <w:tc>
          <w:tcPr/>
          <w:p>
            <w:pPr>
              <w:pStyle w:val="Compact"/>
            </w:pPr>
            <w:r>
              <w:t xml:space="preserve">6.66</w:t>
            </w:r>
          </w:p>
        </w:tc>
        <w:tc>
          <w:tcPr/>
          <w:p>
            <w:pPr>
              <w:pStyle w:val="Compact"/>
            </w:pPr>
            <w:r>
              <w:t xml:space="preserve">7.30</w:t>
            </w:r>
          </w:p>
        </w:tc>
        <w:tc>
          <w:tcPr/>
          <w:p>
            <w:pPr>
              <w:pStyle w:val="Compact"/>
            </w:pPr>
            <w:r>
              <w:t xml:space="preserve">0.69 %</w:t>
            </w:r>
          </w:p>
        </w:tc>
        <w:tc>
          <w:tcPr/>
          <w:p>
            <w:pPr>
              <w:pStyle w:val="Compact"/>
            </w:pPr>
            <w:r>
              <w:t xml:space="preserve">-$135,686</w:t>
            </w:r>
          </w:p>
        </w:tc>
      </w:tr>
      <w:tr>
        <w:tc>
          <w:tcPr/>
          <w:p>
            <w:pPr>
              <w:pStyle w:val="Compact"/>
            </w:pPr>
            <w:r>
              <w:t xml:space="preserve">Neutral</w:t>
            </w:r>
          </w:p>
        </w:tc>
        <w:tc>
          <w:tcPr/>
          <w:p>
            <w:pPr>
              <w:pStyle w:val="Compact"/>
            </w:pPr>
            <w:r>
              <w:t xml:space="preserve">37,686</w:t>
            </w:r>
          </w:p>
        </w:tc>
        <w:tc>
          <w:tcPr/>
          <w:p>
            <w:pPr>
              <w:pStyle w:val="Compact"/>
            </w:pPr>
            <w:r>
              <w:t xml:space="preserve">$34.31</w:t>
            </w:r>
          </w:p>
        </w:tc>
        <w:tc>
          <w:tcPr/>
          <w:p>
            <w:pPr>
              <w:pStyle w:val="Compact"/>
            </w:pPr>
            <w:r>
              <w:t xml:space="preserve">82.4 %</w:t>
            </w:r>
          </w:p>
        </w:tc>
        <w:tc>
          <w:tcPr/>
          <w:p>
            <w:pPr>
              <w:pStyle w:val="Compact"/>
            </w:pPr>
            <w:r>
              <w:t xml:space="preserve">4.32</w:t>
            </w:r>
          </w:p>
        </w:tc>
        <w:tc>
          <w:tcPr/>
          <w:p>
            <w:pPr>
              <w:pStyle w:val="Compact"/>
            </w:pPr>
            <w:r>
              <w:t xml:space="preserve">9.70</w:t>
            </w:r>
          </w:p>
        </w:tc>
        <w:tc>
          <w:tcPr/>
          <w:p>
            <w:pPr>
              <w:pStyle w:val="Compact"/>
            </w:pPr>
            <w:r>
              <w:t xml:space="preserve">0.72 %</w:t>
            </w:r>
          </w:p>
        </w:tc>
        <w:tc>
          <w:tcPr/>
          <w:p>
            <w:pPr>
              <w:pStyle w:val="Compact"/>
            </w:pPr>
            <w:r>
              <w:t xml:space="preserve">-$10,117</w:t>
            </w:r>
          </w:p>
        </w:tc>
      </w:tr>
      <w:tr>
        <w:tc>
          <w:tcPr/>
          <w:p>
            <w:pPr>
              <w:pStyle w:val="Compact"/>
            </w:pPr>
            <w:r>
              <w:t xml:space="preserve">Greed</w:t>
            </w:r>
          </w:p>
        </w:tc>
        <w:tc>
          <w:tcPr/>
          <w:p>
            <w:pPr>
              <w:pStyle w:val="Compact"/>
            </w:pPr>
            <w:r>
              <w:t xml:space="preserve">50,303</w:t>
            </w:r>
          </w:p>
        </w:tc>
        <w:tc>
          <w:tcPr/>
          <w:p>
            <w:pPr>
              <w:pStyle w:val="Compact"/>
            </w:pPr>
            <w:r>
              <w:t xml:space="preserve">$42.74</w:t>
            </w:r>
          </w:p>
        </w:tc>
        <w:tc>
          <w:tcPr/>
          <w:p>
            <w:pPr>
              <w:pStyle w:val="Compact"/>
            </w:pPr>
            <w:r>
              <w:t xml:space="preserve">76.9 %</w:t>
            </w:r>
          </w:p>
        </w:tc>
        <w:tc>
          <w:tcPr/>
          <w:p>
            <w:pPr>
              <w:pStyle w:val="Compact"/>
            </w:pPr>
            <w:r>
              <w:t xml:space="preserve">3.03</w:t>
            </w:r>
          </w:p>
        </w:tc>
        <w:tc>
          <w:tcPr/>
          <w:p>
            <w:pPr>
              <w:pStyle w:val="Compact"/>
            </w:pPr>
            <w:r>
              <w:t xml:space="preserve">3.41</w:t>
            </w:r>
          </w:p>
        </w:tc>
        <w:tc>
          <w:tcPr/>
          <w:p>
            <w:pPr>
              <w:pStyle w:val="Compact"/>
            </w:pPr>
            <w:r>
              <w:t xml:space="preserve">0.75 %</w:t>
            </w:r>
          </w:p>
        </w:tc>
        <w:tc>
          <w:tcPr/>
          <w:p>
            <w:pPr>
              <w:pStyle w:val="Compact"/>
            </w:pPr>
            <w:r>
              <w:t xml:space="preserve">-$419,020</w:t>
            </w:r>
          </w:p>
        </w:tc>
      </w:tr>
      <w:tr>
        <w:tc>
          <w:tcPr/>
          <w:p>
            <w:pPr>
              <w:pStyle w:val="Compact"/>
            </w:pPr>
            <w:r>
              <w:t xml:space="preserve">Extreme Greed</w:t>
            </w:r>
          </w:p>
        </w:tc>
        <w:tc>
          <w:tcPr/>
          <w:p>
            <w:pPr>
              <w:pStyle w:val="Compact"/>
            </w:pPr>
            <w:r>
              <w:t xml:space="preserve">39,992</w:t>
            </w:r>
          </w:p>
        </w:tc>
        <w:tc>
          <w:tcPr/>
          <w:p>
            <w:pPr>
              <w:pStyle w:val="Compact"/>
            </w:pPr>
            <w:r>
              <w:t xml:space="preserve">$67.89</w:t>
            </w:r>
          </w:p>
        </w:tc>
        <w:tc>
          <w:tcPr/>
          <w:p>
            <w:pPr>
              <w:pStyle w:val="Compact"/>
            </w:pPr>
            <w:r>
              <w:t xml:space="preserve">89.2 %</w:t>
            </w:r>
          </w:p>
        </w:tc>
        <w:tc>
          <w:tcPr/>
          <w:p>
            <w:pPr>
              <w:pStyle w:val="Compact"/>
            </w:pPr>
            <w:r>
              <w:t xml:space="preserve">11.02</w:t>
            </w:r>
          </w:p>
        </w:tc>
        <w:tc>
          <w:tcPr/>
          <w:p>
            <w:pPr>
              <w:pStyle w:val="Compact"/>
            </w:pPr>
            <w:r>
              <w:t xml:space="preserve">6.25</w:t>
            </w:r>
          </w:p>
        </w:tc>
        <w:tc>
          <w:tcPr/>
          <w:p>
            <w:pPr>
              <w:pStyle w:val="Compact"/>
            </w:pPr>
            <w:r>
              <w:t xml:space="preserve">2.18 %</w:t>
            </w:r>
          </w:p>
        </w:tc>
        <w:tc>
          <w:tcPr/>
          <w:p>
            <w:pPr>
              <w:pStyle w:val="Compact"/>
            </w:pPr>
            <w:r>
              <w:t xml:space="preserve">-$137,370</w:t>
            </w:r>
          </w:p>
        </w:tc>
      </w:tr>
    </w:tbl>
    <w:p>
      <w:pPr>
        <w:pStyle w:val="BodyText"/>
      </w:pPr>
      <w:r>
        <w:t xml:space="preserve">Win rate is on closed trades only. Sharpe is computed on the daily PnL series of each regime, annualised with sqrt(365). ROI is total PnL divided by total notional traded inside that regime.</w:t>
      </w:r>
    </w:p>
    <w:p>
      <w:pPr>
        <w:pStyle w:val="CaptionedFigure"/>
      </w:pPr>
      <w:r>
        <w:drawing>
          <wp:inline>
            <wp:extent cx="5334000" cy="2222500"/>
            <wp:effectExtent b="0" l="0" r="0" t="0"/>
            <wp:docPr descr="Per-trade PnL distribution by regime, clipped for readability" title="" id="21" name="Picture"/>
            <a:graphic>
              <a:graphicData uri="http://schemas.openxmlformats.org/drawingml/2006/picture">
                <pic:pic>
                  <pic:nvPicPr>
                    <pic:cNvPr descr="pnl_box_by_regime.png" id="22" name="Picture"/>
                    <pic:cNvPicPr>
                      <a:picLocks noChangeArrowheads="1" noChangeAspect="1"/>
                    </pic:cNvPicPr>
                  </pic:nvPicPr>
                  <pic:blipFill>
                    <a:blip r:embed="rId20"/>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Per-trade PnL distribution by regime, clipped for readability</w:t>
      </w:r>
    </w:p>
    <w:p>
      <w:pPr>
        <w:pStyle w:val="CaptionedFigure"/>
      </w:pPr>
      <w:r>
        <w:drawing>
          <wp:inline>
            <wp:extent cx="5334000" cy="1905000"/>
            <wp:effectExtent b="0" l="0" r="0" t="0"/>
            <wp:docPr descr="Cumulative PnL attributable to each regime" title="" id="24" name="Picture"/>
            <a:graphic>
              <a:graphicData uri="http://schemas.openxmlformats.org/drawingml/2006/picture">
                <pic:pic>
                  <pic:nvPicPr>
                    <pic:cNvPr descr="cumulative_pnl_by_regime.png" id="25" name="Picture"/>
                    <pic:cNvPicPr>
                      <a:picLocks noChangeArrowheads="1" noChangeAspect="1"/>
                    </pic:cNvPicPr>
                  </pic:nvPicPr>
                  <pic:blipFill>
                    <a:blip r:embed="rId23"/>
                    <a:stretch>
                      <a:fillRect/>
                    </a:stretch>
                  </pic:blipFill>
                  <pic:spPr bwMode="auto">
                    <a:xfrm>
                      <a:off x="0" y="0"/>
                      <a:ext cx="5334000" cy="1905000"/>
                    </a:xfrm>
                    <a:prstGeom prst="rect">
                      <a:avLst/>
                    </a:prstGeom>
                    <a:noFill/>
                    <a:ln w="9525">
                      <a:noFill/>
                      <a:headEnd/>
                      <a:tailEnd/>
                    </a:ln>
                  </pic:spPr>
                </pic:pic>
              </a:graphicData>
            </a:graphic>
          </wp:inline>
        </w:drawing>
      </w:r>
    </w:p>
    <w:p>
      <w:pPr>
        <w:pStyle w:val="ImageCaption"/>
      </w:pPr>
      <w:r>
        <w:t xml:space="preserve">Cumulative PnL attributable to each regime</w:t>
      </w:r>
    </w:p>
    <w:bookmarkEnd w:id="26"/>
    <w:bookmarkStart w:id="30" w:name="what-the-statistical-tests-say"/>
    <w:p>
      <w:pPr>
        <w:pStyle w:val="Heading2"/>
      </w:pPr>
      <w:r>
        <w:t xml:space="preserve">4. What the statistical tests say</w:t>
      </w:r>
    </w:p>
    <w:p>
      <w:pPr>
        <w:pStyle w:val="FirstParagraph"/>
      </w:pPr>
      <w:r>
        <w:t xml:space="preserve">Fear vs Greed (binary collapse of the five classes) on per-trade closed PnL:</w:t>
      </w:r>
    </w:p>
    <w:p>
      <w:pPr>
        <w:pStyle w:val="Compact"/>
        <w:numPr>
          <w:ilvl w:val="0"/>
          <w:numId w:val="1001"/>
        </w:numPr>
      </w:pPr>
      <w:r>
        <w:t xml:space="preserve">Welch’s t-test: t = -0.99, p = 0.32 (Fear mean $49.21, Greed mean $53.88). The mean is not the right comparison here because the PnL distribution is fat-tailed.</w:t>
      </w:r>
    </w:p>
    <w:p>
      <w:pPr>
        <w:pStyle w:val="Compact"/>
        <w:numPr>
          <w:ilvl w:val="0"/>
          <w:numId w:val="1001"/>
        </w:numPr>
      </w:pPr>
      <w:r>
        <w:t xml:space="preserve">Mann-Whitney U: p = 0.00095. The central tendency does differ once you stop trusting the mean.</w:t>
      </w:r>
    </w:p>
    <w:p>
      <w:pPr>
        <w:pStyle w:val="FirstParagraph"/>
      </w:pPr>
      <w:r>
        <w:t xml:space="preserve">Spearman correlation between the daily sentiment value and daily aggregate metrics:</w:t>
      </w:r>
    </w:p>
    <w:p>
      <w:pPr>
        <w:pStyle w:val="Compact"/>
        <w:numPr>
          <w:ilvl w:val="0"/>
          <w:numId w:val="1002"/>
        </w:numPr>
      </w:pPr>
      <w:r>
        <w:t xml:space="preserve">vs daily total PnL: rho = 0.04, p = 0.38. No monotonic link on total dollars.</w:t>
      </w:r>
    </w:p>
    <w:p>
      <w:pPr>
        <w:pStyle w:val="Compact"/>
        <w:numPr>
          <w:ilvl w:val="0"/>
          <w:numId w:val="1002"/>
        </w:numPr>
      </w:pPr>
      <w:r>
        <w:t xml:space="preserve">vs daily win rate: rho = 0.19, p = 2.7e-05. Higher sentiment value lines up with a higher fraction of winning trades on the day.</w:t>
      </w:r>
    </w:p>
    <w:p>
      <w:pPr>
        <w:pStyle w:val="FirstParagraph"/>
      </w:pPr>
      <w:r>
        <w:t xml:space="preserve">Chi-square on side (BUY vs SELL) across the five regimes: chi2 = 327.2, p ~ 1.4e-69. The long share slides from 51.1 percent in Extreme Fear to 44.9 percent in Extreme Greed, which is the cohort being increasingly short-biased as the market overheats. That contrarian discipline is consistent with the PnL pattern in section 2.</w:t>
      </w:r>
    </w:p>
    <w:p>
      <w:pPr>
        <w:pStyle w:val="CaptionedFigure"/>
      </w:pPr>
      <w:r>
        <w:drawing>
          <wp:inline>
            <wp:extent cx="5334000" cy="2667000"/>
            <wp:effectExtent b="0" l="0" r="0" t="0"/>
            <wp:docPr descr="Average closed PnL by coin and regime, top 10 coins" title="" id="28" name="Picture"/>
            <a:graphic>
              <a:graphicData uri="http://schemas.openxmlformats.org/drawingml/2006/picture">
                <pic:pic>
                  <pic:nvPicPr>
                    <pic:cNvPr descr="coin_regime_heatmap.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Average closed PnL by coin and regime, top 10 coins</w:t>
      </w:r>
    </w:p>
    <w:bookmarkEnd w:id="30"/>
    <w:bookmarkStart w:id="34" w:name="top-traders-and-contrarian-specialists"/>
    <w:p>
      <w:pPr>
        <w:pStyle w:val="Heading2"/>
      </w:pPr>
      <w:r>
        <w:t xml:space="preserve">5. Top traders and contrarian specialists</w:t>
      </w:r>
    </w:p>
    <w:p>
      <w:pPr>
        <w:pStyle w:val="FirstParagraph"/>
      </w:pPr>
      <w:r>
        <w:t xml:space="preserve">Ranking was restricted to accounts with at least 200 lifetime trades and at least 20 trades inside a regime. CSVs for every regime sit in</w:t>
      </w:r>
      <w:r>
        <w:t xml:space="preserve"> </w:t>
      </w:r>
      <w:r>
        <w:rPr>
          <w:rStyle w:val="VerbatimChar"/>
        </w:rPr>
        <w:t xml:space="preserve">outputs/tables/</w:t>
      </w:r>
      <w:r>
        <w:t xml:space="preserve">.</w:t>
      </w:r>
    </w:p>
    <w:p>
      <w:pPr>
        <w:pStyle w:val="BodyText"/>
      </w:pPr>
      <w:r>
        <w:rPr>
          <w:b/>
          <w:bCs/>
        </w:rPr>
        <w:t xml:space="preserve">Overall top 5 by total PnL (across the full window):</w:t>
      </w:r>
    </w:p>
    <w:tbl>
      <w:tblPr>
        <w:tblStyle w:val="Table"/>
        <w:tblW w:type="pct" w:w="5000"/>
        <w:tblLayout w:type="fixed"/>
        <w:tblLook w:firstRow="1" w:lastRow="0" w:firstColumn="0" w:lastColumn="0" w:noHBand="0" w:noVBand="0" w:val="0020"/>
      </w:tblPr>
      <w:tblGrid>
        <w:gridCol w:w="348"/>
        <w:gridCol w:w="3655"/>
        <w:gridCol w:w="522"/>
        <w:gridCol w:w="1044"/>
        <w:gridCol w:w="696"/>
        <w:gridCol w:w="522"/>
        <w:gridCol w:w="1131"/>
      </w:tblGrid>
      <w:tr>
        <w:trPr>
          <w:tblHeader w:val="on"/>
        </w:trPr>
        <w:tc>
          <w:tcPr/>
          <w:p>
            <w:pPr>
              <w:pStyle w:val="Compact"/>
            </w:pPr>
            <w:r>
              <w:t xml:space="preserve">Rank</w:t>
            </w:r>
          </w:p>
        </w:tc>
        <w:tc>
          <w:tcPr/>
          <w:p>
            <w:pPr>
              <w:pStyle w:val="Compact"/>
            </w:pPr>
            <w:r>
              <w:t xml:space="preserve">Account</w:t>
            </w:r>
          </w:p>
        </w:tc>
        <w:tc>
          <w:tcPr/>
          <w:p>
            <w:pPr>
              <w:pStyle w:val="Compact"/>
            </w:pPr>
            <w:r>
              <w:t xml:space="preserve">Trades</w:t>
            </w:r>
          </w:p>
        </w:tc>
        <w:tc>
          <w:tcPr/>
          <w:p>
            <w:pPr>
              <w:pStyle w:val="Compact"/>
            </w:pPr>
            <w:r>
              <w:t xml:space="preserve">Total PnL</w:t>
            </w:r>
          </w:p>
        </w:tc>
        <w:tc>
          <w:tcPr/>
          <w:p>
            <w:pPr>
              <w:pStyle w:val="Compact"/>
            </w:pPr>
            <w:r>
              <w:t xml:space="preserve">Win rate</w:t>
            </w:r>
          </w:p>
        </w:tc>
        <w:tc>
          <w:tcPr/>
          <w:p>
            <w:pPr>
              <w:pStyle w:val="Compact"/>
            </w:pPr>
            <w:r>
              <w:t xml:space="preserve">Sharpe</w:t>
            </w:r>
          </w:p>
        </w:tc>
        <w:tc>
          <w:tcPr/>
          <w:p>
            <w:pPr>
              <w:pStyle w:val="Compact"/>
            </w:pPr>
            <w:r>
              <w:t xml:space="preserve">Profit factor</w:t>
            </w:r>
          </w:p>
        </w:tc>
      </w:tr>
      <w:tr>
        <w:tc>
          <w:tcPr/>
          <w:p>
            <w:pPr>
              <w:pStyle w:val="Compact"/>
            </w:pPr>
            <w:r>
              <w:t xml:space="preserve">1</w:t>
            </w:r>
          </w:p>
        </w:tc>
        <w:tc>
          <w:tcPr/>
          <w:p>
            <w:pPr>
              <w:pStyle w:val="Compact"/>
            </w:pPr>
            <w:r>
              <w:t xml:space="preserve">0xb1231a4a2dd02f2276fa3c5e2a2f3436e6bfed23</w:t>
            </w:r>
          </w:p>
        </w:tc>
        <w:tc>
          <w:tcPr/>
          <w:p>
            <w:pPr>
              <w:pStyle w:val="Compact"/>
            </w:pPr>
            <w:r>
              <w:t xml:space="preserve">14,733</w:t>
            </w:r>
          </w:p>
        </w:tc>
        <w:tc>
          <w:tcPr/>
          <w:p>
            <w:pPr>
              <w:pStyle w:val="Compact"/>
            </w:pPr>
            <w:r>
              <w:t xml:space="preserve">$2,143,382</w:t>
            </w:r>
          </w:p>
        </w:tc>
        <w:tc>
          <w:tcPr/>
          <w:p>
            <w:pPr>
              <w:pStyle w:val="Compact"/>
            </w:pPr>
            <w:r>
              <w:t xml:space="preserve">0.791</w:t>
            </w:r>
          </w:p>
        </w:tc>
        <w:tc>
          <w:tcPr/>
          <w:p>
            <w:pPr>
              <w:pStyle w:val="Compact"/>
            </w:pPr>
            <w:r>
              <w:t xml:space="preserve">4.01</w:t>
            </w:r>
          </w:p>
        </w:tc>
        <w:tc>
          <w:tcPr/>
          <w:p>
            <w:pPr>
              <w:pStyle w:val="Compact"/>
            </w:pPr>
            <w:r>
              <w:t xml:space="preserve">36.10</w:t>
            </w:r>
          </w:p>
        </w:tc>
      </w:tr>
      <w:tr>
        <w:tc>
          <w:tcPr/>
          <w:p>
            <w:pPr>
              <w:pStyle w:val="Compact"/>
            </w:pPr>
            <w:r>
              <w:t xml:space="preserve">2</w:t>
            </w:r>
          </w:p>
        </w:tc>
        <w:tc>
          <w:tcPr/>
          <w:p>
            <w:pPr>
              <w:pStyle w:val="Compact"/>
            </w:pPr>
            <w:r>
              <w:t xml:space="preserve">0x083384f897ee0f19899168e3b1bec365f52a9012</w:t>
            </w:r>
          </w:p>
        </w:tc>
        <w:tc>
          <w:tcPr/>
          <w:p>
            <w:pPr>
              <w:pStyle w:val="Compact"/>
            </w:pPr>
            <w:r>
              <w:t xml:space="preserve">3,818</w:t>
            </w:r>
          </w:p>
        </w:tc>
        <w:tc>
          <w:tcPr/>
          <w:p>
            <w:pPr>
              <w:pStyle w:val="Compact"/>
            </w:pPr>
            <w:r>
              <w:t xml:space="preserve">$1,600,229</w:t>
            </w:r>
          </w:p>
        </w:tc>
        <w:tc>
          <w:tcPr/>
          <w:p>
            <w:pPr>
              <w:pStyle w:val="Compact"/>
            </w:pPr>
            <w:r>
              <w:t xml:space="preserve">0.793</w:t>
            </w:r>
          </w:p>
        </w:tc>
        <w:tc>
          <w:tcPr/>
          <w:p>
            <w:pPr>
              <w:pStyle w:val="Compact"/>
            </w:pPr>
            <w:r>
              <w:t xml:space="preserve">8.47</w:t>
            </w:r>
          </w:p>
        </w:tc>
        <w:tc>
          <w:tcPr/>
          <w:p>
            <w:pPr>
              <w:pStyle w:val="Compact"/>
            </w:pPr>
            <w:r>
              <w:t xml:space="preserve">4.71</w:t>
            </w:r>
          </w:p>
        </w:tc>
      </w:tr>
      <w:tr>
        <w:tc>
          <w:tcPr/>
          <w:p>
            <w:pPr>
              <w:pStyle w:val="Compact"/>
            </w:pPr>
            <w:r>
              <w:t xml:space="preserve">3</w:t>
            </w:r>
          </w:p>
        </w:tc>
        <w:tc>
          <w:tcPr/>
          <w:p>
            <w:pPr>
              <w:pStyle w:val="Compact"/>
            </w:pPr>
            <w:r>
              <w:t xml:space="preserve">0xbaaaf6571ab7d571043ff1e313a9609a10637864</w:t>
            </w:r>
          </w:p>
        </w:tc>
        <w:tc>
          <w:tcPr/>
          <w:p>
            <w:pPr>
              <w:pStyle w:val="Compact"/>
            </w:pPr>
            <w:r>
              <w:t xml:space="preserve">21,192</w:t>
            </w:r>
          </w:p>
        </w:tc>
        <w:tc>
          <w:tcPr/>
          <w:p>
            <w:pPr>
              <w:pStyle w:val="Compact"/>
            </w:pPr>
            <w:r>
              <w:t xml:space="preserve">$940,163</w:t>
            </w:r>
          </w:p>
        </w:tc>
        <w:tc>
          <w:tcPr/>
          <w:p>
            <w:pPr>
              <w:pStyle w:val="Compact"/>
            </w:pPr>
            <w:r>
              <w:t xml:space="preserve">0.991</w:t>
            </w:r>
          </w:p>
        </w:tc>
        <w:tc>
          <w:tcPr/>
          <w:p>
            <w:pPr>
              <w:pStyle w:val="Compact"/>
            </w:pPr>
            <w:r>
              <w:t xml:space="preserve">8.58</w:t>
            </w:r>
          </w:p>
        </w:tc>
        <w:tc>
          <w:tcPr/>
          <w:p>
            <w:pPr>
              <w:pStyle w:val="Compact"/>
            </w:pPr>
            <w:r>
              <w:t xml:space="preserve">27,208</w:t>
            </w:r>
          </w:p>
        </w:tc>
      </w:tr>
      <w:tr>
        <w:tc>
          <w:tcPr/>
          <w:p>
            <w:pPr>
              <w:pStyle w:val="Compact"/>
            </w:pPr>
            <w:r>
              <w:t xml:space="preserve">4</w:t>
            </w:r>
          </w:p>
        </w:tc>
        <w:tc>
          <w:tcPr/>
          <w:p>
            <w:pPr>
              <w:pStyle w:val="Compact"/>
            </w:pPr>
            <w:r>
              <w:t xml:space="preserve">0x513b8629fe877bb581bf244e326a047b249c4ff1</w:t>
            </w:r>
          </w:p>
        </w:tc>
        <w:tc>
          <w:tcPr/>
          <w:p>
            <w:pPr>
              <w:pStyle w:val="Compact"/>
            </w:pPr>
            <w:r>
              <w:t xml:space="preserve">12,236</w:t>
            </w:r>
          </w:p>
        </w:tc>
        <w:tc>
          <w:tcPr/>
          <w:p>
            <w:pPr>
              <w:pStyle w:val="Compact"/>
            </w:pPr>
            <w:r>
              <w:t xml:space="preserve">$840,422</w:t>
            </w:r>
          </w:p>
        </w:tc>
        <w:tc>
          <w:tcPr/>
          <w:p>
            <w:pPr>
              <w:pStyle w:val="Compact"/>
            </w:pPr>
            <w:r>
              <w:t xml:space="preserve">0.895</w:t>
            </w:r>
          </w:p>
        </w:tc>
        <w:tc>
          <w:tcPr/>
          <w:p>
            <w:pPr>
              <w:pStyle w:val="Compact"/>
            </w:pPr>
            <w:r>
              <w:t xml:space="preserve">9.76</w:t>
            </w:r>
          </w:p>
        </w:tc>
        <w:tc>
          <w:tcPr/>
          <w:p>
            <w:pPr>
              <w:pStyle w:val="Compact"/>
            </w:pPr>
            <w:r>
              <w:t xml:space="preserve">5.90</w:t>
            </w:r>
          </w:p>
        </w:tc>
      </w:tr>
      <w:tr>
        <w:tc>
          <w:tcPr/>
          <w:p>
            <w:pPr>
              <w:pStyle w:val="Compact"/>
            </w:pPr>
            <w:r>
              <w:t xml:space="preserve">5</w:t>
            </w:r>
          </w:p>
        </w:tc>
        <w:tc>
          <w:tcPr/>
          <w:p>
            <w:pPr>
              <w:pStyle w:val="Compact"/>
            </w:pPr>
            <w:r>
              <w:t xml:space="preserve">0xbee1707d6b44d4d52bfe19e41f8a828645437aab</w:t>
            </w:r>
          </w:p>
        </w:tc>
        <w:tc>
          <w:tcPr/>
          <w:p>
            <w:pPr>
              <w:pStyle w:val="Compact"/>
            </w:pPr>
            <w:r>
              <w:t xml:space="preserve">40,184</w:t>
            </w:r>
          </w:p>
        </w:tc>
        <w:tc>
          <w:tcPr/>
          <w:p>
            <w:pPr>
              <w:pStyle w:val="Compact"/>
            </w:pPr>
            <w:r>
              <w:t xml:space="preserve">$836,080</w:t>
            </w:r>
          </w:p>
        </w:tc>
        <w:tc>
          <w:tcPr/>
          <w:p>
            <w:pPr>
              <w:pStyle w:val="Compact"/>
            </w:pPr>
            <w:r>
              <w:t xml:space="preserve">0.763</w:t>
            </w:r>
          </w:p>
        </w:tc>
        <w:tc>
          <w:tcPr/>
          <w:p>
            <w:pPr>
              <w:pStyle w:val="Compact"/>
            </w:pPr>
            <w:r>
              <w:t xml:space="preserve">4.76</w:t>
            </w:r>
          </w:p>
        </w:tc>
        <w:tc>
          <w:tcPr/>
          <w:p>
            <w:pPr>
              <w:pStyle w:val="Compact"/>
            </w:pPr>
            <w:r>
              <w:t xml:space="preserve">3.86</w:t>
            </w:r>
          </w:p>
        </w:tc>
      </w:tr>
    </w:tbl>
    <w:p>
      <w:pPr>
        <w:pStyle w:val="BodyText"/>
      </w:pPr>
      <w:r>
        <w:t xml:space="preserve">Account 3 has a profit factor of 27k, which means it had only a sliver of losing PnL. Worth a closer look as a market-maker style strategy.</w:t>
      </w:r>
    </w:p>
    <w:p>
      <w:pPr>
        <w:pStyle w:val="BodyText"/>
      </w:pPr>
      <w:r>
        <w:rPr>
          <w:b/>
          <w:bCs/>
        </w:rPr>
        <w:t xml:space="preserve">Contrarian set (28 traders qualified, 50+ trades in both Fear and Greed).</w:t>
      </w:r>
    </w:p>
    <w:p>
      <w:pPr>
        <w:pStyle w:val="BodyText"/>
      </w:pPr>
      <w:r>
        <w:t xml:space="preserve">Top fear specialists (biggest win-rate edge in Fear vs their own Greed performance):</w:t>
      </w:r>
    </w:p>
    <w:tbl>
      <w:tblPr>
        <w:tblStyle w:val="Table"/>
        <w:tblW w:type="pct" w:w="5000"/>
        <w:tblLayout w:type="fixed"/>
        <w:tblLook w:firstRow="1" w:lastRow="0" w:firstColumn="0" w:lastColumn="0" w:noHBand="0" w:noVBand="0" w:val="0020"/>
      </w:tblPr>
      <w:tblGrid>
        <w:gridCol w:w="3867"/>
        <w:gridCol w:w="644"/>
        <w:gridCol w:w="736"/>
        <w:gridCol w:w="552"/>
        <w:gridCol w:w="1013"/>
        <w:gridCol w:w="1105"/>
      </w:tblGrid>
      <w:tr>
        <w:trPr>
          <w:tblHeader w:val="on"/>
        </w:trPr>
        <w:tc>
          <w:tcPr/>
          <w:p>
            <w:pPr>
              <w:pStyle w:val="Compact"/>
            </w:pPr>
            <w:r>
              <w:t xml:space="preserve">Account</w:t>
            </w:r>
          </w:p>
        </w:tc>
        <w:tc>
          <w:tcPr/>
          <w:p>
            <w:pPr>
              <w:pStyle w:val="Compact"/>
            </w:pPr>
            <w:r>
              <w:t xml:space="preserve">WR Fear</w:t>
            </w:r>
          </w:p>
        </w:tc>
        <w:tc>
          <w:tcPr/>
          <w:p>
            <w:pPr>
              <w:pStyle w:val="Compact"/>
            </w:pPr>
            <w:r>
              <w:t xml:space="preserve">WR Greed</w:t>
            </w:r>
          </w:p>
        </w:tc>
        <w:tc>
          <w:tcPr/>
          <w:p>
            <w:pPr>
              <w:pStyle w:val="Compact"/>
            </w:pPr>
            <w:r>
              <w:t xml:space="preserve">Edge</w:t>
            </w:r>
          </w:p>
        </w:tc>
        <w:tc>
          <w:tcPr/>
          <w:p>
            <w:pPr>
              <w:pStyle w:val="Compact"/>
            </w:pPr>
            <w:r>
              <w:t xml:space="preserve">Sharpe Fear</w:t>
            </w:r>
          </w:p>
        </w:tc>
        <w:tc>
          <w:tcPr/>
          <w:p>
            <w:pPr>
              <w:pStyle w:val="Compact"/>
            </w:pPr>
            <w:r>
              <w:t xml:space="preserve">Sharpe Greed</w:t>
            </w:r>
          </w:p>
        </w:tc>
      </w:tr>
      <w:tr>
        <w:tc>
          <w:tcPr/>
          <w:p>
            <w:pPr>
              <w:pStyle w:val="Compact"/>
            </w:pPr>
            <w:r>
              <w:t xml:space="preserve">0x271b280974205ca63b716753467d5a371de622ab</w:t>
            </w:r>
          </w:p>
        </w:tc>
        <w:tc>
          <w:tcPr/>
          <w:p>
            <w:pPr>
              <w:pStyle w:val="Compact"/>
            </w:pPr>
            <w:r>
              <w:t xml:space="preserve">0.955</w:t>
            </w:r>
          </w:p>
        </w:tc>
        <w:tc>
          <w:tcPr/>
          <w:p>
            <w:pPr>
              <w:pStyle w:val="Compact"/>
            </w:pPr>
            <w:r>
              <w:t xml:space="preserve">0.439</w:t>
            </w:r>
          </w:p>
        </w:tc>
        <w:tc>
          <w:tcPr/>
          <w:p>
            <w:pPr>
              <w:pStyle w:val="Compact"/>
            </w:pPr>
            <w:r>
              <w:t xml:space="preserve">+0.516</w:t>
            </w:r>
          </w:p>
        </w:tc>
        <w:tc>
          <w:tcPr/>
          <w:p>
            <w:pPr>
              <w:pStyle w:val="Compact"/>
            </w:pPr>
            <w:r>
              <w:t xml:space="preserve">31.72</w:t>
            </w:r>
          </w:p>
        </w:tc>
        <w:tc>
          <w:tcPr/>
          <w:p>
            <w:pPr>
              <w:pStyle w:val="Compact"/>
            </w:pPr>
            <w:r>
              <w:t xml:space="preserve">-7.57</w:t>
            </w:r>
          </w:p>
        </w:tc>
      </w:tr>
      <w:tr>
        <w:tc>
          <w:tcPr/>
          <w:p>
            <w:pPr>
              <w:pStyle w:val="Compact"/>
            </w:pPr>
            <w:r>
              <w:t xml:space="preserve">0x083384f897ee0f19899168e3b1bec365f52a9012</w:t>
            </w:r>
          </w:p>
        </w:tc>
        <w:tc>
          <w:tcPr/>
          <w:p>
            <w:pPr>
              <w:pStyle w:val="Compact"/>
            </w:pPr>
            <w:r>
              <w:t xml:space="preserve">0.894</w:t>
            </w:r>
          </w:p>
        </w:tc>
        <w:tc>
          <w:tcPr/>
          <w:p>
            <w:pPr>
              <w:pStyle w:val="Compact"/>
            </w:pPr>
            <w:r>
              <w:t xml:space="preserve">0.388</w:t>
            </w:r>
          </w:p>
        </w:tc>
        <w:tc>
          <w:tcPr/>
          <w:p>
            <w:pPr>
              <w:pStyle w:val="Compact"/>
            </w:pPr>
            <w:r>
              <w:t xml:space="preserve">+0.506</w:t>
            </w:r>
          </w:p>
        </w:tc>
        <w:tc>
          <w:tcPr/>
          <w:p>
            <w:pPr>
              <w:pStyle w:val="Compact"/>
            </w:pPr>
            <w:r>
              <w:t xml:space="preserve">18.47</w:t>
            </w:r>
          </w:p>
        </w:tc>
        <w:tc>
          <w:tcPr/>
          <w:p>
            <w:pPr>
              <w:pStyle w:val="Compact"/>
            </w:pPr>
            <w:r>
              <w:t xml:space="preserve">2.81</w:t>
            </w:r>
          </w:p>
        </w:tc>
      </w:tr>
      <w:tr>
        <w:tc>
          <w:tcPr/>
          <w:p>
            <w:pPr>
              <w:pStyle w:val="Compact"/>
            </w:pPr>
            <w:r>
              <w:t xml:space="preserve">0x8477e447846c758f5a675856001ea72298fd9cb5</w:t>
            </w:r>
          </w:p>
        </w:tc>
        <w:tc>
          <w:tcPr/>
          <w:p>
            <w:pPr>
              <w:pStyle w:val="Compact"/>
            </w:pPr>
            <w:r>
              <w:t xml:space="preserve">0.822</w:t>
            </w:r>
          </w:p>
        </w:tc>
        <w:tc>
          <w:tcPr/>
          <w:p>
            <w:pPr>
              <w:pStyle w:val="Compact"/>
            </w:pPr>
            <w:r>
              <w:t xml:space="preserve">0.554</w:t>
            </w:r>
          </w:p>
        </w:tc>
        <w:tc>
          <w:tcPr/>
          <w:p>
            <w:pPr>
              <w:pStyle w:val="Compact"/>
            </w:pPr>
            <w:r>
              <w:t xml:space="preserve">+0.268</w:t>
            </w:r>
          </w:p>
        </w:tc>
        <w:tc>
          <w:tcPr/>
          <w:p>
            <w:pPr>
              <w:pStyle w:val="Compact"/>
            </w:pPr>
            <w:r>
              <w:t xml:space="preserve">11.50</w:t>
            </w:r>
          </w:p>
        </w:tc>
        <w:tc>
          <w:tcPr/>
          <w:p>
            <w:pPr>
              <w:pStyle w:val="Compact"/>
            </w:pPr>
            <w:r>
              <w:t xml:space="preserve">1.42</w:t>
            </w:r>
          </w:p>
        </w:tc>
      </w:tr>
      <w:tr>
        <w:tc>
          <w:tcPr/>
          <w:p>
            <w:pPr>
              <w:pStyle w:val="Compact"/>
            </w:pPr>
            <w:r>
              <w:t xml:space="preserve">0x8170715b3b381dffb7062c0298972d4727a0a63b</w:t>
            </w:r>
          </w:p>
        </w:tc>
        <w:tc>
          <w:tcPr/>
          <w:p>
            <w:pPr>
              <w:pStyle w:val="Compact"/>
            </w:pPr>
            <w:r>
              <w:t xml:space="preserve">0.849</w:t>
            </w:r>
          </w:p>
        </w:tc>
        <w:tc>
          <w:tcPr/>
          <w:p>
            <w:pPr>
              <w:pStyle w:val="Compact"/>
            </w:pPr>
            <w:r>
              <w:t xml:space="preserve">0.686</w:t>
            </w:r>
          </w:p>
        </w:tc>
        <w:tc>
          <w:tcPr/>
          <w:p>
            <w:pPr>
              <w:pStyle w:val="Compact"/>
            </w:pPr>
            <w:r>
              <w:t xml:space="preserve">+0.163</w:t>
            </w:r>
          </w:p>
        </w:tc>
        <w:tc>
          <w:tcPr/>
          <w:p>
            <w:pPr>
              <w:pStyle w:val="Compact"/>
            </w:pPr>
            <w:r>
              <w:t xml:space="preserve">10.61</w:t>
            </w:r>
          </w:p>
        </w:tc>
        <w:tc>
          <w:tcPr/>
          <w:p>
            <w:pPr>
              <w:pStyle w:val="Compact"/>
            </w:pPr>
            <w:r>
              <w:t xml:space="preserve">-4.04</w:t>
            </w:r>
          </w:p>
        </w:tc>
      </w:tr>
      <w:tr>
        <w:tc>
          <w:tcPr/>
          <w:p>
            <w:pPr>
              <w:pStyle w:val="Compact"/>
            </w:pPr>
            <w:r>
              <w:t xml:space="preserve">0xb1231a4a2dd02f2276fa3c5e2a2f3436e6bfed23</w:t>
            </w:r>
          </w:p>
        </w:tc>
        <w:tc>
          <w:tcPr/>
          <w:p>
            <w:pPr>
              <w:pStyle w:val="Compact"/>
            </w:pPr>
            <w:r>
              <w:t xml:space="preserve">0.875</w:t>
            </w:r>
          </w:p>
        </w:tc>
        <w:tc>
          <w:tcPr/>
          <w:p>
            <w:pPr>
              <w:pStyle w:val="Compact"/>
            </w:pPr>
            <w:r>
              <w:t xml:space="preserve">0.729</w:t>
            </w:r>
          </w:p>
        </w:tc>
        <w:tc>
          <w:tcPr/>
          <w:p>
            <w:pPr>
              <w:pStyle w:val="Compact"/>
            </w:pPr>
            <w:r>
              <w:t xml:space="preserve">+0.146</w:t>
            </w:r>
          </w:p>
        </w:tc>
        <w:tc>
          <w:tcPr/>
          <w:p>
            <w:pPr>
              <w:pStyle w:val="Compact"/>
            </w:pPr>
            <w:r>
              <w:t xml:space="preserve">4.69</w:t>
            </w:r>
          </w:p>
        </w:tc>
        <w:tc>
          <w:tcPr/>
          <w:p>
            <w:pPr>
              <w:pStyle w:val="Compact"/>
            </w:pPr>
            <w:r>
              <w:t xml:space="preserve">4.19</w:t>
            </w:r>
          </w:p>
        </w:tc>
      </w:tr>
    </w:tbl>
    <w:p>
      <w:pPr>
        <w:pStyle w:val="BodyText"/>
      </w:pPr>
      <w:r>
        <w:t xml:space="preserve">Top greed specialists (better in Greed than in Fear):</w:t>
      </w:r>
    </w:p>
    <w:tbl>
      <w:tblPr>
        <w:tblStyle w:val="Table"/>
        <w:tblW w:type="pct" w:w="5000"/>
        <w:tblLayout w:type="fixed"/>
        <w:tblLook w:firstRow="1" w:lastRow="0" w:firstColumn="0" w:lastColumn="0" w:noHBand="0" w:noVBand="0" w:val="0020"/>
      </w:tblPr>
      <w:tblGrid>
        <w:gridCol w:w="3867"/>
        <w:gridCol w:w="644"/>
        <w:gridCol w:w="736"/>
        <w:gridCol w:w="552"/>
        <w:gridCol w:w="1013"/>
        <w:gridCol w:w="1105"/>
      </w:tblGrid>
      <w:tr>
        <w:trPr>
          <w:tblHeader w:val="on"/>
        </w:trPr>
        <w:tc>
          <w:tcPr/>
          <w:p>
            <w:pPr>
              <w:pStyle w:val="Compact"/>
            </w:pPr>
            <w:r>
              <w:t xml:space="preserve">Account</w:t>
            </w:r>
          </w:p>
        </w:tc>
        <w:tc>
          <w:tcPr/>
          <w:p>
            <w:pPr>
              <w:pStyle w:val="Compact"/>
            </w:pPr>
            <w:r>
              <w:t xml:space="preserve">WR Fear</w:t>
            </w:r>
          </w:p>
        </w:tc>
        <w:tc>
          <w:tcPr/>
          <w:p>
            <w:pPr>
              <w:pStyle w:val="Compact"/>
            </w:pPr>
            <w:r>
              <w:t xml:space="preserve">WR Greed</w:t>
            </w:r>
          </w:p>
        </w:tc>
        <w:tc>
          <w:tcPr/>
          <w:p>
            <w:pPr>
              <w:pStyle w:val="Compact"/>
            </w:pPr>
            <w:r>
              <w:t xml:space="preserve">Edge</w:t>
            </w:r>
          </w:p>
        </w:tc>
        <w:tc>
          <w:tcPr/>
          <w:p>
            <w:pPr>
              <w:pStyle w:val="Compact"/>
            </w:pPr>
            <w:r>
              <w:t xml:space="preserve">Sharpe Fear</w:t>
            </w:r>
          </w:p>
        </w:tc>
        <w:tc>
          <w:tcPr/>
          <w:p>
            <w:pPr>
              <w:pStyle w:val="Compact"/>
            </w:pPr>
            <w:r>
              <w:t xml:space="preserve">Sharpe Greed</w:t>
            </w:r>
          </w:p>
        </w:tc>
      </w:tr>
      <w:tr>
        <w:tc>
          <w:tcPr/>
          <w:p>
            <w:pPr>
              <w:pStyle w:val="Compact"/>
            </w:pPr>
            <w:r>
              <w:t xml:space="preserve">0x3998f134d6aaa2b6a5f723806d00fd2bbbbce891</w:t>
            </w:r>
          </w:p>
        </w:tc>
        <w:tc>
          <w:tcPr/>
          <w:p>
            <w:pPr>
              <w:pStyle w:val="Compact"/>
            </w:pPr>
            <w:r>
              <w:t xml:space="preserve">0.534</w:t>
            </w:r>
          </w:p>
        </w:tc>
        <w:tc>
          <w:tcPr/>
          <w:p>
            <w:pPr>
              <w:pStyle w:val="Compact"/>
            </w:pPr>
            <w:r>
              <w:t xml:space="preserve">0.931</w:t>
            </w:r>
          </w:p>
        </w:tc>
        <w:tc>
          <w:tcPr/>
          <w:p>
            <w:pPr>
              <w:pStyle w:val="Compact"/>
            </w:pPr>
            <w:r>
              <w:t xml:space="preserve">-0.397</w:t>
            </w:r>
          </w:p>
        </w:tc>
        <w:tc>
          <w:tcPr/>
          <w:p>
            <w:pPr>
              <w:pStyle w:val="Compact"/>
            </w:pPr>
            <w:r>
              <w:t xml:space="preserve">-4.71</w:t>
            </w:r>
          </w:p>
        </w:tc>
        <w:tc>
          <w:tcPr/>
          <w:p>
            <w:pPr>
              <w:pStyle w:val="Compact"/>
            </w:pPr>
            <w:r>
              <w:t xml:space="preserve">4.19</w:t>
            </w:r>
          </w:p>
        </w:tc>
      </w:tr>
      <w:tr>
        <w:tc>
          <w:tcPr/>
          <w:p>
            <w:pPr>
              <w:pStyle w:val="Compact"/>
            </w:pPr>
            <w:r>
              <w:t xml:space="preserve">0x8381e6d82f1affd39a336e143e081ef7620a3b7f</w:t>
            </w:r>
          </w:p>
        </w:tc>
        <w:tc>
          <w:tcPr/>
          <w:p>
            <w:pPr>
              <w:pStyle w:val="Compact"/>
            </w:pPr>
            <w:r>
              <w:t xml:space="preserve">0.659</w:t>
            </w:r>
          </w:p>
        </w:tc>
        <w:tc>
          <w:tcPr/>
          <w:p>
            <w:pPr>
              <w:pStyle w:val="Compact"/>
            </w:pPr>
            <w:r>
              <w:t xml:space="preserve">0.954</w:t>
            </w:r>
          </w:p>
        </w:tc>
        <w:tc>
          <w:tcPr/>
          <w:p>
            <w:pPr>
              <w:pStyle w:val="Compact"/>
            </w:pPr>
            <w:r>
              <w:t xml:space="preserve">-0.295</w:t>
            </w:r>
          </w:p>
        </w:tc>
        <w:tc>
          <w:tcPr/>
          <w:p>
            <w:pPr>
              <w:pStyle w:val="Compact"/>
            </w:pPr>
            <w:r>
              <w:t xml:space="preserve">-6.13</w:t>
            </w:r>
          </w:p>
        </w:tc>
        <w:tc>
          <w:tcPr/>
          <w:p>
            <w:pPr>
              <w:pStyle w:val="Compact"/>
            </w:pPr>
            <w:r>
              <w:t xml:space="preserve">4.94</w:t>
            </w:r>
          </w:p>
        </w:tc>
      </w:tr>
      <w:tr>
        <w:tc>
          <w:tcPr/>
          <w:p>
            <w:pPr>
              <w:pStyle w:val="Compact"/>
            </w:pPr>
            <w:r>
              <w:t xml:space="preserve">0x39cef799f8b69da1995852eea189df24eb5cae3c</w:t>
            </w:r>
          </w:p>
        </w:tc>
        <w:tc>
          <w:tcPr/>
          <w:p>
            <w:pPr>
              <w:pStyle w:val="Compact"/>
            </w:pPr>
            <w:r>
              <w:t xml:space="preserve">0.627</w:t>
            </w:r>
          </w:p>
        </w:tc>
        <w:tc>
          <w:tcPr/>
          <w:p>
            <w:pPr>
              <w:pStyle w:val="Compact"/>
            </w:pPr>
            <w:r>
              <w:t xml:space="preserve">0.914</w:t>
            </w:r>
          </w:p>
        </w:tc>
        <w:tc>
          <w:tcPr/>
          <w:p>
            <w:pPr>
              <w:pStyle w:val="Compact"/>
            </w:pPr>
            <w:r>
              <w:t xml:space="preserve">-0.287</w:t>
            </w:r>
          </w:p>
        </w:tc>
        <w:tc>
          <w:tcPr/>
          <w:p>
            <w:pPr>
              <w:pStyle w:val="Compact"/>
            </w:pPr>
            <w:r>
              <w:t xml:space="preserve">-0.99</w:t>
            </w:r>
          </w:p>
        </w:tc>
        <w:tc>
          <w:tcPr/>
          <w:p>
            <w:pPr>
              <w:pStyle w:val="Compact"/>
            </w:pPr>
            <w:r>
              <w:t xml:space="preserve">4.96</w:t>
            </w:r>
          </w:p>
        </w:tc>
      </w:tr>
      <w:tr>
        <w:tc>
          <w:tcPr/>
          <w:p>
            <w:pPr>
              <w:pStyle w:val="Compact"/>
            </w:pPr>
            <w:r>
              <w:t xml:space="preserve">0x72c6a4624e1dffa724e6d00d64ceae698af892a0</w:t>
            </w:r>
          </w:p>
        </w:tc>
        <w:tc>
          <w:tcPr/>
          <w:p>
            <w:pPr>
              <w:pStyle w:val="Compact"/>
            </w:pPr>
            <w:r>
              <w:t xml:space="preserve">0.754</w:t>
            </w:r>
          </w:p>
        </w:tc>
        <w:tc>
          <w:tcPr/>
          <w:p>
            <w:pPr>
              <w:pStyle w:val="Compact"/>
            </w:pPr>
            <w:r>
              <w:t xml:space="preserve">1.000</w:t>
            </w:r>
          </w:p>
        </w:tc>
        <w:tc>
          <w:tcPr/>
          <w:p>
            <w:pPr>
              <w:pStyle w:val="Compact"/>
            </w:pPr>
            <w:r>
              <w:t xml:space="preserve">-0.246</w:t>
            </w:r>
          </w:p>
        </w:tc>
        <w:tc>
          <w:tcPr/>
          <w:p>
            <w:pPr>
              <w:pStyle w:val="Compact"/>
            </w:pPr>
            <w:r>
              <w:t xml:space="preserve">8.13</w:t>
            </w:r>
          </w:p>
        </w:tc>
        <w:tc>
          <w:tcPr/>
          <w:p>
            <w:pPr>
              <w:pStyle w:val="Compact"/>
            </w:pPr>
            <w:r>
              <w:t xml:space="preserve">5.16</w:t>
            </w:r>
          </w:p>
        </w:tc>
      </w:tr>
      <w:tr>
        <w:tc>
          <w:tcPr/>
          <w:p>
            <w:pPr>
              <w:pStyle w:val="Compact"/>
            </w:pPr>
            <w:r>
              <w:t xml:space="preserve">0x92f17e8d81a944691c10e753af1b1baae1a2cd0d</w:t>
            </w:r>
          </w:p>
        </w:tc>
        <w:tc>
          <w:tcPr/>
          <w:p>
            <w:pPr>
              <w:pStyle w:val="Compact"/>
            </w:pPr>
            <w:r>
              <w:t xml:space="preserve">0.825</w:t>
            </w:r>
          </w:p>
        </w:tc>
        <w:tc>
          <w:tcPr/>
          <w:p>
            <w:pPr>
              <w:pStyle w:val="Compact"/>
            </w:pPr>
            <w:r>
              <w:t xml:space="preserve">0.984</w:t>
            </w:r>
          </w:p>
        </w:tc>
        <w:tc>
          <w:tcPr/>
          <w:p>
            <w:pPr>
              <w:pStyle w:val="Compact"/>
            </w:pPr>
            <w:r>
              <w:t xml:space="preserve">-0.159</w:t>
            </w:r>
          </w:p>
        </w:tc>
        <w:tc>
          <w:tcPr/>
          <w:p>
            <w:pPr>
              <w:pStyle w:val="Compact"/>
            </w:pPr>
            <w:r>
              <w:t xml:space="preserve">6.07</w:t>
            </w:r>
          </w:p>
        </w:tc>
        <w:tc>
          <w:tcPr/>
          <w:p>
            <w:pPr>
              <w:pStyle w:val="Compact"/>
            </w:pPr>
            <w:r>
              <w:t xml:space="preserve">11.26</w:t>
            </w:r>
          </w:p>
        </w:tc>
      </w:tr>
    </w:tbl>
    <w:p>
      <w:pPr>
        <w:pStyle w:val="BodyText"/>
      </w:pPr>
      <w:r>
        <w:t xml:space="preserve">The split is real. The top fear specialist flips from a 31.7 Sharpe in Fear to -7.6 in Greed; the top greed specialist flips the other way. These are different strategies wearing different uniforms.</w:t>
      </w:r>
    </w:p>
    <w:p>
      <w:pPr>
        <w:pStyle w:val="CaptionedFigure"/>
      </w:pPr>
      <w:r>
        <w:drawing>
          <wp:inline>
            <wp:extent cx="5334000" cy="4741333"/>
            <wp:effectExtent b="0" l="0" r="0" t="0"/>
            <wp:docPr descr="Per-trader Fear vs Greed mean PnL with contrarian quadrants visible" title="" id="32" name="Picture"/>
            <a:graphic>
              <a:graphicData uri="http://schemas.openxmlformats.org/drawingml/2006/picture">
                <pic:pic>
                  <pic:nvPicPr>
                    <pic:cNvPr descr="contrarian_scatter.png" id="33" name="Picture"/>
                    <pic:cNvPicPr>
                      <a:picLocks noChangeArrowheads="1" noChangeAspect="1"/>
                    </pic:cNvPicPr>
                  </pic:nvPicPr>
                  <pic:blipFill>
                    <a:blip r:embed="rId31"/>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t xml:space="preserve">Per-trader Fear vs Greed mean PnL with contrarian quadrants visible</w:t>
      </w:r>
    </w:p>
    <w:bookmarkEnd w:id="34"/>
    <w:bookmarkStart w:id="35" w:name="caveats"/>
    <w:p>
      <w:pPr>
        <w:pStyle w:val="Heading2"/>
      </w:pPr>
      <w:r>
        <w:t xml:space="preserve">6. Caveats</w:t>
      </w:r>
    </w:p>
    <w:p>
      <w:pPr>
        <w:pStyle w:val="Compact"/>
        <w:numPr>
          <w:ilvl w:val="0"/>
          <w:numId w:val="1003"/>
        </w:numPr>
      </w:pPr>
      <w:r>
        <w:t xml:space="preserve">The trades window is two years and entirely post-2023. The conclusions speak to the late-2023 to early-2025 cycle, not the 2018 to 2022 era.</w:t>
      </w:r>
    </w:p>
    <w:p>
      <w:pPr>
        <w:pStyle w:val="Compact"/>
        <w:numPr>
          <w:ilvl w:val="0"/>
          <w:numId w:val="1003"/>
        </w:numPr>
      </w:pPr>
      <w:r>
        <w:t xml:space="preserve">Closed PnL only shows on close events. Open positions are not marked to market. The Sharpe and drawdown numbers reflect realised PnL only.</w:t>
      </w:r>
    </w:p>
    <w:p>
      <w:pPr>
        <w:pStyle w:val="Compact"/>
        <w:numPr>
          <w:ilvl w:val="0"/>
          <w:numId w:val="1003"/>
        </w:numPr>
      </w:pPr>
      <w:r>
        <w:t xml:space="preserve">No leverage column in the trade file, so position risk is approximated by notional and per-trade stdev.</w:t>
      </w:r>
    </w:p>
    <w:p>
      <w:pPr>
        <w:pStyle w:val="Compact"/>
        <w:numPr>
          <w:ilvl w:val="0"/>
          <w:numId w:val="1003"/>
        </w:numPr>
      </w:pPr>
      <w:r>
        <w:t xml:space="preserve">28 traders making both Fear and Greed cuts of 50+ trades is a small contrarian sample. The headline regime numbers use the full 211k trades, so those are sturdier.</w:t>
      </w:r>
    </w:p>
    <w:p>
      <w:pPr>
        <w:pStyle w:val="Compact"/>
        <w:numPr>
          <w:ilvl w:val="0"/>
          <w:numId w:val="1003"/>
        </w:numPr>
      </w:pPr>
      <w:r>
        <w:t xml:space="preserve">The Sharpe number uses a 365-day annualisation, which is the standard for 24/7 crypto markets but inflates the figure relative to the 252-day equity convention.</w:t>
      </w:r>
    </w:p>
    <w:bookmarkEnd w:id="35"/>
    <w:bookmarkStart w:id="36" w:name="strategy-ideas-worth-a-follow-up"/>
    <w:p>
      <w:pPr>
        <w:pStyle w:val="Heading2"/>
      </w:pPr>
      <w:r>
        <w:t xml:space="preserve">7. Strategy ideas worth a follow-up</w:t>
      </w:r>
    </w:p>
    <w:p>
      <w:pPr>
        <w:pStyle w:val="Compact"/>
        <w:numPr>
          <w:ilvl w:val="0"/>
          <w:numId w:val="1004"/>
        </w:numPr>
      </w:pPr>
      <w:r>
        <w:rPr>
          <w:b/>
          <w:bCs/>
        </w:rPr>
        <w:t xml:space="preserve">Bias allocation to the Extreme Greed regime.</w:t>
      </w:r>
      <w:r>
        <w:t xml:space="preserve"> </w:t>
      </w:r>
      <w:r>
        <w:t xml:space="preserve">Every profitability metric peaks there, and the long share drops to 44.9 percent, meaning short-side discipline is being rewarded. A simple regime filter that scales position size up when the index sits above ~80 would be the cleanest version of this.</w:t>
      </w:r>
    </w:p>
    <w:p>
      <w:pPr>
        <w:pStyle w:val="Compact"/>
        <w:numPr>
          <w:ilvl w:val="0"/>
          <w:numId w:val="1004"/>
        </w:numPr>
      </w:pPr>
      <w:r>
        <w:rPr>
          <w:b/>
          <w:bCs/>
        </w:rPr>
        <w:t xml:space="preserve">Avoid the middle of a greed rally.</w:t>
      </w:r>
      <w:r>
        <w:t xml:space="preserve"> </w:t>
      </w:r>
      <w:r>
        <w:t xml:space="preserve">Plain Greed posts the worst Sharpe and the worst single-window drawdown by a wide margin. A risk-down rule when the index is in the 55 to 75 band would have prevented the largest equity destruction in the dataset.</w:t>
      </w:r>
    </w:p>
    <w:p>
      <w:pPr>
        <w:pStyle w:val="Compact"/>
        <w:numPr>
          <w:ilvl w:val="0"/>
          <w:numId w:val="1004"/>
        </w:numPr>
      </w:pPr>
      <w:r>
        <w:rPr>
          <w:b/>
          <w:bCs/>
        </w:rPr>
        <w:t xml:space="preserve">Mix two specialist cohorts instead of one strategy.</w:t>
      </w:r>
      <w:r>
        <w:t xml:space="preserve"> </w:t>
      </w:r>
      <w:r>
        <w:t xml:space="preserve">The contrarian table shows two real subpopulations: fear specialists and greed specialists. A portfolio that allocates between them based on the current regime should produce a smoother equity curve than chasing one approach. The next step would be a backtest of a 50/50 split that mechanically routes capital by regime label.</w:t>
      </w:r>
    </w:p>
    <w:bookmarkEnd w:id="36"/>
    <w:bookmarkStart w:id="37" w:name="files-in-this-submission"/>
    <w:p>
      <w:pPr>
        <w:pStyle w:val="Heading2"/>
      </w:pPr>
      <w:r>
        <w:t xml:space="preserve">8. Files in this submission</w:t>
      </w:r>
    </w:p>
    <w:p>
      <w:pPr>
        <w:pStyle w:val="Compact"/>
        <w:numPr>
          <w:ilvl w:val="0"/>
          <w:numId w:val="1005"/>
        </w:numPr>
      </w:pPr>
      <w:r>
        <w:rPr>
          <w:rStyle w:val="VerbatimChar"/>
        </w:rPr>
        <w:t xml:space="preserve">notebooks/analysis.ipynb</w:t>
      </w:r>
      <w:r>
        <w:t xml:space="preserve"> </w:t>
      </w:r>
      <w:r>
        <w:t xml:space="preserve">runs the full pipeline.</w:t>
      </w:r>
    </w:p>
    <w:p>
      <w:pPr>
        <w:pStyle w:val="Compact"/>
        <w:numPr>
          <w:ilvl w:val="0"/>
          <w:numId w:val="1005"/>
        </w:numPr>
      </w:pPr>
      <w:r>
        <w:rPr>
          <w:rStyle w:val="VerbatimChar"/>
        </w:rPr>
        <w:t xml:space="preserve">src/</w:t>
      </w:r>
      <w:r>
        <w:t xml:space="preserve"> </w:t>
      </w:r>
      <w:r>
        <w:t xml:space="preserve">holds the data loader, feature engineering, and metric functions.</w:t>
      </w:r>
    </w:p>
    <w:p>
      <w:pPr>
        <w:pStyle w:val="Compact"/>
        <w:numPr>
          <w:ilvl w:val="0"/>
          <w:numId w:val="1005"/>
        </w:numPr>
      </w:pPr>
      <w:r>
        <w:rPr>
          <w:rStyle w:val="VerbatimChar"/>
        </w:rPr>
        <w:t xml:space="preserve">outputs/figures/</w:t>
      </w:r>
      <w:r>
        <w:t xml:space="preserve"> </w:t>
      </w:r>
      <w:r>
        <w:t xml:space="preserve">has the seven headline charts (sentiment timeline, trades EDA, regime metrics, per-trade PnL boxplot, cumulative PnL by regime, coin-by-regime heatmap, contrarian scatter).</w:t>
      </w:r>
    </w:p>
    <w:p>
      <w:pPr>
        <w:pStyle w:val="Compact"/>
        <w:numPr>
          <w:ilvl w:val="0"/>
          <w:numId w:val="1005"/>
        </w:numPr>
      </w:pPr>
      <w:r>
        <w:rPr>
          <w:rStyle w:val="VerbatimChar"/>
        </w:rPr>
        <w:t xml:space="preserve">outputs/tables/</w:t>
      </w:r>
      <w:r>
        <w:t xml:space="preserve"> </w:t>
      </w:r>
      <w:r>
        <w:t xml:space="preserve">has the metric table by regime plus the ranked trader CSVs (overall, per regime, and contrarian).</w:t>
      </w:r>
    </w:p>
    <w:p>
      <w:pPr>
        <w:pStyle w:val="Compact"/>
        <w:numPr>
          <w:ilvl w:val="0"/>
          <w:numId w:val="1005"/>
        </w:numPr>
      </w:pPr>
      <w:r>
        <w:rPr>
          <w:rStyle w:val="VerbatimChar"/>
        </w:rPr>
        <w:t xml:space="preserve">tests/test_metrics.py</w:t>
      </w:r>
      <w:r>
        <w:t xml:space="preserve"> </w:t>
      </w:r>
      <w:r>
        <w:t xml:space="preserve">runs assertion-based unit tests on the metric functions.</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23" Target="media/rId23.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9" Target="media/rId9.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Trader Performance vs Bitcoin Sentiment</dc:title>
  <dc:creator>Kartik Shirode</dc:creator>
  <cp:keywords/>
  <dcterms:created xsi:type="dcterms:W3CDTF">2026-05-20T20:31:24Z</dcterms:created>
  <dcterms:modified xsi:type="dcterms:W3CDTF">2026-05-20T20:31:24Z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ometry">
    <vt:lpwstr>margin=2cm</vt:lpwstr>
  </property>
  <property fmtid="{D5CDD505-2E9C-101B-9397-08002B2CF9AE}" pid="3" name="subtitle">
    <vt:lpwstr>Primetrade.ai Data Science Internship Assignment</vt:lpwstr>
  </property>
</Properties>
</file>