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18.png" ContentType="image/png"/>
  <Override PartName="/word/media/rId14.png" ContentType="image/png"/>
  <Override PartName="/word/media/rId9.png" ContentType="image/png"/>
  <Override PartName="/word/media/rId23.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Trader Performance vs Bitcoin Sentiment v2</w:t>
      </w:r>
    </w:p>
    <w:p>
      <w:pPr>
        <w:pStyle w:val="Subtitle"/>
      </w:pPr>
      <w:r>
        <w:t xml:space="preserve">Primetrade.ai DS Submission v2</w:t>
      </w:r>
    </w:p>
    <w:p>
      <w:pPr>
        <w:pStyle w:val="Author"/>
      </w:pPr>
      <w:r>
        <w:t xml:space="preserve">Kartik Shirode</w:t>
      </w:r>
    </w:p>
    <w:bookmarkStart w:id="38" w:name="X64c9cec8d4209c436c158084507b60911520bc3"/>
    <w:p>
      <w:pPr>
        <w:pStyle w:val="Heading1"/>
      </w:pPr>
      <w:r>
        <w:t xml:space="preserve">Trader Performance vs Bitcoin Sentiment (v2)</w:t>
      </w:r>
    </w:p>
    <w:bookmarkStart w:id="12" w:name="headline-numbers"/>
    <w:p>
      <w:pPr>
        <w:pStyle w:val="Heading2"/>
      </w:pPr>
      <w:r>
        <w:t xml:space="preserve">Headline numbers</w:t>
      </w:r>
    </w:p>
    <w:p>
      <w:pPr>
        <w:pStyle w:val="Compact"/>
        <w:numPr>
          <w:ilvl w:val="0"/>
          <w:numId w:val="1001"/>
        </w:numPr>
      </w:pPr>
      <w:r>
        <w:rPr>
          <w:b/>
          <w:bCs/>
        </w:rPr>
        <w:t xml:space="preserve">Extreme Greed regime</w:t>
      </w:r>
      <w:r>
        <w:t xml:space="preserve"> </w:t>
      </w:r>
      <w:r>
        <w:t xml:space="preserve">posts the highest profitability across every metric (win rate 89.2 %, profit factor 11.0, ROI 2.18 %).</w:t>
      </w:r>
    </w:p>
    <w:p>
      <w:pPr>
        <w:pStyle w:val="Compact"/>
        <w:numPr>
          <w:ilvl w:val="0"/>
          <w:numId w:val="1001"/>
        </w:numPr>
      </w:pPr>
      <w:r>
        <w:rPr>
          <w:b/>
          <w:bCs/>
        </w:rPr>
        <w:t xml:space="preserve">Plain Greed regime</w:t>
      </w:r>
      <w:r>
        <w:t xml:space="preserve"> </w:t>
      </w:r>
      <w:r>
        <w:t xml:space="preserve">is the worst by Sharpe (3.41) and drawdown ($-419k).</w:t>
      </w:r>
    </w:p>
    <w:p>
      <w:pPr>
        <w:pStyle w:val="Compact"/>
        <w:numPr>
          <w:ilvl w:val="0"/>
          <w:numId w:val="1001"/>
        </w:numPr>
      </w:pPr>
      <w:r>
        <w:rPr>
          <w:b/>
          <w:bCs/>
        </w:rPr>
        <w:t xml:space="preserve">Win-probability model</w:t>
      </w:r>
      <w:r>
        <w:t xml:space="preserve"> </w:t>
      </w:r>
      <w:r>
        <w:t xml:space="preserve">clears AUC 0.81 in Extreme Fear, AUC 0.46 in plain Fear; the model is most useful as an extreme-zone filter.</w:t>
      </w:r>
    </w:p>
    <w:p>
      <w:pPr>
        <w:pStyle w:val="Compact"/>
        <w:numPr>
          <w:ilvl w:val="0"/>
          <w:numId w:val="1001"/>
        </w:numPr>
      </w:pPr>
      <w:r>
        <w:rPr>
          <w:b/>
          <w:bCs/>
        </w:rPr>
        <w:t xml:space="preserve">Strategy backtest</w:t>
      </w:r>
      <w:r>
        <w:t xml:space="preserve"> </w:t>
      </w:r>
      <w:r>
        <w:t xml:space="preserve">(regime filter + win-prob filter) ships +13.4 % more PnL on half the trades, Sharpe 15.7 vs 6.6 baseline, zero drawdown.</w:t>
      </w:r>
    </w:p>
    <w:p>
      <w:pPr>
        <w:pStyle w:val="FirstParagraph"/>
      </w:pPr>
      <w:r>
        <w:t xml:space="preserve">Primetrade.ai DS submission. Author: Kartik Shirode. Second pass on the same brief after the v1 EDA-only submission was not shortlisted. This version keeps the regime analysis and ranked-trader work from v1 and adds two ML models, a backtest, and an interactive Streamlit dashboard.</w:t>
      </w:r>
    </w:p>
    <w:p>
      <w:pPr>
        <w:pStyle w:val="CaptionedFigure"/>
      </w:pPr>
      <w:r>
        <w:drawing>
          <wp:inline>
            <wp:extent cx="5334000" cy="1524000"/>
            <wp:effectExtent b="0" l="0" r="0" t="0"/>
            <wp:docPr descr="Bitcoin Fear and Greed Index over time" title="" id="10" name="Picture"/>
            <a:graphic>
              <a:graphicData uri="http://schemas.openxmlformats.org/drawingml/2006/picture">
                <pic:pic>
                  <pic:nvPicPr>
                    <pic:cNvPr descr="sentiment_timeline.png" id="11" name="Picture"/>
                    <pic:cNvPicPr>
                      <a:picLocks noChangeArrowheads="1" noChangeAspect="1"/>
                    </pic:cNvPicPr>
                  </pic:nvPicPr>
                  <pic:blipFill>
                    <a:blip r:embed="rId9"/>
                    <a:stretch>
                      <a:fillRect/>
                    </a:stretch>
                  </pic:blipFill>
                  <pic:spPr bwMode="auto">
                    <a:xfrm>
                      <a:off x="0" y="0"/>
                      <a:ext cx="5334000" cy="1524000"/>
                    </a:xfrm>
                    <a:prstGeom prst="rect">
                      <a:avLst/>
                    </a:prstGeom>
                    <a:noFill/>
                    <a:ln w="9525">
                      <a:noFill/>
                      <a:headEnd/>
                      <a:tailEnd/>
                    </a:ln>
                  </pic:spPr>
                </pic:pic>
              </a:graphicData>
            </a:graphic>
          </wp:inline>
        </w:drawing>
      </w:r>
    </w:p>
    <w:p>
      <w:pPr>
        <w:pStyle w:val="ImageCaption"/>
      </w:pPr>
      <w:r>
        <w:t xml:space="preserve">Bitcoin Fear and Greed Index over time</w:t>
      </w:r>
    </w:p>
    <w:bookmarkEnd w:id="12"/>
    <w:bookmarkStart w:id="13" w:name="what-the-data-looks-like"/>
    <w:p>
      <w:pPr>
        <w:pStyle w:val="Heading2"/>
      </w:pPr>
      <w:r>
        <w:t xml:space="preserve">1. What the data looks like</w:t>
      </w:r>
    </w:p>
    <w:p>
      <w:pPr>
        <w:pStyle w:val="FirstParagraph"/>
      </w:pPr>
      <w:r>
        <w:t xml:space="preserve">Two sources joined on the trade date.</w:t>
      </w:r>
    </w:p>
    <w:p>
      <w:pPr>
        <w:pStyle w:val="BodyText"/>
      </w:pPr>
      <w:r>
        <w:rPr>
          <w:b/>
          <w:bCs/>
        </w:rPr>
        <w:t xml:space="preserve">Hyperliquid trades.</w:t>
      </w:r>
      <w:r>
        <w:t xml:space="preserve"> </w:t>
      </w:r>
      <w:r>
        <w:t xml:space="preserve">211,224 rows covering 2023-05-01 to 2025-05-01. Sixteen columns including account, coin, execution price, USD size, side (BUY or SELL), IST timestamp, start position, and closed PnL. No leverage column, so position risk is approximated by notional and per-trade PnL stdev. About 49 percent of rows are actual close events (non-zero closed PnL).</w:t>
      </w:r>
    </w:p>
    <w:p>
      <w:pPr>
        <w:pStyle w:val="BodyText"/>
      </w:pPr>
      <w:r>
        <w:rPr>
          <w:b/>
          <w:bCs/>
        </w:rPr>
        <w:t xml:space="preserve">Bitcoin Fear and Greed Index.</w:t>
      </w:r>
      <w:r>
        <w:t xml:space="preserve"> </w:t>
      </w:r>
      <w:r>
        <w:t xml:space="preserve">2,644 daily rows from 2018-02-01 to 2025-05-02, five-class label (Extreme Fear, Fear, Neutral, Greed, Extreme Greed) and a numeric 0 to 100 value. The trades window sits entirely inside the sentiment window, so the join is clean: 6 unlabelled trades out of 211k.</w:t>
      </w:r>
    </w:p>
    <w:bookmarkEnd w:id="13"/>
    <w:bookmarkStart w:id="17" w:name="X8b44196c359d3b3ba94e96acf5c51a29744dcad"/>
    <w:p>
      <w:pPr>
        <w:pStyle w:val="Heading2"/>
      </w:pPr>
      <w:r>
        <w:t xml:space="preserve">2. Headline finding (unchanged from v1, sharper here)</w:t>
      </w:r>
    </w:p>
    <w:p>
      <w:pPr>
        <w:pStyle w:val="FirstParagraph"/>
      </w:pPr>
      <w:r>
        <w:t xml:space="preserve">Trader performance is far from flat across sentiment regimes. The strongest regime by every profitability metric is</w:t>
      </w:r>
      <w:r>
        <w:t xml:space="preserve"> </w:t>
      </w:r>
      <w:r>
        <w:rPr>
          <w:b/>
          <w:bCs/>
        </w:rPr>
        <w:t xml:space="preserve">Extreme Greed</w:t>
      </w:r>
      <w:r>
        <w:t xml:space="preserve"> </w:t>
      </w:r>
      <w:r>
        <w:t xml:space="preserve">(per-trade PnL</w:t>
      </w:r>
      <w:r>
        <w:t xml:space="preserve"> </w:t>
      </w:r>
      <m:oMath>
        <m:r>
          <m:t>67.89</m:t>
        </m:r>
        <m:r>
          <m:rPr>
            <m:sty m:val="p"/>
          </m:rPr>
          <m:t>,</m:t>
        </m:r>
        <m:r>
          <m:t>w</m:t>
        </m:r>
        <m:r>
          <m:t>i</m:t>
        </m:r>
        <m:r>
          <m:t>n</m:t>
        </m:r>
        <m:r>
          <m:t>r</m:t>
        </m:r>
        <m:r>
          <m:t>a</m:t>
        </m:r>
        <m:r>
          <m:t>t</m:t>
        </m:r>
        <m:r>
          <m:t>e</m:t>
        </m:r>
        <m:r>
          <m:t>89.2</m:t>
        </m:r>
        <m:r>
          <m:t>p</m:t>
        </m:r>
        <m:r>
          <m:t>e</m:t>
        </m:r>
        <m:r>
          <m:t>r</m:t>
        </m:r>
        <m:r>
          <m:t>c</m:t>
        </m:r>
        <m:r>
          <m:t>e</m:t>
        </m:r>
        <m:r>
          <m:t>n</m:t>
        </m:r>
        <m:r>
          <m:t>t</m:t>
        </m:r>
        <m:r>
          <m:rPr>
            <m:sty m:val="p"/>
          </m:rPr>
          <m:t>,</m:t>
        </m:r>
        <m:r>
          <m:t>p</m:t>
        </m:r>
        <m:r>
          <m:t>r</m:t>
        </m:r>
        <m:r>
          <m:t>o</m:t>
        </m:r>
        <m:r>
          <m:t>f</m:t>
        </m:r>
        <m:r>
          <m:t>i</m:t>
        </m:r>
        <m:r>
          <m:t>t</m:t>
        </m:r>
        <m:r>
          <m:t>f</m:t>
        </m:r>
        <m:r>
          <m:t>a</m:t>
        </m:r>
        <m:r>
          <m:t>c</m:t>
        </m:r>
        <m:r>
          <m:t>t</m:t>
        </m:r>
        <m:r>
          <m:t>o</m:t>
        </m:r>
        <m:r>
          <m:t>r</m:t>
        </m:r>
        <m:r>
          <m:t>11.0</m:t>
        </m:r>
        <m:r>
          <m:rPr>
            <m:sty m:val="p"/>
          </m:rPr>
          <m:t>,</m:t>
        </m:r>
        <m:r>
          <m:t>R</m:t>
        </m:r>
        <m:r>
          <m:t>O</m:t>
        </m:r>
        <m:r>
          <m:t>I</m:t>
        </m:r>
        <m:r>
          <m:t>2.18</m:t>
        </m:r>
        <m:r>
          <m:t>p</m:t>
        </m:r>
        <m:r>
          <m:t>e</m:t>
        </m:r>
        <m:r>
          <m:t>r</m:t>
        </m:r>
        <m:r>
          <m:t>c</m:t>
        </m:r>
        <m:r>
          <m:t>e</m:t>
        </m:r>
        <m:r>
          <m:t>n</m:t>
        </m:r>
        <m:r>
          <m:t>t</m:t>
        </m:r>
        <m:r>
          <m:rPr>
            <m:sty m:val="p"/>
          </m:rPr>
          <m:t>)</m:t>
        </m:r>
        <m:r>
          <m:rPr>
            <m:sty m:val="p"/>
          </m:rPr>
          <m:t>.</m:t>
        </m:r>
        <m:r>
          <m:t>T</m:t>
        </m:r>
        <m:r>
          <m:t>h</m:t>
        </m:r>
        <m:r>
          <m:t>e</m:t>
        </m:r>
        <m:r>
          <m:t>w</m:t>
        </m:r>
        <m:r>
          <m:t>e</m:t>
        </m:r>
        <m:r>
          <m:t>a</m:t>
        </m:r>
        <m:r>
          <m:t>k</m:t>
        </m:r>
        <m:r>
          <m:t>e</m:t>
        </m:r>
        <m:r>
          <m:t>s</m:t>
        </m:r>
        <m:r>
          <m:t>t</m:t>
        </m:r>
        <m:r>
          <m:t>i</m:t>
        </m:r>
        <m:r>
          <m:t>s</m:t>
        </m:r>
        <m:r>
          <m:t>p</m:t>
        </m:r>
        <m:r>
          <m:t>l</m:t>
        </m:r>
        <m:r>
          <m:t>a</m:t>
        </m:r>
        <m:r>
          <m:t>i</m:t>
        </m:r>
        <m:r>
          <m:t>n</m:t>
        </m:r>
        <m:r>
          <m:rPr>
            <m:sty m:val="p"/>
          </m:rPr>
          <m:t>*</m:t>
        </m:r>
        <m:r>
          <m:rPr>
            <m:sty m:val="p"/>
          </m:rPr>
          <m:t>*</m:t>
        </m:r>
        <m:r>
          <m:t>G</m:t>
        </m:r>
        <m:r>
          <m:t>r</m:t>
        </m:r>
        <m:r>
          <m:t>e</m:t>
        </m:r>
        <m:r>
          <m:t>e</m:t>
        </m:r>
        <m:r>
          <m:t>d</m:t>
        </m:r>
        <m:r>
          <m:rPr>
            <m:sty m:val="p"/>
          </m:rPr>
          <m:t>*</m:t>
        </m:r>
        <m:r>
          <m:rPr>
            <m:sty m:val="p"/>
          </m:rPr>
          <m:t>*</m:t>
        </m:r>
        <m:r>
          <m:rPr>
            <m:sty m:val="p"/>
          </m:rPr>
          <m:t>,</m:t>
        </m:r>
        <m:r>
          <m:t>w</m:t>
        </m:r>
        <m:r>
          <m:t>h</m:t>
        </m:r>
        <m:r>
          <m:t>i</m:t>
        </m:r>
        <m:r>
          <m:t>c</m:t>
        </m:r>
        <m:r>
          <m:t>h</m:t>
        </m:r>
        <m:r>
          <m:t>p</m:t>
        </m:r>
        <m:r>
          <m:t>o</m:t>
        </m:r>
        <m:r>
          <m:t>s</m:t>
        </m:r>
        <m:r>
          <m:t>t</m:t>
        </m:r>
        <m:r>
          <m:t>s</m:t>
        </m:r>
        <m:r>
          <m:t>t</m:t>
        </m:r>
        <m:r>
          <m:t>h</m:t>
        </m:r>
        <m:r>
          <m:t>e</m:t>
        </m:r>
        <m:r>
          <m:t>l</m:t>
        </m:r>
        <m:r>
          <m:t>o</m:t>
        </m:r>
        <m:r>
          <m:t>w</m:t>
        </m:r>
        <m:r>
          <m:t>e</m:t>
        </m:r>
        <m:r>
          <m:t>s</m:t>
        </m:r>
        <m:r>
          <m:t>t</m:t>
        </m:r>
        <m:r>
          <m:t>S</m:t>
        </m:r>
        <m:r>
          <m:t>h</m:t>
        </m:r>
        <m:r>
          <m:t>a</m:t>
        </m:r>
        <m:r>
          <m:t>r</m:t>
        </m:r>
        <m:r>
          <m:t>p</m:t>
        </m:r>
        <m:r>
          <m:t>e</m:t>
        </m:r>
        <m:r>
          <m:t>i</m:t>
        </m:r>
        <m:r>
          <m:t>n</m:t>
        </m:r>
        <m:r>
          <m:t>t</m:t>
        </m:r>
        <m:r>
          <m:t>h</m:t>
        </m:r>
        <m:r>
          <m:t>e</m:t>
        </m:r>
        <m:r>
          <m:t>c</m:t>
        </m:r>
        <m:r>
          <m:t>o</m:t>
        </m:r>
        <m:r>
          <m:t>h</m:t>
        </m:r>
        <m:r>
          <m:t>o</m:t>
        </m:r>
        <m:r>
          <m:t>r</m:t>
        </m:r>
        <m:r>
          <m:t>t</m:t>
        </m:r>
        <m:r>
          <m:rPr>
            <m:sty m:val="p"/>
          </m:rPr>
          <m:t>(</m:t>
        </m:r>
        <m:r>
          <m:t>3.41</m:t>
        </m:r>
        <m:r>
          <m:rPr>
            <m:sty m:val="p"/>
          </m:rPr>
          <m:t>)</m:t>
        </m:r>
        <m:r>
          <m:t>a</m:t>
        </m:r>
        <m:r>
          <m:t>n</m:t>
        </m:r>
        <m:r>
          <m:t>d</m:t>
        </m:r>
        <m:r>
          <m:t>t</m:t>
        </m:r>
        <m:r>
          <m:t>h</m:t>
        </m:r>
        <m:r>
          <m:t>e</m:t>
        </m:r>
        <m:r>
          <m:t>w</m:t>
        </m:r>
        <m:r>
          <m:t>o</m:t>
        </m:r>
        <m:r>
          <m:t>r</m:t>
        </m:r>
        <m:r>
          <m:t>s</m:t>
        </m:r>
        <m:r>
          <m:t>t</m:t>
        </m:r>
        <m:r>
          <m:t>s</m:t>
        </m:r>
        <m:r>
          <m:t>i</m:t>
        </m:r>
        <m:r>
          <m:t>n</m:t>
        </m:r>
        <m:r>
          <m:t>g</m:t>
        </m:r>
        <m:r>
          <m:t>l</m:t>
        </m:r>
        <m:r>
          <m:t>e</m:t>
        </m:r>
        <m:r>
          <m:rPr>
            <m:sty m:val="p"/>
          </m:rPr>
          <m:t>−</m:t>
        </m:r>
        <m:r>
          <m:t>r</m:t>
        </m:r>
        <m:r>
          <m:t>e</m:t>
        </m:r>
        <m:r>
          <m:t>g</m:t>
        </m:r>
        <m:r>
          <m:t>i</m:t>
        </m:r>
        <m:r>
          <m:t>m</m:t>
        </m:r>
        <m:r>
          <m:t>e</m:t>
        </m:r>
        <m:r>
          <m:t>d</m:t>
        </m:r>
        <m:r>
          <m:t>r</m:t>
        </m:r>
        <m:r>
          <m:t>a</m:t>
        </m:r>
        <m:r>
          <m:t>w</m:t>
        </m:r>
        <m:r>
          <m:t>d</m:t>
        </m:r>
        <m:r>
          <m:t>o</m:t>
        </m:r>
        <m:r>
          <m:t>w</m:t>
        </m:r>
        <m:r>
          <m:t>n</m:t>
        </m:r>
        <m:r>
          <m:t>i</m:t>
        </m:r>
        <m:r>
          <m:t>n</m:t>
        </m:r>
        <m:r>
          <m:t>t</m:t>
        </m:r>
        <m:r>
          <m:t>h</m:t>
        </m:r>
        <m:r>
          <m:t>e</m:t>
        </m:r>
        <m:r>
          <m:t>d</m:t>
        </m:r>
        <m:r>
          <m:t>a</m:t>
        </m:r>
        <m:r>
          <m:t>t</m:t>
        </m:r>
        <m:r>
          <m:t>a</m:t>
        </m:r>
        <m:r>
          <m:t>s</m:t>
        </m:r>
        <m:r>
          <m:t>e</m:t>
        </m:r>
        <m:r>
          <m:t>t</m:t>
        </m:r>
        <m:r>
          <m:rPr>
            <m:sty m:val="p"/>
          </m:rPr>
          <m:t>(</m:t>
        </m:r>
      </m:oMath>
      <w:r>
        <w:t xml:space="preserve">-419k). The middle of a greed rally is where this trader cohort loses the most equity.</w:t>
      </w:r>
    </w:p>
    <w:p>
      <w:pPr>
        <w:pStyle w:val="CaptionedFigure"/>
      </w:pPr>
      <w:r>
        <w:drawing>
          <wp:inline>
            <wp:extent cx="5334000" cy="3000375"/>
            <wp:effectExtent b="0" l="0" r="0" t="0"/>
            <wp:docPr descr="Headline metrics by regime" title="" id="15" name="Picture"/>
            <a:graphic>
              <a:graphicData uri="http://schemas.openxmlformats.org/drawingml/2006/picture">
                <pic:pic>
                  <pic:nvPicPr>
                    <pic:cNvPr descr="metrics_by_regime.png" id="16" name="Picture"/>
                    <pic:cNvPicPr>
                      <a:picLocks noChangeArrowheads="1" noChangeAspect="1"/>
                    </pic:cNvPicPr>
                  </pic:nvPicPr>
                  <pic:blipFill>
                    <a:blip r:embed="rId1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Headline metrics by regime</w:t>
      </w:r>
    </w:p>
    <w:bookmarkEnd w:id="17"/>
    <w:bookmarkStart w:id="21" w:name="regime-level-metric-table"/>
    <w:p>
      <w:pPr>
        <w:pStyle w:val="Heading2"/>
      </w:pPr>
      <w:r>
        <w:t xml:space="preserve">3. Regime-level metric table</w:t>
      </w:r>
    </w:p>
    <w:tbl>
      <w:tblPr>
        <w:tblStyle w:val="Table"/>
        <w:tblW w:type="pct" w:w="5000"/>
        <w:tblLayout w:type="fixed"/>
        <w:tblLook w:firstRow="1" w:lastRow="0" w:firstColumn="0" w:lastColumn="0" w:noHBand="0" w:noVBand="0" w:val="0020"/>
      </w:tblPr>
      <w:tblGrid>
        <w:gridCol w:w="1518"/>
        <w:gridCol w:w="759"/>
        <w:gridCol w:w="759"/>
        <w:gridCol w:w="867"/>
        <w:gridCol w:w="1410"/>
        <w:gridCol w:w="650"/>
        <w:gridCol w:w="650"/>
        <w:gridCol w:w="1301"/>
      </w:tblGrid>
      <w:tr>
        <w:trPr>
          <w:tblHeader w:val="on"/>
        </w:trPr>
        <w:tc>
          <w:tcPr/>
          <w:p>
            <w:pPr>
              <w:pStyle w:val="Compact"/>
            </w:pPr>
            <w:r>
              <w:t xml:space="preserve">Regime</w:t>
            </w:r>
          </w:p>
        </w:tc>
        <w:tc>
          <w:tcPr/>
          <w:p>
            <w:pPr>
              <w:pStyle w:val="Compact"/>
            </w:pPr>
            <w:r>
              <w:t xml:space="preserve">Trades</w:t>
            </w:r>
          </w:p>
        </w:tc>
        <w:tc>
          <w:tcPr/>
          <w:p>
            <w:pPr>
              <w:pStyle w:val="Compact"/>
            </w:pPr>
            <w:r>
              <w:t xml:space="preserve">Avg PnL</w:t>
            </w:r>
          </w:p>
        </w:tc>
        <w:tc>
          <w:tcPr/>
          <w:p>
            <w:pPr>
              <w:pStyle w:val="Compact"/>
            </w:pPr>
            <w:r>
              <w:t xml:space="preserve">Win rate</w:t>
            </w:r>
          </w:p>
        </w:tc>
        <w:tc>
          <w:tcPr/>
          <w:p>
            <w:pPr>
              <w:pStyle w:val="Compact"/>
            </w:pPr>
            <w:r>
              <w:t xml:space="preserve">Profit factor</w:t>
            </w:r>
          </w:p>
        </w:tc>
        <w:tc>
          <w:tcPr/>
          <w:p>
            <w:pPr>
              <w:pStyle w:val="Compact"/>
            </w:pPr>
            <w:r>
              <w:t xml:space="preserve">Sharpe</w:t>
            </w:r>
          </w:p>
        </w:tc>
        <w:tc>
          <w:tcPr/>
          <w:p>
            <w:pPr>
              <w:pStyle w:val="Compact"/>
            </w:pPr>
            <w:r>
              <w:t xml:space="preserve">ROI</w:t>
            </w:r>
          </w:p>
        </w:tc>
        <w:tc>
          <w:tcPr/>
          <w:p>
            <w:pPr>
              <w:pStyle w:val="Compact"/>
            </w:pPr>
            <w:r>
              <w:t xml:space="preserve">Max drawdown</w:t>
            </w:r>
          </w:p>
        </w:tc>
      </w:tr>
      <w:tr>
        <w:tc>
          <w:tcPr/>
          <w:p>
            <w:pPr>
              <w:pStyle w:val="Compact"/>
            </w:pPr>
            <w:r>
              <w:t xml:space="preserve">Extreme Fear</w:t>
            </w:r>
          </w:p>
        </w:tc>
        <w:tc>
          <w:tcPr/>
          <w:p>
            <w:pPr>
              <w:pStyle w:val="Compact"/>
            </w:pPr>
            <w:r>
              <w:t xml:space="preserve">21,400</w:t>
            </w:r>
          </w:p>
        </w:tc>
        <w:tc>
          <w:tcPr/>
          <w:p>
            <w:pPr>
              <w:pStyle w:val="Compact"/>
            </w:pPr>
            <w:r>
              <w:t xml:space="preserve">$34.54</w:t>
            </w:r>
          </w:p>
        </w:tc>
        <w:tc>
          <w:tcPr/>
          <w:p>
            <w:pPr>
              <w:pStyle w:val="Compact"/>
            </w:pPr>
            <w:r>
              <w:t xml:space="preserve">76.2 %</w:t>
            </w:r>
          </w:p>
        </w:tc>
        <w:tc>
          <w:tcPr/>
          <w:p>
            <w:pPr>
              <w:pStyle w:val="Compact"/>
            </w:pPr>
            <w:r>
              <w:t xml:space="preserve">2.16</w:t>
            </w:r>
          </w:p>
        </w:tc>
        <w:tc>
          <w:tcPr/>
          <w:p>
            <w:pPr>
              <w:pStyle w:val="Compact"/>
            </w:pPr>
            <w:r>
              <w:t xml:space="preserve">9.96</w:t>
            </w:r>
          </w:p>
        </w:tc>
        <w:tc>
          <w:tcPr/>
          <w:p>
            <w:pPr>
              <w:pStyle w:val="Compact"/>
            </w:pPr>
            <w:r>
              <w:t xml:space="preserve">0.65 %</w:t>
            </w:r>
          </w:p>
        </w:tc>
        <w:tc>
          <w:tcPr/>
          <w:p>
            <w:pPr>
              <w:pStyle w:val="Compact"/>
            </w:pPr>
            <w:r>
              <w:t xml:space="preserve">-$86,891</w:t>
            </w:r>
          </w:p>
        </w:tc>
      </w:tr>
      <w:tr>
        <w:tc>
          <w:tcPr/>
          <w:p>
            <w:pPr>
              <w:pStyle w:val="Compact"/>
            </w:pPr>
            <w:r>
              <w:t xml:space="preserve">Fear</w:t>
            </w:r>
          </w:p>
        </w:tc>
        <w:tc>
          <w:tcPr/>
          <w:p>
            <w:pPr>
              <w:pStyle w:val="Compact"/>
            </w:pPr>
            <w:r>
              <w:t xml:space="preserve">61,837</w:t>
            </w:r>
          </w:p>
        </w:tc>
        <w:tc>
          <w:tcPr/>
          <w:p>
            <w:pPr>
              <w:pStyle w:val="Compact"/>
            </w:pPr>
            <w:r>
              <w:t xml:space="preserve">$54.29</w:t>
            </w:r>
          </w:p>
        </w:tc>
        <w:tc>
          <w:tcPr/>
          <w:p>
            <w:pPr>
              <w:pStyle w:val="Compact"/>
            </w:pPr>
            <w:r>
              <w:t xml:space="preserve">87.3 %</w:t>
            </w:r>
          </w:p>
        </w:tc>
        <w:tc>
          <w:tcPr/>
          <w:p>
            <w:pPr>
              <w:pStyle w:val="Compact"/>
            </w:pPr>
            <w:r>
              <w:t xml:space="preserve">6.66</w:t>
            </w:r>
          </w:p>
        </w:tc>
        <w:tc>
          <w:tcPr/>
          <w:p>
            <w:pPr>
              <w:pStyle w:val="Compact"/>
            </w:pPr>
            <w:r>
              <w:t xml:space="preserve">7.30</w:t>
            </w:r>
          </w:p>
        </w:tc>
        <w:tc>
          <w:tcPr/>
          <w:p>
            <w:pPr>
              <w:pStyle w:val="Compact"/>
            </w:pPr>
            <w:r>
              <w:t xml:space="preserve">0.69 %</w:t>
            </w:r>
          </w:p>
        </w:tc>
        <w:tc>
          <w:tcPr/>
          <w:p>
            <w:pPr>
              <w:pStyle w:val="Compact"/>
            </w:pPr>
            <w:r>
              <w:t xml:space="preserve">-$135,686</w:t>
            </w:r>
          </w:p>
        </w:tc>
      </w:tr>
      <w:tr>
        <w:tc>
          <w:tcPr/>
          <w:p>
            <w:pPr>
              <w:pStyle w:val="Compact"/>
            </w:pPr>
            <w:r>
              <w:t xml:space="preserve">Neutral</w:t>
            </w:r>
          </w:p>
        </w:tc>
        <w:tc>
          <w:tcPr/>
          <w:p>
            <w:pPr>
              <w:pStyle w:val="Compact"/>
            </w:pPr>
            <w:r>
              <w:t xml:space="preserve">37,686</w:t>
            </w:r>
          </w:p>
        </w:tc>
        <w:tc>
          <w:tcPr/>
          <w:p>
            <w:pPr>
              <w:pStyle w:val="Compact"/>
            </w:pPr>
            <w:r>
              <w:t xml:space="preserve">$34.31</w:t>
            </w:r>
          </w:p>
        </w:tc>
        <w:tc>
          <w:tcPr/>
          <w:p>
            <w:pPr>
              <w:pStyle w:val="Compact"/>
            </w:pPr>
            <w:r>
              <w:t xml:space="preserve">82.4 %</w:t>
            </w:r>
          </w:p>
        </w:tc>
        <w:tc>
          <w:tcPr/>
          <w:p>
            <w:pPr>
              <w:pStyle w:val="Compact"/>
            </w:pPr>
            <w:r>
              <w:t xml:space="preserve">4.32</w:t>
            </w:r>
          </w:p>
        </w:tc>
        <w:tc>
          <w:tcPr/>
          <w:p>
            <w:pPr>
              <w:pStyle w:val="Compact"/>
            </w:pPr>
            <w:r>
              <w:t xml:space="preserve">9.70</w:t>
            </w:r>
          </w:p>
        </w:tc>
        <w:tc>
          <w:tcPr/>
          <w:p>
            <w:pPr>
              <w:pStyle w:val="Compact"/>
            </w:pPr>
            <w:r>
              <w:t xml:space="preserve">0.72 %</w:t>
            </w:r>
          </w:p>
        </w:tc>
        <w:tc>
          <w:tcPr/>
          <w:p>
            <w:pPr>
              <w:pStyle w:val="Compact"/>
            </w:pPr>
            <w:r>
              <w:t xml:space="preserve">-$10,117</w:t>
            </w:r>
          </w:p>
        </w:tc>
      </w:tr>
      <w:tr>
        <w:tc>
          <w:tcPr/>
          <w:p>
            <w:pPr>
              <w:pStyle w:val="Compact"/>
            </w:pPr>
            <w:r>
              <w:t xml:space="preserve">Greed</w:t>
            </w:r>
          </w:p>
        </w:tc>
        <w:tc>
          <w:tcPr/>
          <w:p>
            <w:pPr>
              <w:pStyle w:val="Compact"/>
            </w:pPr>
            <w:r>
              <w:t xml:space="preserve">50,303</w:t>
            </w:r>
          </w:p>
        </w:tc>
        <w:tc>
          <w:tcPr/>
          <w:p>
            <w:pPr>
              <w:pStyle w:val="Compact"/>
            </w:pPr>
            <w:r>
              <w:t xml:space="preserve">$42.74</w:t>
            </w:r>
          </w:p>
        </w:tc>
        <w:tc>
          <w:tcPr/>
          <w:p>
            <w:pPr>
              <w:pStyle w:val="Compact"/>
            </w:pPr>
            <w:r>
              <w:t xml:space="preserve">76.9 %</w:t>
            </w:r>
          </w:p>
        </w:tc>
        <w:tc>
          <w:tcPr/>
          <w:p>
            <w:pPr>
              <w:pStyle w:val="Compact"/>
            </w:pPr>
            <w:r>
              <w:t xml:space="preserve">3.03</w:t>
            </w:r>
          </w:p>
        </w:tc>
        <w:tc>
          <w:tcPr/>
          <w:p>
            <w:pPr>
              <w:pStyle w:val="Compact"/>
            </w:pPr>
            <w:r>
              <w:t xml:space="preserve">3.41</w:t>
            </w:r>
          </w:p>
        </w:tc>
        <w:tc>
          <w:tcPr/>
          <w:p>
            <w:pPr>
              <w:pStyle w:val="Compact"/>
            </w:pPr>
            <w:r>
              <w:t xml:space="preserve">0.75 %</w:t>
            </w:r>
          </w:p>
        </w:tc>
        <w:tc>
          <w:tcPr/>
          <w:p>
            <w:pPr>
              <w:pStyle w:val="Compact"/>
            </w:pPr>
            <w:r>
              <w:t xml:space="preserve">-$419,020</w:t>
            </w:r>
          </w:p>
        </w:tc>
      </w:tr>
      <w:tr>
        <w:tc>
          <w:tcPr/>
          <w:p>
            <w:pPr>
              <w:pStyle w:val="Compact"/>
            </w:pPr>
            <w:r>
              <w:t xml:space="preserve">Extreme Greed</w:t>
            </w:r>
          </w:p>
        </w:tc>
        <w:tc>
          <w:tcPr/>
          <w:p>
            <w:pPr>
              <w:pStyle w:val="Compact"/>
            </w:pPr>
            <w:r>
              <w:t xml:space="preserve">39,992</w:t>
            </w:r>
          </w:p>
        </w:tc>
        <w:tc>
          <w:tcPr/>
          <w:p>
            <w:pPr>
              <w:pStyle w:val="Compact"/>
            </w:pPr>
            <w:r>
              <w:t xml:space="preserve">$67.89</w:t>
            </w:r>
          </w:p>
        </w:tc>
        <w:tc>
          <w:tcPr/>
          <w:p>
            <w:pPr>
              <w:pStyle w:val="Compact"/>
            </w:pPr>
            <w:r>
              <w:t xml:space="preserve">89.2 %</w:t>
            </w:r>
          </w:p>
        </w:tc>
        <w:tc>
          <w:tcPr/>
          <w:p>
            <w:pPr>
              <w:pStyle w:val="Compact"/>
            </w:pPr>
            <w:r>
              <w:t xml:space="preserve">11.02</w:t>
            </w:r>
          </w:p>
        </w:tc>
        <w:tc>
          <w:tcPr/>
          <w:p>
            <w:pPr>
              <w:pStyle w:val="Compact"/>
            </w:pPr>
            <w:r>
              <w:t xml:space="preserve">6.25</w:t>
            </w:r>
          </w:p>
        </w:tc>
        <w:tc>
          <w:tcPr/>
          <w:p>
            <w:pPr>
              <w:pStyle w:val="Compact"/>
            </w:pPr>
            <w:r>
              <w:t xml:space="preserve">2.18 %</w:t>
            </w:r>
          </w:p>
        </w:tc>
        <w:tc>
          <w:tcPr/>
          <w:p>
            <w:pPr>
              <w:pStyle w:val="Compact"/>
            </w:pPr>
            <w:r>
              <w:t xml:space="preserve">-$137,370</w:t>
            </w:r>
          </w:p>
        </w:tc>
      </w:tr>
    </w:tbl>
    <w:p>
      <w:pPr>
        <w:pStyle w:val="BodyText"/>
      </w:pPr>
      <w:r>
        <w:t xml:space="preserve">Sharpe is computed on daily PnL of each regime, annualised with sqrt(365). ROI is total PnL divided by total notional inside the regime. Numbers reconcile exactly with</w:t>
      </w:r>
      <w:r>
        <w:t xml:space="preserve"> </w:t>
      </w:r>
      <w:r>
        <w:rPr>
          <w:rStyle w:val="VerbatimChar"/>
        </w:rPr>
        <w:t xml:space="preserve">outputs/tables/metrics_by_regime.csv</w:t>
      </w:r>
      <w:r>
        <w:t xml:space="preserve">.</w:t>
      </w:r>
    </w:p>
    <w:p>
      <w:pPr>
        <w:pStyle w:val="CaptionedFigure"/>
      </w:pPr>
      <w:r>
        <w:drawing>
          <wp:inline>
            <wp:extent cx="5334000" cy="1905000"/>
            <wp:effectExtent b="0" l="0" r="0" t="0"/>
            <wp:docPr descr="Cumulative PnL by regime" title="" id="19" name="Picture"/>
            <a:graphic>
              <a:graphicData uri="http://schemas.openxmlformats.org/drawingml/2006/picture">
                <pic:pic>
                  <pic:nvPicPr>
                    <pic:cNvPr descr="cumulative_pnl_by_regime.png" id="20" name="Picture"/>
                    <pic:cNvPicPr>
                      <a:picLocks noChangeArrowheads="1" noChangeAspect="1"/>
                    </pic:cNvPicPr>
                  </pic:nvPicPr>
                  <pic:blipFill>
                    <a:blip r:embed="rId18"/>
                    <a:stretch>
                      <a:fillRect/>
                    </a:stretch>
                  </pic:blipFill>
                  <pic:spPr bwMode="auto">
                    <a:xfrm>
                      <a:off x="0" y="0"/>
                      <a:ext cx="5334000" cy="1905000"/>
                    </a:xfrm>
                    <a:prstGeom prst="rect">
                      <a:avLst/>
                    </a:prstGeom>
                    <a:noFill/>
                    <a:ln w="9525">
                      <a:noFill/>
                      <a:headEnd/>
                      <a:tailEnd/>
                    </a:ln>
                  </pic:spPr>
                </pic:pic>
              </a:graphicData>
            </a:graphic>
          </wp:inline>
        </w:drawing>
      </w:r>
    </w:p>
    <w:p>
      <w:pPr>
        <w:pStyle w:val="ImageCaption"/>
      </w:pPr>
      <w:r>
        <w:t xml:space="preserve">Cumulative PnL by regime</w:t>
      </w:r>
    </w:p>
    <w:bookmarkEnd w:id="21"/>
    <w:bookmarkStart w:id="22" w:name="new-trader-cohorts-kmeans-clustering"/>
    <w:p>
      <w:pPr>
        <w:pStyle w:val="Heading2"/>
      </w:pPr>
      <w:r>
        <w:t xml:space="preserve">4. New: trader cohorts (KMeans clustering)</w:t>
      </w:r>
    </w:p>
    <w:p>
      <w:pPr>
        <w:pStyle w:val="FirstParagraph"/>
      </w:pPr>
      <w:r>
        <w:t xml:space="preserve">Filtered to the 32 traders with at least 200 lifetime trades. KMeans on a 13-feature vector (overall win rate, mean PnL, profit factor, mean notional, trade frequency, long share, and per-regime win-rate columns). k chosen by silhouette score, peaked at</w:t>
      </w:r>
      <w:r>
        <w:t xml:space="preserve"> </w:t>
      </w:r>
      <w:r>
        <w:rPr>
          <w:b/>
          <w:bCs/>
        </w:rPr>
        <w:t xml:space="preserve">k = 7</w:t>
      </w:r>
      <w:r>
        <w:t xml:space="preserve"> </w:t>
      </w:r>
      <w:r>
        <w:t xml:space="preserve">(silhouette 0.11).</w:t>
      </w:r>
    </w:p>
    <w:tbl>
      <w:tblPr>
        <w:tblStyle w:val="Table"/>
        <w:tblW w:type="pct" w:w="5000"/>
        <w:tblLayout w:type="fixed"/>
        <w:tblLook w:firstRow="1" w:lastRow="0" w:firstColumn="0" w:lastColumn="0" w:noHBand="0" w:noVBand="0" w:val="0020"/>
      </w:tblPr>
      <w:tblGrid>
        <w:gridCol w:w="406"/>
        <w:gridCol w:w="135"/>
        <w:gridCol w:w="1353"/>
        <w:gridCol w:w="541"/>
        <w:gridCol w:w="541"/>
        <w:gridCol w:w="880"/>
        <w:gridCol w:w="676"/>
        <w:gridCol w:w="1083"/>
        <w:gridCol w:w="880"/>
        <w:gridCol w:w="1421"/>
      </w:tblGrid>
      <w:tr>
        <w:trPr>
          <w:tblHeader w:val="on"/>
        </w:trPr>
        <w:tc>
          <w:tcPr/>
          <w:p>
            <w:pPr>
              <w:pStyle w:val="Compact"/>
            </w:pPr>
            <w:r>
              <w:t xml:space="preserve">Cohort</w:t>
            </w:r>
          </w:p>
        </w:tc>
        <w:tc>
          <w:tcPr/>
          <w:p>
            <w:pPr>
              <w:pStyle w:val="Compact"/>
            </w:pPr>
            <w:r>
              <w:t xml:space="preserve">n</w:t>
            </w:r>
          </w:p>
        </w:tc>
        <w:tc>
          <w:tcPr/>
          <w:p>
            <w:pPr>
              <w:pStyle w:val="Compact"/>
            </w:pPr>
            <w:r>
              <w:t xml:space="preserve">Trades / acct (mean)</w:t>
            </w:r>
          </w:p>
        </w:tc>
        <w:tc>
          <w:tcPr/>
          <w:p>
            <w:pPr>
              <w:pStyle w:val="Compact"/>
            </w:pPr>
            <w:r>
              <w:t xml:space="preserve">Mean PnL</w:t>
            </w:r>
          </w:p>
        </w:tc>
        <w:tc>
          <w:tcPr/>
          <w:p>
            <w:pPr>
              <w:pStyle w:val="Compact"/>
            </w:pPr>
            <w:r>
              <w:t xml:space="preserve">Win rate</w:t>
            </w:r>
          </w:p>
        </w:tc>
        <w:tc>
          <w:tcPr/>
          <w:p>
            <w:pPr>
              <w:pStyle w:val="Compact"/>
            </w:pPr>
            <w:r>
              <w:t xml:space="preserve">Mean notional</w:t>
            </w:r>
          </w:p>
        </w:tc>
        <w:tc>
          <w:tcPr/>
          <w:p>
            <w:pPr>
              <w:pStyle w:val="Compact"/>
            </w:pPr>
            <w:r>
              <w:t xml:space="preserve">Long share</w:t>
            </w:r>
          </w:p>
        </w:tc>
        <w:tc>
          <w:tcPr/>
          <w:p>
            <w:pPr>
              <w:pStyle w:val="Compact"/>
            </w:pPr>
            <w:r>
              <w:t xml:space="preserve">Trade freq / day</w:t>
            </w:r>
          </w:p>
        </w:tc>
        <w:tc>
          <w:tcPr/>
          <w:p>
            <w:pPr>
              <w:pStyle w:val="Compact"/>
            </w:pPr>
            <w:r>
              <w:t xml:space="preserve">Profit factor</w:t>
            </w:r>
          </w:p>
        </w:tc>
        <w:tc>
          <w:tcPr/>
          <w:p>
            <w:pPr>
              <w:pStyle w:val="Compact"/>
            </w:pPr>
            <w:r>
              <w:t xml:space="preserve">Best regime</w:t>
            </w:r>
          </w:p>
        </w:tc>
      </w:tr>
      <w:tr>
        <w:tc>
          <w:tcPr/>
          <w:p>
            <w:pPr>
              <w:pStyle w:val="Compact"/>
            </w:pPr>
            <w:r>
              <w:t xml:space="preserve">0</w:t>
            </w:r>
          </w:p>
        </w:tc>
        <w:tc>
          <w:tcPr/>
          <w:p>
            <w:pPr>
              <w:pStyle w:val="Compact"/>
            </w:pPr>
            <w:r>
              <w:t xml:space="preserve">2</w:t>
            </w:r>
          </w:p>
        </w:tc>
        <w:tc>
          <w:tcPr/>
          <w:p>
            <w:pPr>
              <w:pStyle w:val="Compact"/>
            </w:pPr>
            <w:r>
              <w:t xml:space="preserve">2,321</w:t>
            </w:r>
          </w:p>
        </w:tc>
        <w:tc>
          <w:tcPr/>
          <w:p>
            <w:pPr>
              <w:pStyle w:val="Compact"/>
            </w:pPr>
            <w:r>
              <w:t xml:space="preserve">$155.76</w:t>
            </w:r>
          </w:p>
        </w:tc>
        <w:tc>
          <w:tcPr/>
          <w:p>
            <w:pPr>
              <w:pStyle w:val="Compact"/>
            </w:pPr>
            <w:r>
              <w:t xml:space="preserve">0.32</w:t>
            </w:r>
          </w:p>
        </w:tc>
        <w:tc>
          <w:tcPr/>
          <w:p>
            <w:pPr>
              <w:pStyle w:val="Compact"/>
            </w:pPr>
            <w:r>
              <w:t xml:space="preserve">$5,409</w:t>
            </w:r>
          </w:p>
        </w:tc>
        <w:tc>
          <w:tcPr/>
          <w:p>
            <w:pPr>
              <w:pStyle w:val="Compact"/>
            </w:pPr>
            <w:r>
              <w:t xml:space="preserve">0.53</w:t>
            </w:r>
          </w:p>
        </w:tc>
        <w:tc>
          <w:tcPr/>
          <w:p>
            <w:pPr>
              <w:pStyle w:val="Compact"/>
            </w:pPr>
            <w:r>
              <w:t xml:space="preserve">126.6</w:t>
            </w:r>
          </w:p>
        </w:tc>
        <w:tc>
          <w:tcPr/>
          <w:p>
            <w:pPr>
              <w:pStyle w:val="Compact"/>
            </w:pPr>
            <w:r>
              <w:t xml:space="preserve">53.7</w:t>
            </w:r>
          </w:p>
        </w:tc>
        <w:tc>
          <w:tcPr/>
          <w:p>
            <w:pPr>
              <w:pStyle w:val="Compact"/>
            </w:pPr>
            <w:r>
              <w:t xml:space="preserve">Extreme Fear (1.00)</w:t>
            </w:r>
          </w:p>
        </w:tc>
      </w:tr>
      <w:tr>
        <w:tc>
          <w:tcPr/>
          <w:p>
            <w:pPr>
              <w:pStyle w:val="Compact"/>
            </w:pPr>
            <w:r>
              <w:t xml:space="preserve">1</w:t>
            </w:r>
          </w:p>
        </w:tc>
        <w:tc>
          <w:tcPr/>
          <w:p>
            <w:pPr>
              <w:pStyle w:val="Compact"/>
            </w:pPr>
            <w:r>
              <w:t xml:space="preserve">7</w:t>
            </w:r>
          </w:p>
        </w:tc>
        <w:tc>
          <w:tcPr/>
          <w:p>
            <w:pPr>
              <w:pStyle w:val="Compact"/>
            </w:pPr>
            <w:r>
              <w:t xml:space="preserve">2,422</w:t>
            </w:r>
          </w:p>
        </w:tc>
        <w:tc>
          <w:tcPr/>
          <w:p>
            <w:pPr>
              <w:pStyle w:val="Compact"/>
            </w:pPr>
            <w:r>
              <w:t xml:space="preserve">$87.19</w:t>
            </w:r>
          </w:p>
        </w:tc>
        <w:tc>
          <w:tcPr/>
          <w:p>
            <w:pPr>
              <w:pStyle w:val="Compact"/>
            </w:pPr>
            <w:r>
              <w:t xml:space="preserve">0.40</w:t>
            </w:r>
          </w:p>
        </w:tc>
        <w:tc>
          <w:tcPr/>
          <w:p>
            <w:pPr>
              <w:pStyle w:val="Compact"/>
            </w:pPr>
            <w:r>
              <w:t xml:space="preserve">$3,901</w:t>
            </w:r>
          </w:p>
        </w:tc>
        <w:tc>
          <w:tcPr/>
          <w:p>
            <w:pPr>
              <w:pStyle w:val="Compact"/>
            </w:pPr>
            <w:r>
              <w:t xml:space="preserve">0.42</w:t>
            </w:r>
          </w:p>
        </w:tc>
        <w:tc>
          <w:tcPr/>
          <w:p>
            <w:pPr>
              <w:pStyle w:val="Compact"/>
            </w:pPr>
            <w:r>
              <w:t xml:space="preserve">83.8</w:t>
            </w:r>
          </w:p>
        </w:tc>
        <w:tc>
          <w:tcPr/>
          <w:p>
            <w:pPr>
              <w:pStyle w:val="Compact"/>
            </w:pPr>
            <w:r>
              <w:t xml:space="preserve">2.9</w:t>
            </w:r>
          </w:p>
        </w:tc>
        <w:tc>
          <w:tcPr/>
          <w:p>
            <w:pPr>
              <w:pStyle w:val="Compact"/>
            </w:pPr>
            <w:r>
              <w:t xml:space="preserve">Extreme Greed (0.92)</w:t>
            </w:r>
          </w:p>
        </w:tc>
      </w:tr>
      <w:tr>
        <w:tc>
          <w:tcPr/>
          <w:p>
            <w:pPr>
              <w:pStyle w:val="Compact"/>
            </w:pPr>
            <w:r>
              <w:t xml:space="preserve">2</w:t>
            </w:r>
          </w:p>
        </w:tc>
        <w:tc>
          <w:tcPr/>
          <w:p>
            <w:pPr>
              <w:pStyle w:val="Compact"/>
            </w:pPr>
            <w:r>
              <w:t xml:space="preserve">3</w:t>
            </w:r>
          </w:p>
        </w:tc>
        <w:tc>
          <w:tcPr/>
          <w:p>
            <w:pPr>
              <w:pStyle w:val="Compact"/>
            </w:pPr>
            <w:r>
              <w:t xml:space="preserve">6,964</w:t>
            </w:r>
          </w:p>
        </w:tc>
        <w:tc>
          <w:tcPr/>
          <w:p>
            <w:pPr>
              <w:pStyle w:val="Compact"/>
            </w:pPr>
            <w:r>
              <w:t xml:space="preserve">$164.15</w:t>
            </w:r>
          </w:p>
        </w:tc>
        <w:tc>
          <w:tcPr/>
          <w:p>
            <w:pPr>
              <w:pStyle w:val="Compact"/>
            </w:pPr>
            <w:r>
              <w:t xml:space="preserve">0.40</w:t>
            </w:r>
          </w:p>
        </w:tc>
        <w:tc>
          <w:tcPr/>
          <w:p>
            <w:pPr>
              <w:pStyle w:val="Compact"/>
            </w:pPr>
            <w:r>
              <w:t xml:space="preserve">$24,353</w:t>
            </w:r>
          </w:p>
        </w:tc>
        <w:tc>
          <w:tcPr/>
          <w:p>
            <w:pPr>
              <w:pStyle w:val="Compact"/>
            </w:pPr>
            <w:r>
              <w:t xml:space="preserve">0.49</w:t>
            </w:r>
          </w:p>
        </w:tc>
        <w:tc>
          <w:tcPr/>
          <w:p>
            <w:pPr>
              <w:pStyle w:val="Compact"/>
            </w:pPr>
            <w:r>
              <w:t xml:space="preserve">203.7</w:t>
            </w:r>
          </w:p>
        </w:tc>
        <w:tc>
          <w:tcPr/>
          <w:p>
            <w:pPr>
              <w:pStyle w:val="Compact"/>
            </w:pPr>
            <w:r>
              <w:t xml:space="preserve">4.0</w:t>
            </w:r>
          </w:p>
        </w:tc>
        <w:tc>
          <w:tcPr/>
          <w:p>
            <w:pPr>
              <w:pStyle w:val="Compact"/>
            </w:pPr>
            <w:r>
              <w:t xml:space="preserve">Fear (0.89)</w:t>
            </w:r>
          </w:p>
        </w:tc>
      </w:tr>
      <w:tr>
        <w:tc>
          <w:tcPr/>
          <w:p>
            <w:pPr>
              <w:pStyle w:val="Compact"/>
            </w:pPr>
            <w:r>
              <w:t xml:space="preserve">3</w:t>
            </w:r>
          </w:p>
        </w:tc>
        <w:tc>
          <w:tcPr/>
          <w:p>
            <w:pPr>
              <w:pStyle w:val="Compact"/>
            </w:pPr>
            <w:r>
              <w:t xml:space="preserve">1</w:t>
            </w:r>
          </w:p>
        </w:tc>
        <w:tc>
          <w:tcPr/>
          <w:p>
            <w:pPr>
              <w:pStyle w:val="Compact"/>
            </w:pPr>
            <w:r>
              <w:t xml:space="preserve">21,192</w:t>
            </w:r>
          </w:p>
        </w:tc>
        <w:tc>
          <w:tcPr/>
          <w:p>
            <w:pPr>
              <w:pStyle w:val="Compact"/>
            </w:pPr>
            <w:r>
              <w:t xml:space="preserve">$44.36</w:t>
            </w:r>
          </w:p>
        </w:tc>
        <w:tc>
          <w:tcPr/>
          <w:p>
            <w:pPr>
              <w:pStyle w:val="Compact"/>
            </w:pPr>
            <w:r>
              <w:t xml:space="preserve">0.47</w:t>
            </w:r>
          </w:p>
        </w:tc>
        <w:tc>
          <w:tcPr/>
          <w:p>
            <w:pPr>
              <w:pStyle w:val="Compact"/>
            </w:pPr>
            <w:r>
              <w:t xml:space="preserve">$3,210</w:t>
            </w:r>
          </w:p>
        </w:tc>
        <w:tc>
          <w:tcPr/>
          <w:p>
            <w:pPr>
              <w:pStyle w:val="Compact"/>
            </w:pPr>
            <w:r>
              <w:t xml:space="preserve">0.53</w:t>
            </w:r>
          </w:p>
        </w:tc>
        <w:tc>
          <w:tcPr/>
          <w:p>
            <w:pPr>
              <w:pStyle w:val="Compact"/>
            </w:pPr>
            <w:r>
              <w:t xml:space="preserve">756.9</w:t>
            </w:r>
          </w:p>
        </w:tc>
        <w:tc>
          <w:tcPr/>
          <w:p>
            <w:pPr>
              <w:pStyle w:val="Compact"/>
            </w:pPr>
            <w:r>
              <w:t xml:space="preserve">100.0</w:t>
            </w:r>
          </w:p>
        </w:tc>
        <w:tc>
          <w:tcPr/>
          <w:p>
            <w:pPr>
              <w:pStyle w:val="Compact"/>
            </w:pPr>
            <w:r>
              <w:t xml:space="preserve">Fear / Neutral (1.00)</w:t>
            </w:r>
          </w:p>
        </w:tc>
      </w:tr>
      <w:tr>
        <w:tc>
          <w:tcPr/>
          <w:p>
            <w:pPr>
              <w:pStyle w:val="Compact"/>
            </w:pPr>
            <w:r>
              <w:t xml:space="preserve">4</w:t>
            </w:r>
          </w:p>
        </w:tc>
        <w:tc>
          <w:tcPr/>
          <w:p>
            <w:pPr>
              <w:pStyle w:val="Compact"/>
            </w:pPr>
            <w:r>
              <w:t xml:space="preserve">6</w:t>
            </w:r>
          </w:p>
        </w:tc>
        <w:tc>
          <w:tcPr/>
          <w:p>
            <w:pPr>
              <w:pStyle w:val="Compact"/>
            </w:pPr>
            <w:r>
              <w:t xml:space="preserve">3,392</w:t>
            </w:r>
          </w:p>
        </w:tc>
        <w:tc>
          <w:tcPr/>
          <w:p>
            <w:pPr>
              <w:pStyle w:val="Compact"/>
            </w:pPr>
            <w:r>
              <w:t xml:space="preserve">$88.03</w:t>
            </w:r>
          </w:p>
        </w:tc>
        <w:tc>
          <w:tcPr/>
          <w:p>
            <w:pPr>
              <w:pStyle w:val="Compact"/>
            </w:pPr>
            <w:r>
              <w:t xml:space="preserve">0.53</w:t>
            </w:r>
          </w:p>
        </w:tc>
        <w:tc>
          <w:tcPr/>
          <w:p>
            <w:pPr>
              <w:pStyle w:val="Compact"/>
            </w:pPr>
            <w:r>
              <w:t xml:space="preserve">$3,794</w:t>
            </w:r>
          </w:p>
        </w:tc>
        <w:tc>
          <w:tcPr/>
          <w:p>
            <w:pPr>
              <w:pStyle w:val="Compact"/>
            </w:pPr>
            <w:r>
              <w:t xml:space="preserve">0.45</w:t>
            </w:r>
          </w:p>
        </w:tc>
        <w:tc>
          <w:tcPr/>
          <w:p>
            <w:pPr>
              <w:pStyle w:val="Compact"/>
            </w:pPr>
            <w:r>
              <w:t xml:space="preserve">47.1</w:t>
            </w:r>
          </w:p>
        </w:tc>
        <w:tc>
          <w:tcPr/>
          <w:p>
            <w:pPr>
              <w:pStyle w:val="Compact"/>
            </w:pPr>
            <w:r>
              <w:t xml:space="preserve">30.6</w:t>
            </w:r>
          </w:p>
        </w:tc>
        <w:tc>
          <w:tcPr/>
          <w:p>
            <w:pPr>
              <w:pStyle w:val="Compact"/>
            </w:pPr>
            <w:r>
              <w:t xml:space="preserve">Neutral / Greed (0.95)</w:t>
            </w:r>
          </w:p>
        </w:tc>
      </w:tr>
      <w:tr>
        <w:tc>
          <w:tcPr/>
          <w:p>
            <w:pPr>
              <w:pStyle w:val="Compact"/>
            </w:pPr>
            <w:r>
              <w:t xml:space="preserve">5</w:t>
            </w:r>
          </w:p>
        </w:tc>
        <w:tc>
          <w:tcPr/>
          <w:p>
            <w:pPr>
              <w:pStyle w:val="Compact"/>
            </w:pPr>
            <w:r>
              <w:t xml:space="preserve">11</w:t>
            </w:r>
          </w:p>
        </w:tc>
        <w:tc>
          <w:tcPr/>
          <w:p>
            <w:pPr>
              <w:pStyle w:val="Compact"/>
            </w:pPr>
            <w:r>
              <w:t xml:space="preserve">11,415</w:t>
            </w:r>
          </w:p>
        </w:tc>
        <w:tc>
          <w:tcPr/>
          <w:p>
            <w:pPr>
              <w:pStyle w:val="Compact"/>
            </w:pPr>
            <w:r>
              <w:t xml:space="preserve">$25.59</w:t>
            </w:r>
          </w:p>
        </w:tc>
        <w:tc>
          <w:tcPr/>
          <w:p>
            <w:pPr>
              <w:pStyle w:val="Compact"/>
            </w:pPr>
            <w:r>
              <w:t xml:space="preserve">0.35</w:t>
            </w:r>
          </w:p>
        </w:tc>
        <w:tc>
          <w:tcPr/>
          <w:p>
            <w:pPr>
              <w:pStyle w:val="Compact"/>
            </w:pPr>
            <w:r>
              <w:t xml:space="preserve">$4,319</w:t>
            </w:r>
          </w:p>
        </w:tc>
        <w:tc>
          <w:tcPr/>
          <w:p>
            <w:pPr>
              <w:pStyle w:val="Compact"/>
            </w:pPr>
            <w:r>
              <w:t xml:space="preserve">0.51</w:t>
            </w:r>
          </w:p>
        </w:tc>
        <w:tc>
          <w:tcPr/>
          <w:p>
            <w:pPr>
              <w:pStyle w:val="Compact"/>
            </w:pPr>
            <w:r>
              <w:t xml:space="preserve">95.4</w:t>
            </w:r>
          </w:p>
        </w:tc>
        <w:tc>
          <w:tcPr/>
          <w:p>
            <w:pPr>
              <w:pStyle w:val="Compact"/>
            </w:pPr>
            <w:r>
              <w:t xml:space="preserve">7.7</w:t>
            </w:r>
          </w:p>
        </w:tc>
        <w:tc>
          <w:tcPr/>
          <w:p>
            <w:pPr>
              <w:pStyle w:val="Compact"/>
            </w:pPr>
            <w:r>
              <w:t xml:space="preserve">Fear / Neutral (~0.88)</w:t>
            </w:r>
          </w:p>
        </w:tc>
      </w:tr>
      <w:tr>
        <w:tc>
          <w:tcPr/>
          <w:p>
            <w:pPr>
              <w:pStyle w:val="Compact"/>
            </w:pPr>
            <w:r>
              <w:t xml:space="preserve">6</w:t>
            </w:r>
          </w:p>
        </w:tc>
        <w:tc>
          <w:tcPr/>
          <w:p>
            <w:pPr>
              <w:pStyle w:val="Compact"/>
            </w:pPr>
            <w:r>
              <w:t xml:space="preserve">2</w:t>
            </w:r>
          </w:p>
        </w:tc>
        <w:tc>
          <w:tcPr/>
          <w:p>
            <w:pPr>
              <w:pStyle w:val="Compact"/>
            </w:pPr>
            <w:r>
              <w:t xml:space="preserve">810</w:t>
            </w:r>
          </w:p>
        </w:tc>
        <w:tc>
          <w:tcPr/>
          <w:p>
            <w:pPr>
              <w:pStyle w:val="Compact"/>
            </w:pPr>
            <w:r>
              <w:t xml:space="preserve">$428.82</w:t>
            </w:r>
          </w:p>
        </w:tc>
        <w:tc>
          <w:tcPr/>
          <w:p>
            <w:pPr>
              <w:pStyle w:val="Compact"/>
            </w:pPr>
            <w:r>
              <w:t xml:space="preserve">0.36</w:t>
            </w:r>
          </w:p>
        </w:tc>
        <w:tc>
          <w:tcPr/>
          <w:p>
            <w:pPr>
              <w:pStyle w:val="Compact"/>
            </w:pPr>
            <w:r>
              <w:t xml:space="preserve">$3,794</w:t>
            </w:r>
          </w:p>
        </w:tc>
        <w:tc>
          <w:tcPr/>
          <w:p>
            <w:pPr>
              <w:pStyle w:val="Compact"/>
            </w:pPr>
            <w:r>
              <w:t xml:space="preserve">0.25</w:t>
            </w:r>
          </w:p>
        </w:tc>
        <w:tc>
          <w:tcPr/>
          <w:p>
            <w:pPr>
              <w:pStyle w:val="Compact"/>
            </w:pPr>
            <w:r>
              <w:t xml:space="preserve">31.7</w:t>
            </w:r>
          </w:p>
        </w:tc>
        <w:tc>
          <w:tcPr/>
          <w:p>
            <w:pPr>
              <w:pStyle w:val="Compact"/>
            </w:pPr>
            <w:r>
              <w:t xml:space="preserve">0.0</w:t>
            </w:r>
          </w:p>
        </w:tc>
        <w:tc>
          <w:tcPr/>
          <w:p>
            <w:pPr>
              <w:pStyle w:val="Compact"/>
            </w:pPr>
            <w:r>
              <w:t xml:space="preserve">Greed / Ex Greed (1.00)</w:t>
            </w:r>
          </w:p>
        </w:tc>
      </w:tr>
    </w:tbl>
    <w:p>
      <w:pPr>
        <w:pStyle w:val="BodyText"/>
      </w:pPr>
      <w:r>
        <w:t xml:space="preserve">Two cohorts to flag:</w:t>
      </w:r>
      <w:r>
        <w:t xml:space="preserve"> </w:t>
      </w:r>
      <w:r>
        <w:rPr>
          <w:b/>
          <w:bCs/>
        </w:rPr>
        <w:t xml:space="preserve">cohort 4</w:t>
      </w:r>
      <w:r>
        <w:t xml:space="preserve"> </w:t>
      </w:r>
      <w:r>
        <w:t xml:space="preserve">is the consistent-winner group (53 percent win rate, profit factor 30, all five regime win-rates above 0.88), and</w:t>
      </w:r>
      <w:r>
        <w:t xml:space="preserve"> </w:t>
      </w:r>
      <w:r>
        <w:rPr>
          <w:b/>
          <w:bCs/>
        </w:rPr>
        <w:t xml:space="preserve">cohort 6</w:t>
      </w:r>
      <w:r>
        <w:t xml:space="preserve"> </w:t>
      </w:r>
      <w:r>
        <w:t xml:space="preserve">is the high-conviction short-biased group (long share 0.25, mean PnL $428 per trade but win rate only 0.36, so they take few trades but size them right when they do).</w:t>
      </w:r>
    </w:p>
    <w:p>
      <w:pPr>
        <w:pStyle w:val="BodyText"/>
      </w:pPr>
      <w:r>
        <w:t xml:space="preserve">Persisted at</w:t>
      </w:r>
      <w:r>
        <w:t xml:space="preserve"> </w:t>
      </w:r>
      <w:r>
        <w:rPr>
          <w:rStyle w:val="VerbatimChar"/>
        </w:rPr>
        <w:t xml:space="preserve">models/cohort_kmeans.pkl</w:t>
      </w:r>
      <w:r>
        <w:t xml:space="preserve">. Per-trader cohort labels are in</w:t>
      </w:r>
      <w:r>
        <w:t xml:space="preserve"> </w:t>
      </w:r>
      <w:r>
        <w:rPr>
          <w:rStyle w:val="VerbatimChar"/>
        </w:rPr>
        <w:t xml:space="preserve">models/cohort_labels.csv</w:t>
      </w:r>
      <w:r>
        <w:t xml:space="preserve">.</w:t>
      </w:r>
    </w:p>
    <w:bookmarkEnd w:id="22"/>
    <w:bookmarkStart w:id="29" w:name="X08b9f17fcd00771ac1844d5c666b596e08fd527"/>
    <w:p>
      <w:pPr>
        <w:pStyle w:val="Heading2"/>
      </w:pPr>
      <w:r>
        <w:t xml:space="preserve">5. New: per-trade win-probability classifier (XGBoost)</w:t>
      </w:r>
    </w:p>
    <w:p>
      <w:pPr>
        <w:pStyle w:val="FirstParagraph"/>
      </w:pPr>
      <w:r>
        <w:t xml:space="preserve">Trained to predict</w:t>
      </w:r>
      <w:r>
        <w:t xml:space="preserve"> </w:t>
      </w:r>
      <w:r>
        <w:rPr>
          <w:rStyle w:val="VerbatimChar"/>
        </w:rPr>
        <w:t xml:space="preserve">is_win = closed_pnl &gt; 0</w:t>
      </w:r>
      <w:r>
        <w:t xml:space="preserve"> </w:t>
      </w:r>
      <w:r>
        <w:t xml:space="preserve">on the 104,402 close events that have a regime label. Features: regime one-hot (5), side one-hot, log notional, hour-of-day (sin and cos), trader cohort one-hot, and the trader’s running win rate computed strictly from earlier trades (no leakage). Time-based 80/20 split: train on 83,521 trades from the earlier portion, test on the most recent 20,881.</w:t>
      </w:r>
    </w:p>
    <w:p>
      <w:pPr>
        <w:pStyle w:val="BodyText"/>
      </w:pPr>
      <w:r>
        <w:t xml:space="preserve">Overall test AUC:</w:t>
      </w:r>
      <w:r>
        <w:t xml:space="preserve"> </w:t>
      </w:r>
      <w:r>
        <w:rPr>
          <w:b/>
          <w:bCs/>
        </w:rPr>
        <w:t xml:space="preserve">0.5786</w:t>
      </w:r>
      <w:r>
        <w:t xml:space="preserve">. The interesting story is the per-regime breakdown: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Slice</w:t>
            </w:r>
          </w:p>
        </w:tc>
        <w:tc>
          <w:tcPr/>
          <w:p>
            <w:pPr>
              <w:pStyle w:val="Compact"/>
            </w:pPr>
            <w:r>
              <w:t xml:space="preserve">n</w:t>
            </w:r>
          </w:p>
        </w:tc>
        <w:tc>
          <w:tcPr/>
          <w:p>
            <w:pPr>
              <w:pStyle w:val="Compact"/>
            </w:pPr>
            <w:r>
              <w:t xml:space="preserve">AUC</w:t>
            </w:r>
          </w:p>
        </w:tc>
      </w:tr>
      <w:tr>
        <w:tc>
          <w:tcPr/>
          <w:p>
            <w:pPr>
              <w:pStyle w:val="Compact"/>
            </w:pPr>
            <w:r>
              <w:t xml:space="preserve">Overall</w:t>
            </w:r>
          </w:p>
        </w:tc>
        <w:tc>
          <w:tcPr/>
          <w:p>
            <w:pPr>
              <w:pStyle w:val="Compact"/>
            </w:pPr>
            <w:r>
              <w:t xml:space="preserve">20,881</w:t>
            </w:r>
          </w:p>
        </w:tc>
        <w:tc>
          <w:tcPr/>
          <w:p>
            <w:pPr>
              <w:pStyle w:val="Compact"/>
            </w:pPr>
            <w:r>
              <w:t xml:space="preserve">0.5786</w:t>
            </w:r>
          </w:p>
        </w:tc>
      </w:tr>
      <w:tr>
        <w:tc>
          <w:tcPr/>
          <w:p>
            <w:pPr>
              <w:pStyle w:val="Compact"/>
            </w:pPr>
            <w:r>
              <w:t xml:space="preserve">regime_Extreme Fear</w:t>
            </w:r>
          </w:p>
        </w:tc>
        <w:tc>
          <w:tcPr/>
          <w:p>
            <w:pPr>
              <w:pStyle w:val="Compact"/>
            </w:pPr>
            <w:r>
              <w:t xml:space="preserve">919</w:t>
            </w:r>
          </w:p>
        </w:tc>
        <w:tc>
          <w:tcPr/>
          <w:p>
            <w:pPr>
              <w:pStyle w:val="Compact"/>
            </w:pPr>
            <w:r>
              <w:t xml:space="preserve">0.8122</w:t>
            </w:r>
          </w:p>
        </w:tc>
      </w:tr>
      <w:tr>
        <w:tc>
          <w:tcPr/>
          <w:p>
            <w:pPr>
              <w:pStyle w:val="Compact"/>
            </w:pPr>
            <w:r>
              <w:t xml:space="preserve">regime_Fear</w:t>
            </w:r>
          </w:p>
        </w:tc>
        <w:tc>
          <w:tcPr/>
          <w:p>
            <w:pPr>
              <w:pStyle w:val="Compact"/>
            </w:pPr>
            <w:r>
              <w:t xml:space="preserve">8,579</w:t>
            </w:r>
          </w:p>
        </w:tc>
        <w:tc>
          <w:tcPr/>
          <w:p>
            <w:pPr>
              <w:pStyle w:val="Compact"/>
            </w:pPr>
            <w:r>
              <w:t xml:space="preserve">0.4575</w:t>
            </w:r>
          </w:p>
        </w:tc>
      </w:tr>
      <w:tr>
        <w:tc>
          <w:tcPr/>
          <w:p>
            <w:pPr>
              <w:pStyle w:val="Compact"/>
            </w:pPr>
            <w:r>
              <w:t xml:space="preserve">regime_Greed</w:t>
            </w:r>
          </w:p>
        </w:tc>
        <w:tc>
          <w:tcPr/>
          <w:p>
            <w:pPr>
              <w:pStyle w:val="Compact"/>
            </w:pPr>
            <w:r>
              <w:t xml:space="preserve">8,133</w:t>
            </w:r>
          </w:p>
        </w:tc>
        <w:tc>
          <w:tcPr/>
          <w:p>
            <w:pPr>
              <w:pStyle w:val="Compact"/>
            </w:pPr>
            <w:r>
              <w:t xml:space="preserve">0.5432</w:t>
            </w:r>
          </w:p>
        </w:tc>
      </w:tr>
      <w:tr>
        <w:tc>
          <w:tcPr/>
          <w:p>
            <w:pPr>
              <w:pStyle w:val="Compact"/>
            </w:pPr>
            <w:r>
              <w:t xml:space="preserve">regime_Neutral</w:t>
            </w:r>
          </w:p>
        </w:tc>
        <w:tc>
          <w:tcPr/>
          <w:p>
            <w:pPr>
              <w:pStyle w:val="Compact"/>
            </w:pPr>
            <w:r>
              <w:t xml:space="preserve">3,250</w:t>
            </w:r>
          </w:p>
        </w:tc>
        <w:tc>
          <w:tcPr/>
          <w:p>
            <w:pPr>
              <w:pStyle w:val="Compact"/>
            </w:pPr>
            <w:r>
              <w:t xml:space="preserve">0.5624</w:t>
            </w:r>
          </w:p>
        </w:tc>
      </w:tr>
    </w:tbl>
    <w:p>
      <w:pPr>
        <w:pStyle w:val="BodyText"/>
      </w:pPr>
      <w:r>
        <w:t xml:space="preserve">The model has clear predictive power on Extreme Fear days (AUC 0.81). Every other regime sits near chance (AUC 0.46 to 0.56), so the model is essentially worthless outside the extreme zones. That asymmetry is the actionable result: treat the model as an Extreme-Fear-only filter, not a general edge.</w:t>
      </w:r>
    </w:p>
    <w:p>
      <w:pPr>
        <w:pStyle w:val="BodyText"/>
      </w:pPr>
      <w:r>
        <w:t xml:space="preserve">Extreme Greed is missing from the per-regime AUC table because the regime had under 50 close events in the held-out test window, so the per-slice AUC was suppressed to avoid a noisy estimate (see the</w:t>
      </w:r>
      <w:r>
        <w:t xml:space="preserve"> </w:t>
      </w:r>
      <w:r>
        <w:rPr>
          <w:rStyle w:val="VerbatimChar"/>
        </w:rPr>
        <w:t xml:space="preserve">mask.sum() &lt; 50</w:t>
      </w:r>
      <w:r>
        <w:t xml:space="preserve"> </w:t>
      </w:r>
      <w:r>
        <w:t xml:space="preserve">guard in</w:t>
      </w:r>
      <w:r>
        <w:t xml:space="preserve"> </w:t>
      </w:r>
      <w:r>
        <w:rPr>
          <w:rStyle w:val="VerbatimChar"/>
        </w:rPr>
        <w:t xml:space="preserve">evaluate_winprob</w:t>
      </w:r>
      <w:r>
        <w:t xml:space="preserve">).</w:t>
      </w:r>
    </w:p>
    <w:p>
      <w:pPr>
        <w:pStyle w:val="BodyText"/>
      </w:pPr>
      <w:r>
        <w:t xml:space="preserve">Calibration plot and top-10 feature importance are in</w:t>
      </w:r>
      <w:r>
        <w:t xml:space="preserve"> </w:t>
      </w:r>
      <w:r>
        <w:rPr>
          <w:rStyle w:val="VerbatimChar"/>
        </w:rPr>
        <w:t xml:space="preserve">outputs/figures/winprob_calibration.png</w:t>
      </w:r>
      <w:r>
        <w:t xml:space="preserve"> </w:t>
      </w:r>
      <w:r>
        <w:t xml:space="preserve">and</w:t>
      </w:r>
      <w:r>
        <w:t xml:space="preserve"> </w:t>
      </w:r>
      <w:r>
        <w:rPr>
          <w:rStyle w:val="VerbatimChar"/>
        </w:rPr>
        <w:t xml:space="preserve">outputs/figures/winprob_feature_importance.png</w:t>
      </w:r>
      <w:r>
        <w:t xml:space="preserve">. Persisted at</w:t>
      </w:r>
      <w:r>
        <w:t xml:space="preserve"> </w:t>
      </w:r>
      <w:r>
        <w:rPr>
          <w:rStyle w:val="VerbatimChar"/>
        </w:rPr>
        <w:t xml:space="preserve">models/winprob_xgb.pkl</w:t>
      </w:r>
      <w:r>
        <w:t xml:space="preserve">.</w:t>
      </w:r>
    </w:p>
    <w:p>
      <w:pPr>
        <w:pStyle w:val="CaptionedFigure"/>
      </w:pPr>
      <w:r>
        <w:drawing>
          <wp:inline>
            <wp:extent cx="5334000" cy="4572000"/>
            <wp:effectExtent b="0" l="0" r="0" t="0"/>
            <wp:docPr descr="Win-probability calibration on the test slice" title="" id="24" name="Picture"/>
            <a:graphic>
              <a:graphicData uri="http://schemas.openxmlformats.org/drawingml/2006/picture">
                <pic:pic>
                  <pic:nvPicPr>
                    <pic:cNvPr descr="winprob_calibration.png" id="25" name="Picture"/>
                    <pic:cNvPicPr>
                      <a:picLocks noChangeArrowheads="1" noChangeAspect="1"/>
                    </pic:cNvPicPr>
                  </pic:nvPicPr>
                  <pic:blipFill>
                    <a:blip r:embed="rId23"/>
                    <a:stretch>
                      <a:fillRect/>
                    </a:stretch>
                  </pic:blipFill>
                  <pic:spPr bwMode="auto">
                    <a:xfrm>
                      <a:off x="0" y="0"/>
                      <a:ext cx="5334000" cy="4572000"/>
                    </a:xfrm>
                    <a:prstGeom prst="rect">
                      <a:avLst/>
                    </a:prstGeom>
                    <a:noFill/>
                    <a:ln w="9525">
                      <a:noFill/>
                      <a:headEnd/>
                      <a:tailEnd/>
                    </a:ln>
                  </pic:spPr>
                </pic:pic>
              </a:graphicData>
            </a:graphic>
          </wp:inline>
        </w:drawing>
      </w:r>
    </w:p>
    <w:p>
      <w:pPr>
        <w:pStyle w:val="ImageCaption"/>
      </w:pPr>
      <w:r>
        <w:t xml:space="preserve">Win-probability calibration on the test slice</w:t>
      </w:r>
    </w:p>
    <w:p>
      <w:pPr>
        <w:pStyle w:val="CaptionedFigure"/>
      </w:pPr>
      <w:r>
        <w:drawing>
          <wp:inline>
            <wp:extent cx="5334000" cy="2667000"/>
            <wp:effectExtent b="0" l="0" r="0" t="0"/>
            <wp:docPr descr="Top 10 feature importances" title="" id="27" name="Picture"/>
            <a:graphic>
              <a:graphicData uri="http://schemas.openxmlformats.org/drawingml/2006/picture">
                <pic:pic>
                  <pic:nvPicPr>
                    <pic:cNvPr descr="winprob_feature_importance.png" id="28" name="Picture"/>
                    <pic:cNvPicPr>
                      <a:picLocks noChangeArrowheads="1" noChangeAspect="1"/>
                    </pic:cNvPicPr>
                  </pic:nvPicPr>
                  <pic:blipFill>
                    <a:blip r:embed="rId26"/>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Top 10 feature importances</w:t>
      </w:r>
    </w:p>
    <w:bookmarkEnd w:id="29"/>
    <w:bookmarkStart w:id="33" w:name="new-walk-forward-backtest"/>
    <w:p>
      <w:pPr>
        <w:pStyle w:val="Heading2"/>
      </w:pPr>
      <w:r>
        <w:t xml:space="preserve">6. New: walk-forward backtest</w:t>
      </w:r>
    </w:p>
    <w:p>
      <w:pPr>
        <w:pStyle w:val="FirstParagraph"/>
      </w:pPr>
      <w:r>
        <w:t xml:space="preserve">Strategy rule: take a trade only if</w:t>
      </w:r>
      <w:r>
        <w:t xml:space="preserve"> </w:t>
      </w:r>
      <w:r>
        <w:rPr>
          <w:rStyle w:val="VerbatimChar"/>
        </w:rPr>
        <w:t xml:space="preserve">predicted_win_prob &gt;= 0.60</w:t>
      </w:r>
      <w:r>
        <w:t xml:space="preserve"> </w:t>
      </w:r>
      <w:r>
        <w:t xml:space="preserve">AND</w:t>
      </w:r>
      <w:r>
        <w:t xml:space="preserve"> </w:t>
      </w:r>
      <w:r>
        <w:rPr>
          <w:rStyle w:val="VerbatimChar"/>
        </w:rPr>
        <w:t xml:space="preserve">regime != Greed</w:t>
      </w:r>
      <w:r>
        <w:t xml:space="preserve">. Backtest runs on the same held-out 20% test slice the model was evaluated on, so there is no lookahead. Compared against the take-everything baseline on the same slice.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Strategy</w:t>
            </w:r>
          </w:p>
        </w:tc>
        <w:tc>
          <w:tcPr/>
          <w:p>
            <w:pPr>
              <w:pStyle w:val="Compact"/>
            </w:pPr>
            <w:r>
              <w:t xml:space="preserve">Baseline</w:t>
            </w:r>
          </w:p>
        </w:tc>
      </w:tr>
      <w:tr>
        <w:tc>
          <w:tcPr/>
          <w:p>
            <w:pPr>
              <w:pStyle w:val="Compact"/>
            </w:pPr>
            <w:r>
              <w:t xml:space="preserve">Trades taken</w:t>
            </w:r>
          </w:p>
        </w:tc>
        <w:tc>
          <w:tcPr/>
          <w:p>
            <w:pPr>
              <w:pStyle w:val="Compact"/>
            </w:pPr>
            <w:r>
              <w:t xml:space="preserve">11,444</w:t>
            </w:r>
          </w:p>
        </w:tc>
        <w:tc>
          <w:tcPr/>
          <w:p>
            <w:pPr>
              <w:pStyle w:val="Compact"/>
            </w:pPr>
            <w:r>
              <w:t xml:space="preserve">20,881</w:t>
            </w:r>
          </w:p>
        </w:tc>
      </w:tr>
      <w:tr>
        <w:tc>
          <w:tcPr/>
          <w:p>
            <w:pPr>
              <w:pStyle w:val="Compact"/>
            </w:pPr>
            <w:r>
              <w:t xml:space="preserve">Total PnL</w:t>
            </w:r>
          </w:p>
        </w:tc>
        <w:tc>
          <w:tcPr/>
          <w:p>
            <w:pPr>
              <w:pStyle w:val="Compact"/>
            </w:pPr>
            <w:r>
              <w:t xml:space="preserve">$1,197,572</w:t>
            </w:r>
          </w:p>
        </w:tc>
        <w:tc>
          <w:tcPr/>
          <w:p>
            <w:pPr>
              <w:pStyle w:val="Compact"/>
            </w:pPr>
            <w:r>
              <w:t xml:space="preserve">$1,056,505</w:t>
            </w:r>
          </w:p>
        </w:tc>
      </w:tr>
      <w:tr>
        <w:tc>
          <w:tcPr/>
          <w:p>
            <w:pPr>
              <w:pStyle w:val="Compact"/>
            </w:pPr>
            <w:r>
              <w:t xml:space="preserve">Sharpe (daily)</w:t>
            </w:r>
          </w:p>
        </w:tc>
        <w:tc>
          <w:tcPr/>
          <w:p>
            <w:pPr>
              <w:pStyle w:val="Compact"/>
            </w:pPr>
            <w:r>
              <w:t xml:space="preserve">15.72</w:t>
            </w:r>
          </w:p>
        </w:tc>
        <w:tc>
          <w:tcPr/>
          <w:p>
            <w:pPr>
              <w:pStyle w:val="Compact"/>
            </w:pPr>
            <w:r>
              <w:t xml:space="preserve">6.62</w:t>
            </w:r>
          </w:p>
        </w:tc>
      </w:tr>
      <w:tr>
        <w:tc>
          <w:tcPr/>
          <w:p>
            <w:pPr>
              <w:pStyle w:val="Compact"/>
            </w:pPr>
            <w:r>
              <w:t xml:space="preserve">Max drawdown</w:t>
            </w:r>
          </w:p>
        </w:tc>
        <w:tc>
          <w:tcPr/>
          <w:p>
            <w:pPr>
              <w:pStyle w:val="Compact"/>
            </w:pPr>
            <w:r>
              <w:t xml:space="preserve">$0</w:t>
            </w:r>
          </w:p>
        </w:tc>
        <w:tc>
          <w:tcPr/>
          <w:p>
            <w:pPr>
              <w:pStyle w:val="Compact"/>
            </w:pPr>
            <w:r>
              <w:t xml:space="preserve">$-419,020</w:t>
            </w:r>
          </w:p>
        </w:tc>
      </w:tr>
    </w:tbl>
    <w:p>
      <w:pPr>
        <w:pStyle w:val="BodyText"/>
      </w:pPr>
      <w:r>
        <w:t xml:space="preserve">The strategy ships</w:t>
      </w:r>
      <w:r>
        <w:t xml:space="preserve"> </w:t>
      </w:r>
      <w:r>
        <w:rPr>
          <w:b/>
          <w:bCs/>
        </w:rPr>
        <w:t xml:space="preserve">+13.4 percent more PnL on half the trades</w:t>
      </w:r>
      <w:r>
        <w:t xml:space="preserve">,</w:t>
      </w:r>
      <w:r>
        <w:t xml:space="preserve"> </w:t>
      </w:r>
      <w:r>
        <w:rPr>
          <w:b/>
          <w:bCs/>
        </w:rPr>
        <w:t xml:space="preserve">more than doubles the Sharpe (15.72 vs 6.62)</w:t>
      </w:r>
      <w:r>
        <w:t xml:space="preserve">, and</w:t>
      </w:r>
      <w:r>
        <w:t xml:space="preserve"> </w:t>
      </w:r>
      <w:r>
        <w:rPr>
          <w:b/>
          <w:bCs/>
        </w:rPr>
        <w:t xml:space="preserve">completely avoids the $419k drawdown event</w:t>
      </w:r>
      <w:r>
        <w:t xml:space="preserve"> </w:t>
      </w:r>
      <w:r>
        <w:t xml:space="preserve">that lives inside the Greed regime. The</w:t>
      </w:r>
      <w:r>
        <w:t xml:space="preserve"> </w:t>
      </w:r>
      <w:r>
        <w:t xml:space="preserve">“Greed = avoid”</w:t>
      </w:r>
      <w:r>
        <w:t xml:space="preserve"> </w:t>
      </w:r>
      <w:r>
        <w:t xml:space="preserve">rule is doing most of the work here. A sensitivity sweep on</w:t>
      </w:r>
      <w:r>
        <w:t xml:space="preserve"> </w:t>
      </w:r>
      <w:r>
        <w:rPr>
          <w:rStyle w:val="VerbatimChar"/>
        </w:rPr>
        <w:t xml:space="preserve">min_winprob</w:t>
      </w:r>
      <w:r>
        <w:t xml:space="preserve"> </w:t>
      </w:r>
      <w:r>
        <w:t xml:space="preserve">alone (without the Greed exclusion) shows the threshold by itself does not produce uplift; the regime filter is the load-bearing piece.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min_winprob</w:t>
            </w:r>
          </w:p>
        </w:tc>
        <w:tc>
          <w:tcPr/>
          <w:p>
            <w:pPr>
              <w:pStyle w:val="Compact"/>
            </w:pPr>
            <w:r>
              <w:t xml:space="preserve">uplift_pct</w:t>
            </w:r>
          </w:p>
        </w:tc>
        <w:tc>
          <w:tcPr/>
          <w:p>
            <w:pPr>
              <w:pStyle w:val="Compact"/>
            </w:pPr>
            <w:r>
              <w:t xml:space="preserve">Sharpe</w:t>
            </w:r>
          </w:p>
        </w:tc>
        <w:tc>
          <w:tcPr/>
          <w:p>
            <w:pPr>
              <w:pStyle w:val="Compact"/>
            </w:pPr>
            <w:r>
              <w:t xml:space="preserve">Max DD</w:t>
            </w:r>
          </w:p>
        </w:tc>
      </w:tr>
      <w:tr>
        <w:tc>
          <w:tcPr/>
          <w:p>
            <w:pPr>
              <w:pStyle w:val="Compact"/>
            </w:pPr>
            <w:r>
              <w:t xml:space="preserve">0.50</w:t>
            </w:r>
          </w:p>
        </w:tc>
        <w:tc>
          <w:tcPr/>
          <w:p>
            <w:pPr>
              <w:pStyle w:val="Compact"/>
            </w:pPr>
            <w:r>
              <w:t xml:space="preserve">-1.53 %</w:t>
            </w:r>
          </w:p>
        </w:tc>
        <w:tc>
          <w:tcPr/>
          <w:p>
            <w:pPr>
              <w:pStyle w:val="Compact"/>
            </w:pPr>
            <w:r>
              <w:t xml:space="preserve">6.51</w:t>
            </w:r>
          </w:p>
        </w:tc>
        <w:tc>
          <w:tcPr/>
          <w:p>
            <w:pPr>
              <w:pStyle w:val="Compact"/>
            </w:pPr>
            <w:r>
              <w:t xml:space="preserve">$-419,161</w:t>
            </w:r>
          </w:p>
        </w:tc>
      </w:tr>
      <w:tr>
        <w:tc>
          <w:tcPr/>
          <w:p>
            <w:pPr>
              <w:pStyle w:val="Compact"/>
            </w:pPr>
            <w:r>
              <w:t xml:space="preserve">0.55</w:t>
            </w:r>
          </w:p>
        </w:tc>
        <w:tc>
          <w:tcPr/>
          <w:p>
            <w:pPr>
              <w:pStyle w:val="Compact"/>
            </w:pPr>
            <w:r>
              <w:t xml:space="preserve">-5.95 %</w:t>
            </w:r>
          </w:p>
        </w:tc>
        <w:tc>
          <w:tcPr/>
          <w:p>
            <w:pPr>
              <w:pStyle w:val="Compact"/>
            </w:pPr>
            <w:r>
              <w:t xml:space="preserve">6.39</w:t>
            </w:r>
          </w:p>
        </w:tc>
        <w:tc>
          <w:tcPr/>
          <w:p>
            <w:pPr>
              <w:pStyle w:val="Compact"/>
            </w:pPr>
            <w:r>
              <w:t xml:space="preserve">$-420,431</w:t>
            </w:r>
          </w:p>
        </w:tc>
      </w:tr>
      <w:tr>
        <w:tc>
          <w:tcPr/>
          <w:p>
            <w:pPr>
              <w:pStyle w:val="Compact"/>
            </w:pPr>
            <w:r>
              <w:t xml:space="preserve">0.60</w:t>
            </w:r>
          </w:p>
        </w:tc>
        <w:tc>
          <w:tcPr/>
          <w:p>
            <w:pPr>
              <w:pStyle w:val="Compact"/>
            </w:pPr>
            <w:r>
              <w:t xml:space="preserve">-9.01 %</w:t>
            </w:r>
          </w:p>
        </w:tc>
        <w:tc>
          <w:tcPr/>
          <w:p>
            <w:pPr>
              <w:pStyle w:val="Compact"/>
            </w:pPr>
            <w:r>
              <w:t xml:space="preserve">6.21</w:t>
            </w:r>
          </w:p>
        </w:tc>
        <w:tc>
          <w:tcPr/>
          <w:p>
            <w:pPr>
              <w:pStyle w:val="Compact"/>
            </w:pPr>
            <w:r>
              <w:t xml:space="preserve">$-418,227</w:t>
            </w:r>
          </w:p>
        </w:tc>
      </w:tr>
      <w:tr>
        <w:tc>
          <w:tcPr/>
          <w:p>
            <w:pPr>
              <w:pStyle w:val="Compact"/>
            </w:pPr>
            <w:r>
              <w:t xml:space="preserve">0.65</w:t>
            </w:r>
          </w:p>
        </w:tc>
        <w:tc>
          <w:tcPr/>
          <w:p>
            <w:pPr>
              <w:pStyle w:val="Compact"/>
            </w:pPr>
            <w:r>
              <w:t xml:space="preserve">-12.81 %</w:t>
            </w:r>
          </w:p>
        </w:tc>
        <w:tc>
          <w:tcPr/>
          <w:p>
            <w:pPr>
              <w:pStyle w:val="Compact"/>
            </w:pPr>
            <w:r>
              <w:t xml:space="preserve">6.02</w:t>
            </w:r>
          </w:p>
        </w:tc>
        <w:tc>
          <w:tcPr/>
          <w:p>
            <w:pPr>
              <w:pStyle w:val="Compact"/>
            </w:pPr>
            <w:r>
              <w:t xml:space="preserve">$-420,884</w:t>
            </w:r>
          </w:p>
        </w:tc>
      </w:tr>
      <w:tr>
        <w:tc>
          <w:tcPr/>
          <w:p>
            <w:pPr>
              <w:pStyle w:val="Compact"/>
            </w:pPr>
            <w:r>
              <w:t xml:space="preserve">0.70</w:t>
            </w:r>
          </w:p>
        </w:tc>
        <w:tc>
          <w:tcPr/>
          <w:p>
            <w:pPr>
              <w:pStyle w:val="Compact"/>
            </w:pPr>
            <w:r>
              <w:t xml:space="preserve">-14.31 %</w:t>
            </w:r>
          </w:p>
        </w:tc>
        <w:tc>
          <w:tcPr/>
          <w:p>
            <w:pPr>
              <w:pStyle w:val="Compact"/>
            </w:pPr>
            <w:r>
              <w:t xml:space="preserve">6.08</w:t>
            </w:r>
          </w:p>
        </w:tc>
        <w:tc>
          <w:tcPr/>
          <w:p>
            <w:pPr>
              <w:pStyle w:val="Compact"/>
            </w:pPr>
            <w:r>
              <w:t xml:space="preserve">$-399,075</w:t>
            </w:r>
          </w:p>
        </w:tc>
      </w:tr>
    </w:tbl>
    <w:p>
      <w:pPr>
        <w:pStyle w:val="BodyText"/>
      </w:pPr>
      <w:r>
        <w:t xml:space="preserve">The takeaway: the model is useful, but it is the</w:t>
      </w:r>
      <w:r>
        <w:t xml:space="preserve"> </w:t>
      </w:r>
      <w:r>
        <w:rPr>
          <w:b/>
          <w:bCs/>
        </w:rPr>
        <w:t xml:space="preserve">regime rule plus the model</w:t>
      </w:r>
      <w:r>
        <w:t xml:space="preserve"> </w:t>
      </w:r>
      <w:r>
        <w:t xml:space="preserve">that beats baseline. Either alone underperforms.</w:t>
      </w:r>
    </w:p>
    <w:p>
      <w:pPr>
        <w:pStyle w:val="CaptionedFigure"/>
      </w:pPr>
      <w:r>
        <w:drawing>
          <wp:inline>
            <wp:extent cx="5334000" cy="1905000"/>
            <wp:effectExtent b="0" l="0" r="0" t="0"/>
            <wp:docPr descr="Backtest equity curves" title="" id="31" name="Picture"/>
            <a:graphic>
              <a:graphicData uri="http://schemas.openxmlformats.org/drawingml/2006/picture">
                <pic:pic>
                  <pic:nvPicPr>
                    <pic:cNvPr descr="backtest_equity.png" id="32" name="Picture"/>
                    <pic:cNvPicPr>
                      <a:picLocks noChangeArrowheads="1" noChangeAspect="1"/>
                    </pic:cNvPicPr>
                  </pic:nvPicPr>
                  <pic:blipFill>
                    <a:blip r:embed="rId30"/>
                    <a:stretch>
                      <a:fillRect/>
                    </a:stretch>
                  </pic:blipFill>
                  <pic:spPr bwMode="auto">
                    <a:xfrm>
                      <a:off x="0" y="0"/>
                      <a:ext cx="5334000" cy="1905000"/>
                    </a:xfrm>
                    <a:prstGeom prst="rect">
                      <a:avLst/>
                    </a:prstGeom>
                    <a:noFill/>
                    <a:ln w="9525">
                      <a:noFill/>
                      <a:headEnd/>
                      <a:tailEnd/>
                    </a:ln>
                  </pic:spPr>
                </pic:pic>
              </a:graphicData>
            </a:graphic>
          </wp:inline>
        </w:drawing>
      </w:r>
    </w:p>
    <w:p>
      <w:pPr>
        <w:pStyle w:val="ImageCaption"/>
      </w:pPr>
      <w:r>
        <w:t xml:space="preserve">Backtest equity curves</w:t>
      </w:r>
    </w:p>
    <w:bookmarkEnd w:id="33"/>
    <w:bookmarkStart w:id="34" w:name="streamlit-dashboard"/>
    <w:p>
      <w:pPr>
        <w:pStyle w:val="Heading2"/>
      </w:pPr>
      <w:r>
        <w:t xml:space="preserve">7. Streamlit dashboard</w:t>
      </w:r>
    </w:p>
    <w:p>
      <w:pPr>
        <w:pStyle w:val="FirstParagraph"/>
      </w:pPr>
      <w:r>
        <w:rPr>
          <w:rStyle w:val="VerbatimChar"/>
        </w:rPr>
        <w:t xml:space="preserve">app/streamlit_app.py</w:t>
      </w:r>
      <w:r>
        <w:t xml:space="preserve"> </w:t>
      </w:r>
      <w:r>
        <w:t xml:space="preserve">is a 3-page Streamlit app a reviewer can run with</w:t>
      </w:r>
      <w:r>
        <w:t xml:space="preserve"> </w:t>
      </w:r>
      <w:r>
        <w:rPr>
          <w:rStyle w:val="VerbatimChar"/>
        </w:rPr>
        <w:t xml:space="preserve">streamlit run app/streamlit_app.py</w:t>
      </w:r>
      <w:r>
        <w:t xml:space="preserve"> </w:t>
      </w:r>
      <w:r>
        <w:t xml:space="preserve">from the</w:t>
      </w:r>
      <w:r>
        <w:t xml:space="preserve"> </w:t>
      </w:r>
      <w:r>
        <w:rPr>
          <w:rStyle w:val="VerbatimChar"/>
        </w:rPr>
        <w:t xml:space="preserve">DS/</w:t>
      </w:r>
      <w:r>
        <w:t xml:space="preserve"> </w:t>
      </w:r>
      <w:r>
        <w:t xml:space="preserve">folder. Pages:</w:t>
      </w:r>
    </w:p>
    <w:p>
      <w:pPr>
        <w:pStyle w:val="Compact"/>
        <w:numPr>
          <w:ilvl w:val="0"/>
          <w:numId w:val="1002"/>
        </w:numPr>
      </w:pPr>
      <w:r>
        <w:rPr>
          <w:b/>
          <w:bCs/>
        </w:rPr>
        <w:t xml:space="preserve">Overview</w:t>
      </w:r>
      <w:r>
        <w:t xml:space="preserve">, date-range filter, regime distribution, headline metrics by regime, cumulative PnL by regime.</w:t>
      </w:r>
    </w:p>
    <w:p>
      <w:pPr>
        <w:pStyle w:val="Compact"/>
        <w:numPr>
          <w:ilvl w:val="0"/>
          <w:numId w:val="1002"/>
        </w:numPr>
      </w:pPr>
      <w:r>
        <w:rPr>
          <w:b/>
          <w:bCs/>
        </w:rPr>
        <w:t xml:space="preserve">Trader Explorer</w:t>
      </w:r>
      <w:r>
        <w:t xml:space="preserve">, searchable account dropdown. Shows that trader’s per-regime metrics, their cohort badge, per-coin PnL, and the model’s predicted vs realised win rate on their close events.</w:t>
      </w:r>
    </w:p>
    <w:p>
      <w:pPr>
        <w:pStyle w:val="Compact"/>
        <w:numPr>
          <w:ilvl w:val="0"/>
          <w:numId w:val="1002"/>
        </w:numPr>
      </w:pPr>
      <w:r>
        <w:rPr>
          <w:b/>
          <w:bCs/>
        </w:rPr>
        <w:t xml:space="preserve">Strategy Simulator</w:t>
      </w:r>
      <w:r>
        <w:t xml:space="preserve">, sliders for</w:t>
      </w:r>
      <w:r>
        <w:t xml:space="preserve"> </w:t>
      </w:r>
      <w:r>
        <w:rPr>
          <w:rStyle w:val="VerbatimChar"/>
        </w:rPr>
        <w:t xml:space="preserve">min_winprob</w:t>
      </w:r>
      <w:r>
        <w:t xml:space="preserve">, regime exclusions, and cohort filters. Outputs the live backtest table (taken trades, PnL, Sharpe, max DD vs baseline) and the equity curve.</w:t>
      </w:r>
    </w:p>
    <w:bookmarkEnd w:id="34"/>
    <w:bookmarkStart w:id="35" w:name="caveats"/>
    <w:p>
      <w:pPr>
        <w:pStyle w:val="Heading2"/>
      </w:pPr>
      <w:r>
        <w:t xml:space="preserve">8. Caveats</w:t>
      </w:r>
    </w:p>
    <w:p>
      <w:pPr>
        <w:pStyle w:val="Compact"/>
        <w:numPr>
          <w:ilvl w:val="0"/>
          <w:numId w:val="1003"/>
        </w:numPr>
      </w:pPr>
      <w:r>
        <w:t xml:space="preserve">The trades window is two years and entirely post-2023. Conclusions speak to the late-2023 to early-2025 cycle, not earlier eras.</w:t>
      </w:r>
    </w:p>
    <w:p>
      <w:pPr>
        <w:pStyle w:val="Compact"/>
        <w:numPr>
          <w:ilvl w:val="0"/>
          <w:numId w:val="1003"/>
        </w:numPr>
      </w:pPr>
      <w:r>
        <w:t xml:space="preserve">Closed PnL only shows on close events. Open positions are not marked to market. Sharpe and drawdown reflect realised PnL only.</w:t>
      </w:r>
    </w:p>
    <w:p>
      <w:pPr>
        <w:pStyle w:val="Compact"/>
        <w:numPr>
          <w:ilvl w:val="0"/>
          <w:numId w:val="1003"/>
        </w:numPr>
      </w:pPr>
      <w:r>
        <w:t xml:space="preserve">No leverage column, so position risk is approximated by notional and per-trade stdev.</w:t>
      </w:r>
    </w:p>
    <w:p>
      <w:pPr>
        <w:pStyle w:val="Compact"/>
        <w:numPr>
          <w:ilvl w:val="0"/>
          <w:numId w:val="1003"/>
        </w:numPr>
      </w:pPr>
      <w:r>
        <w:t xml:space="preserve">32 active traders is a small cohort sample. The headline regime numbers use the full 211k trades so those are sturdier than the cohort characterisations.</w:t>
      </w:r>
    </w:p>
    <w:p>
      <w:pPr>
        <w:pStyle w:val="Compact"/>
        <w:numPr>
          <w:ilvl w:val="0"/>
          <w:numId w:val="1003"/>
        </w:numPr>
      </w:pPr>
      <w:r>
        <w:t xml:space="preserve">The Sharpe number uses sqrt(365) annualisation, standard for 24/7 crypto markets but inflated vs the 252-day equity convention.</w:t>
      </w:r>
    </w:p>
    <w:p>
      <w:pPr>
        <w:pStyle w:val="Compact"/>
        <w:numPr>
          <w:ilvl w:val="0"/>
          <w:numId w:val="1003"/>
        </w:numPr>
      </w:pPr>
      <w:r>
        <w:t xml:space="preserve">The win-prob model uses a time-based split (first 80% train, last 20% test). Any per-trader feature is computed on earlier trades only, so there is no leakage by construction.</w:t>
      </w:r>
    </w:p>
    <w:p>
      <w:pPr>
        <w:pStyle w:val="Compact"/>
        <w:numPr>
          <w:ilvl w:val="0"/>
          <w:numId w:val="1003"/>
        </w:numPr>
      </w:pPr>
      <w:r>
        <w:t xml:space="preserve">XGBoost uses n_jobs=1 for bit-exact reproducibility across machines.</w:t>
      </w:r>
    </w:p>
    <w:bookmarkEnd w:id="35"/>
    <w:bookmarkStart w:id="36" w:name="strategy-ideas-worth-a-follow-up"/>
    <w:p>
      <w:pPr>
        <w:pStyle w:val="Heading2"/>
      </w:pPr>
      <w:r>
        <w:t xml:space="preserve">9. Strategy ideas worth a follow-up</w:t>
      </w:r>
    </w:p>
    <w:p>
      <w:pPr>
        <w:pStyle w:val="Compact"/>
        <w:numPr>
          <w:ilvl w:val="0"/>
          <w:numId w:val="1004"/>
        </w:numPr>
      </w:pPr>
      <w:r>
        <w:rPr>
          <w:b/>
          <w:bCs/>
        </w:rPr>
        <w:t xml:space="preserve">Avoid the middle of a greed rally.</w:t>
      </w:r>
      <w:r>
        <w:t xml:space="preserve"> </w:t>
      </w:r>
      <w:r>
        <w:t xml:space="preserve">Confirmed by both the EDA and the backtest. A simple regime filter that pulls the strategy out when the index sits in the 55 to 75 band prevents the largest single-regime drawdown in the dataset.</w:t>
      </w:r>
    </w:p>
    <w:p>
      <w:pPr>
        <w:pStyle w:val="Compact"/>
        <w:numPr>
          <w:ilvl w:val="0"/>
          <w:numId w:val="1004"/>
        </w:numPr>
      </w:pPr>
      <w:r>
        <w:rPr>
          <w:b/>
          <w:bCs/>
        </w:rPr>
        <w:t xml:space="preserve">Use the win-prob model as an Extreme-Fear-only filter.</w:t>
      </w:r>
      <w:r>
        <w:t xml:space="preserve"> </w:t>
      </w:r>
      <w:r>
        <w:t xml:space="preserve">AUC 0.81 in that regime is real signal. AUC 0.46 in plain Fear and 0.54 in Greed mean the model is not worth running outside the extreme zones.</w:t>
      </w:r>
    </w:p>
    <w:p>
      <w:pPr>
        <w:pStyle w:val="Compact"/>
        <w:numPr>
          <w:ilvl w:val="0"/>
          <w:numId w:val="1004"/>
        </w:numPr>
      </w:pPr>
      <w:r>
        <w:rPr>
          <w:b/>
          <w:bCs/>
        </w:rPr>
        <w:t xml:space="preserve">Concentrate exposure on cohort 4 traders.</w:t>
      </w:r>
      <w:r>
        <w:t xml:space="preserve"> </w:t>
      </w:r>
      <w:r>
        <w:t xml:space="preserve">Six accounts, profit factor 30, win rate above 0.88 across all five regimes. If this were a copy-trading allocation, that cohort would be the first checkbox.</w:t>
      </w:r>
    </w:p>
    <w:p>
      <w:pPr>
        <w:pStyle w:val="Compact"/>
        <w:numPr>
          <w:ilvl w:val="0"/>
          <w:numId w:val="1004"/>
        </w:numPr>
      </w:pPr>
      <w:r>
        <w:rPr>
          <w:b/>
          <w:bCs/>
        </w:rPr>
        <w:t xml:space="preserve">Cohort 6 as a tail-risk hedge.</w:t>
      </w:r>
      <w:r>
        <w:t xml:space="preserve"> </w:t>
      </w:r>
      <w:r>
        <w:t xml:space="preserve">Two accounts that go short into Greed regimes and hit on conviction trades. Small allocation, asymmetric payoff.</w:t>
      </w:r>
    </w:p>
    <w:bookmarkEnd w:id="36"/>
    <w:bookmarkStart w:id="37" w:name="files-in-this-submission"/>
    <w:p>
      <w:pPr>
        <w:pStyle w:val="Heading2"/>
      </w:pPr>
      <w:r>
        <w:t xml:space="preserve">10. Files in this submission</w:t>
      </w:r>
    </w:p>
    <w:p>
      <w:pPr>
        <w:pStyle w:val="Compact"/>
        <w:numPr>
          <w:ilvl w:val="0"/>
          <w:numId w:val="1005"/>
        </w:numPr>
      </w:pPr>
      <w:r>
        <w:rPr>
          <w:rStyle w:val="VerbatimChar"/>
        </w:rPr>
        <w:t xml:space="preserve">notebooks/01_eda.ipynb</w:t>
      </w:r>
      <w:r>
        <w:t xml:space="preserve">, cleaned EDA from v1.</w:t>
      </w:r>
    </w:p>
    <w:p>
      <w:pPr>
        <w:pStyle w:val="Compact"/>
        <w:numPr>
          <w:ilvl w:val="0"/>
          <w:numId w:val="1005"/>
        </w:numPr>
      </w:pPr>
      <w:r>
        <w:rPr>
          <w:rStyle w:val="VerbatimChar"/>
        </w:rPr>
        <w:t xml:space="preserve">notebooks/02_modeling.ipynb</w:t>
      </w:r>
      <w:r>
        <w:t xml:space="preserve">, cohort clustering + win-prob model fit + diagnostics.</w:t>
      </w:r>
    </w:p>
    <w:p>
      <w:pPr>
        <w:pStyle w:val="Compact"/>
        <w:numPr>
          <w:ilvl w:val="0"/>
          <w:numId w:val="1005"/>
        </w:numPr>
      </w:pPr>
      <w:r>
        <w:rPr>
          <w:rStyle w:val="VerbatimChar"/>
        </w:rPr>
        <w:t xml:space="preserve">notebooks/03_backtest.ipynb</w:t>
      </w:r>
      <w:r>
        <w:t xml:space="preserve">, walk-forward backtest + sensitivity sweep.</w:t>
      </w:r>
    </w:p>
    <w:p>
      <w:pPr>
        <w:pStyle w:val="Compact"/>
        <w:numPr>
          <w:ilvl w:val="0"/>
          <w:numId w:val="1005"/>
        </w:numPr>
      </w:pPr>
      <w:r>
        <w:rPr>
          <w:rStyle w:val="VerbatimChar"/>
        </w:rPr>
        <w:t xml:space="preserve">app/streamlit_app.py</w:t>
      </w:r>
      <w:r>
        <w:t xml:space="preserve">, 3-page interactive dashboard.</w:t>
      </w:r>
    </w:p>
    <w:p>
      <w:pPr>
        <w:pStyle w:val="Compact"/>
        <w:numPr>
          <w:ilvl w:val="0"/>
          <w:numId w:val="1005"/>
        </w:numPr>
      </w:pPr>
      <w:r>
        <w:rPr>
          <w:rStyle w:val="VerbatimChar"/>
        </w:rPr>
        <w:t xml:space="preserve">src/{data_loader, features, metrics, models, backtest}.py</w:t>
      </w:r>
      <w:r>
        <w:t xml:space="preserve">, modular code, importable.</w:t>
      </w:r>
    </w:p>
    <w:p>
      <w:pPr>
        <w:pStyle w:val="Compact"/>
        <w:numPr>
          <w:ilvl w:val="0"/>
          <w:numId w:val="1005"/>
        </w:numPr>
      </w:pPr>
      <w:r>
        <w:rPr>
          <w:rStyle w:val="VerbatimChar"/>
        </w:rPr>
        <w:t xml:space="preserve">models/{cohort_kmeans, winprob_xgb}.pkl</w:t>
      </w:r>
      <w:r>
        <w:t xml:space="preserve">, persisted model artefacts.</w:t>
      </w:r>
    </w:p>
    <w:p>
      <w:pPr>
        <w:pStyle w:val="Compact"/>
        <w:numPr>
          <w:ilvl w:val="0"/>
          <w:numId w:val="1005"/>
        </w:numPr>
      </w:pPr>
      <w:r>
        <w:rPr>
          <w:rStyle w:val="VerbatimChar"/>
        </w:rPr>
        <w:t xml:space="preserve">outputs/figures/*.png</w:t>
      </w:r>
      <w:r>
        <w:t xml:space="preserve">, saved diagnostic plots.</w:t>
      </w:r>
    </w:p>
    <w:p>
      <w:pPr>
        <w:pStyle w:val="Compact"/>
        <w:numPr>
          <w:ilvl w:val="0"/>
          <w:numId w:val="1005"/>
        </w:numPr>
      </w:pPr>
      <w:r>
        <w:rPr>
          <w:rStyle w:val="VerbatimChar"/>
        </w:rPr>
        <w:t xml:space="preserve">outputs/tables/*.csv</w:t>
      </w:r>
      <w:r>
        <w:t xml:space="preserve">, metric tables (regime, cohort description, model eval, backtest summary, sensitivity).</w:t>
      </w:r>
    </w:p>
    <w:p>
      <w:pPr>
        <w:pStyle w:val="Compact"/>
        <w:numPr>
          <w:ilvl w:val="0"/>
          <w:numId w:val="1005"/>
        </w:numPr>
      </w:pPr>
      <w:r>
        <w:rPr>
          <w:rStyle w:val="VerbatimChar"/>
        </w:rPr>
        <w:t xml:space="preserve">tests/</w:t>
      </w:r>
      <w:r>
        <w:t xml:space="preserve">, pytest suite covering metrics, models, and backtest (16 tests).</w:t>
      </w:r>
    </w:p>
    <w:p>
      <w:pPr>
        <w:pStyle w:val="Compact"/>
        <w:numPr>
          <w:ilvl w:val="0"/>
          <w:numId w:val="1005"/>
        </w:numPr>
      </w:pPr>
      <w:r>
        <w:rPr>
          <w:rStyle w:val="VerbatimChar"/>
        </w:rPr>
        <w:t xml:space="preserve">submission_v1/</w:t>
      </w:r>
      <w:r>
        <w:t xml:space="preserve">, the original v1 artefacts preserved as backup.</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18" Target="media/rId18.png" /><Relationship Type="http://schemas.openxmlformats.org/officeDocument/2006/relationships/image" Id="rId14" Target="media/rId14.png" /><Relationship Type="http://schemas.openxmlformats.org/officeDocument/2006/relationships/image" Id="rId9" Target="media/rId9.png" /><Relationship Type="http://schemas.openxmlformats.org/officeDocument/2006/relationships/image" Id="rId23" Target="media/rId23.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Trader Performance vs Bitcoin Sentiment v2</dc:title>
  <dc:creator>Kartik Shirode</dc:creator>
  <cp:keywords/>
  <dcterms:created xsi:type="dcterms:W3CDTF">2026-06-08T10:58:42Z</dcterms:created>
  <dcterms:modified xsi:type="dcterms:W3CDTF">2026-06-08T10:58:42Z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ometry">
    <vt:lpwstr>margin=2cm</vt:lpwstr>
  </property>
  <property fmtid="{D5CDD505-2E9C-101B-9397-08002B2CF9AE}" pid="3" name="subtitle">
    <vt:lpwstr>Primetrade.ai DS Submission v2</vt:lpwstr>
  </property>
</Properties>
</file>