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FORMULA 1 Race Intelligence Dashboard Analysis Report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
      <w:pPr>
        <w:jc w:val="center"/>
      </w:pPr>
      <w:r>
        <w:rPr>
          <w:b/>
          <w:sz w:val="28"/>
        </w:rPr>
        <w:t>EMP​​ATHY MAP — F1 RACE INTELLIGENCE DASHBOARD</w:t>
      </w:r>
    </w:p>
    <w:p>
      <w:pPr>
        <w:spacing w:after="120"/>
      </w:pPr>
      <w:r>
        <w:t>Primary users: F1 team performance strategists, motorsport broadcast analysts, and technical regulation/reliability analysts.</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r/>
            <w:r>
              <w:rPr>
                <w:b/>
                <w:sz w:val="22"/>
              </w:rPr>
              <w:t>SAYS</w:t>
              <w:br/>
            </w:r>
            <w:r>
              <w:rPr>
                <w:sz w:val="20"/>
              </w:rPr>
              <w:t>“I need reliable statistics and visuals I can explain quickly.”</w:t>
              <w:br/>
              <w:t>“I want to compare drivers, teams, circuits and seasons.”</w:t>
            </w:r>
          </w:p>
        </w:tc>
        <w:tc>
          <w:tcPr>
            <w:tcW w:type="dxa" w:w="4513"/>
            <w:vAlign w:val="center"/>
          </w:tcPr>
          <w:p>
            <w:r/>
            <w:r>
              <w:rPr>
                <w:b/>
                <w:sz w:val="22"/>
              </w:rPr>
              <w:t>THINKS</w:t>
              <w:br/>
            </w:r>
            <w:r>
              <w:rPr>
                <w:sz w:val="20"/>
              </w:rPr>
              <w:t>Which drivers and teams perform consistently?</w:t>
              <w:br/>
              <w:t>Do tyre choices or circuit characteristics relate to race outcomes?</w:t>
              <w:br/>
              <w:t>Are particular DNF causes recurring?</w:t>
            </w:r>
          </w:p>
        </w:tc>
      </w:tr>
      <w:tr>
        <w:tc>
          <w:tcPr>
            <w:tcW w:type="dxa" w:w="4513"/>
            <w:vAlign w:val="center"/>
          </w:tcPr>
          <w:p>
            <w:r/>
            <w:r>
              <w:rPr>
                <w:b/>
                <w:sz w:val="22"/>
              </w:rPr>
              <w:t>DOES</w:t>
              <w:br/>
            </w:r>
            <w:r>
              <w:rPr>
                <w:sz w:val="20"/>
              </w:rPr>
              <w:t>Uses dashboard filters to compare seasons, drivers, constructors and circuits.</w:t>
              <w:br/>
              <w:t>Checks leaderboards, podium distributions and DNF charts.</w:t>
              <w:br/>
              <w:t>Uses findings for strategy, reporting or regulation analysis.</w:t>
            </w:r>
          </w:p>
        </w:tc>
        <w:tc>
          <w:tcPr>
            <w:tcW w:type="dxa" w:w="4513"/>
            <w:vAlign w:val="center"/>
          </w:tcPr>
          <w:p>
            <w:r/>
            <w:r>
              <w:rPr>
                <w:b/>
                <w:sz w:val="22"/>
              </w:rPr>
              <w:t>FEELS</w:t>
              <w:br/>
            </w:r>
            <w:r>
              <w:rPr>
                <w:sz w:val="20"/>
              </w:rPr>
              <w:t>Wants to feel confident, informed and prepared.</w:t>
              <w:br/>
              <w:t>May feel frustrated when data is scattered or comparisons take too long.</w:t>
            </w:r>
          </w:p>
        </w:tc>
      </w:tr>
      <w:tr>
        <w:tc>
          <w:tcPr>
            <w:tcW w:type="dxa" w:w="4513"/>
            <w:vAlign w:val="center"/>
          </w:tcPr>
          <w:p>
            <w:r/>
            <w:r>
              <w:rPr>
                <w:b/>
                <w:sz w:val="22"/>
              </w:rPr>
              <w:t>PAINS</w:t>
              <w:br/>
            </w:r>
            <w:r>
              <w:rPr>
                <w:sz w:val="20"/>
              </w:rPr>
              <w:t>Large multi-season datasets can be difficult to interpret.</w:t>
              <w:br/>
              <w:t>Manual comparisons slow down decisions and content preparation.</w:t>
              <w:br/>
              <w:t>Charts must be clear enough for technical and general audiences.</w:t>
            </w:r>
          </w:p>
        </w:tc>
        <w:tc>
          <w:tcPr>
            <w:tcW w:type="dxa" w:w="4513"/>
            <w:vAlign w:val="center"/>
          </w:tcPr>
          <w:p>
            <w:r/>
            <w:r>
              <w:rPr>
                <w:b/>
                <w:sz w:val="22"/>
              </w:rPr>
              <w:t>GAINS</w:t>
              <w:br/>
            </w:r>
            <w:r>
              <w:rPr>
                <w:sz w:val="20"/>
              </w:rPr>
              <w:t>Interactive, easy-to-read visualizations.</w:t>
              <w:br/>
              <w:t>Faster identification of performance and reliability trends.</w:t>
              <w:br/>
              <w:t>Evidence to support strategy, broadcast storytelling and technical recommendations.</w:t>
            </w:r>
          </w:p>
        </w:tc>
      </w:tr>
    </w:tbl>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