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20" w:before="0"/>
            </w:pPr>
            <w:r>
              <w:rPr>
                <w:rFonts w:ascii="Arial" w:hAnsi="Arial"/>
                <w:b w:val="0"/>
                <w:sz w:val="18"/>
              </w:rPr>
              <w:t>To be filled by team</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20" w:before="0"/>
            </w:pPr>
            <w:r>
              <w:rPr>
                <w:rFonts w:ascii="Arial" w:hAnsi="Arial"/>
                <w:b w:val="0"/>
                <w:sz w:val="18"/>
              </w:rPr>
              <w:t>FORMULA 1 Race Intelligence Dashboard Analysis Report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0D">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078232226188"/>
        <w:gridCol w:w="2015.5503705737033"/>
        <w:gridCol w:w="3357.970903101839"/>
        <w:gridCol w:w="3357.970903101839"/>
        <w:tblGridChange w:id="0">
          <w:tblGrid>
            <w:gridCol w:w="592.5078232226188"/>
            <w:gridCol w:w="2015.5503705737033"/>
            <w:gridCol w:w="3357.970903101839"/>
            <w:gridCol w:w="3357.970903101839"/>
          </w:tblGrid>
        </w:tblGridChange>
      </w:tblGrid>
      <w:tr>
        <w:trPr>
          <w:cantSplit w:val="0"/>
          <w:trHeight w:val="333"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Sub Requirement (Story / Sub-Task)</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Priority (High/Medium/Low)</w:t>
            </w:r>
          </w:p>
        </w:tc>
      </w:tr>
      <w:tr>
        <w:trPr>
          <w:cantSplit w:val="0"/>
          <w:trHeight w:val="489" w:hRule="atLeast"/>
          <w:tblHeader w:val="0"/>
        </w:trPr>
        <w:tc>
          <w:tcPr>
            <w:vAlign w:val="center"/>
          </w:tcPr>
          <w:p>
            <w:pPr>
              <w:spacing w:after="20" w:before="0"/>
            </w:pPr>
            <w:r>
              <w:rPr>
                <w:rFonts w:ascii="Arial" w:hAnsi="Arial"/>
                <w:b w:val="0"/>
                <w:sz w:val="15"/>
              </w:rPr>
              <w:t>1</w:t>
            </w:r>
          </w:p>
        </w:tc>
        <w:tc>
          <w:tcPr>
            <w:vAlign w:val="center"/>
          </w:tcPr>
          <w:p>
            <w:pPr>
              <w:spacing w:after="20" w:before="0"/>
            </w:pPr>
            <w:r>
              <w:rPr>
                <w:rFonts w:ascii="Arial" w:hAnsi="Arial"/>
                <w:b w:val="0"/>
                <w:sz w:val="15"/>
              </w:rPr>
              <w:t>Data Access &amp; Integration</w:t>
            </w:r>
          </w:p>
        </w:tc>
        <w:tc>
          <w:tcPr>
            <w:vAlign w:val="center"/>
          </w:tcPr>
          <w:p>
            <w:pPr>
              <w:spacing w:after="20" w:before="0"/>
            </w:pPr>
            <w:r>
              <w:rPr>
                <w:rFonts w:ascii="Arial" w:hAnsi="Arial"/>
                <w:b w:val="0"/>
                <w:sz w:val="15"/>
              </w:rPr>
              <w:t>Connect the supplied F1 race dataset (described as 6,464 race records across 17 seasons) and access fields for drivers, teams, seasons, circuits, host countries, tyre compounds, race results, points, podiums and DNF/failure categories where present.</w:t>
            </w:r>
          </w:p>
        </w:tc>
        <w:tc>
          <w:tcPr>
            <w:vAlign w:val="center"/>
          </w:tcPr>
          <w:p>
            <w:pPr>
              <w:spacing w:after="20" w:before="0"/>
            </w:pPr>
            <w:r>
              <w:rPr>
                <w:rFonts w:ascii="Arial" w:hAnsi="Arial"/>
                <w:b w:val="0"/>
                <w:sz w:val="15"/>
              </w:rPr>
              <w:t>High</w:t>
            </w:r>
          </w:p>
        </w:tc>
      </w:tr>
      <w:tr>
        <w:trPr>
          <w:cantSplit w:val="0"/>
          <w:trHeight w:val="489" w:hRule="atLeast"/>
          <w:tblHeader w:val="0"/>
        </w:trPr>
        <w:tc>
          <w:tcPr>
            <w:vAlign w:val="center"/>
          </w:tcPr>
          <w:p>
            <w:pPr>
              <w:spacing w:after="20" w:before="0"/>
            </w:pPr>
            <w:r>
              <w:rPr>
                <w:rFonts w:ascii="Arial" w:hAnsi="Arial"/>
                <w:b w:val="0"/>
                <w:sz w:val="15"/>
              </w:rPr>
              <w:t>2</w:t>
            </w:r>
          </w:p>
        </w:tc>
        <w:tc>
          <w:tcPr>
            <w:vAlign w:val="center"/>
          </w:tcPr>
          <w:p>
            <w:pPr>
              <w:spacing w:after="20" w:before="0"/>
            </w:pPr>
            <w:r>
              <w:rPr>
                <w:rFonts w:ascii="Arial" w:hAnsi="Arial"/>
                <w:b w:val="0"/>
                <w:sz w:val="15"/>
              </w:rPr>
              <w:t>Data Processing</w:t>
            </w:r>
          </w:p>
        </w:tc>
        <w:tc>
          <w:tcPr>
            <w:vAlign w:val="center"/>
          </w:tcPr>
          <w:p>
            <w:pPr>
              <w:spacing w:after="20" w:before="0"/>
            </w:pPr>
            <w:r>
              <w:rPr>
                <w:rFonts w:ascii="Arial" w:hAnsi="Arial"/>
                <w:b w:val="0"/>
                <w:sz w:val="15"/>
              </w:rPr>
              <w:t>Clean and validate records; handle missing or inconsistent values; standardize season, driver, constructor, circuit, nationality and tyre labels; prepare fields for Tableau analysis.</w:t>
            </w:r>
          </w:p>
        </w:tc>
        <w:tc>
          <w:tcPr>
            <w:vAlign w:val="center"/>
          </w:tcPr>
          <w:p>
            <w:pPr>
              <w:spacing w:after="20" w:before="0"/>
            </w:pPr>
            <w:r>
              <w:rPr>
                <w:rFonts w:ascii="Arial" w:hAnsi="Arial"/>
                <w:b w:val="0"/>
                <w:sz w:val="15"/>
              </w:rPr>
              <w:t>High</w:t>
            </w:r>
          </w:p>
        </w:tc>
      </w:tr>
      <w:tr>
        <w:trPr>
          <w:cantSplit w:val="0"/>
          <w:trHeight w:val="760.6640625" w:hRule="atLeast"/>
          <w:tblHeader w:val="0"/>
        </w:trPr>
        <w:tc>
          <w:tcPr>
            <w:vAlign w:val="center"/>
          </w:tcPr>
          <w:p>
            <w:pPr>
              <w:spacing w:after="20" w:before="0"/>
            </w:pPr>
            <w:r>
              <w:rPr>
                <w:rFonts w:ascii="Arial" w:hAnsi="Arial"/>
                <w:b w:val="0"/>
                <w:sz w:val="15"/>
              </w:rPr>
              <w:t>3</w:t>
            </w:r>
          </w:p>
        </w:tc>
        <w:tc>
          <w:tcPr>
            <w:vAlign w:val="center"/>
          </w:tcPr>
          <w:p>
            <w:pPr>
              <w:spacing w:after="20" w:before="0"/>
            </w:pPr>
            <w:r>
              <w:rPr>
                <w:rFonts w:ascii="Arial" w:hAnsi="Arial"/>
                <w:b w:val="0"/>
                <w:sz w:val="15"/>
              </w:rPr>
              <w:t>Business Analysis</w:t>
            </w:r>
          </w:p>
        </w:tc>
        <w:tc>
          <w:tcPr>
            <w:vAlign w:val="center"/>
          </w:tcPr>
          <w:p>
            <w:pPr>
              <w:spacing w:after="20" w:before="0"/>
            </w:pPr>
            <w:r>
              <w:rPr>
                <w:rFonts w:ascii="Arial" w:hAnsi="Arial"/>
                <w:b w:val="0"/>
                <w:sz w:val="15"/>
              </w:rPr>
              <w:t>Calculate cumulative driver/team points, championship points trajectories, podium counts, Grand Prix counts by host country, tyre-compound outcomes, DNF counts and driver reliability/race-completion measures across seasons.</w:t>
            </w:r>
          </w:p>
        </w:tc>
        <w:tc>
          <w:tcPr>
            <w:vAlign w:val="center"/>
          </w:tcPr>
          <w:p>
            <w:pPr>
              <w:spacing w:after="20" w:before="0"/>
            </w:pPr>
            <w:r>
              <w:rPr>
                <w:rFonts w:ascii="Arial" w:hAnsi="Arial"/>
                <w:b w:val="0"/>
                <w:sz w:val="15"/>
              </w:rPr>
              <w:t>High</w:t>
            </w:r>
          </w:p>
        </w:tc>
      </w:tr>
      <w:tr>
        <w:trPr>
          <w:cantSplit w:val="0"/>
          <w:trHeight w:val="489" w:hRule="atLeast"/>
          <w:tblHeader w:val="0"/>
        </w:trPr>
        <w:tc>
          <w:tcPr>
            <w:vAlign w:val="center"/>
          </w:tcPr>
          <w:p>
            <w:pPr>
              <w:spacing w:after="20" w:before="0"/>
            </w:pPr>
            <w:r>
              <w:rPr>
                <w:rFonts w:ascii="Arial" w:hAnsi="Arial"/>
                <w:b w:val="0"/>
                <w:sz w:val="15"/>
              </w:rPr>
              <w:t>4</w:t>
            </w:r>
          </w:p>
        </w:tc>
        <w:tc>
          <w:tcPr>
            <w:vAlign w:val="center"/>
          </w:tcPr>
          <w:p>
            <w:pPr>
              <w:spacing w:after="20" w:before="0"/>
            </w:pPr>
            <w:r>
              <w:rPr>
                <w:rFonts w:ascii="Arial" w:hAnsi="Arial"/>
                <w:b w:val="0"/>
                <w:sz w:val="15"/>
              </w:rPr>
              <w:t>Business Insights &amp; Analytical Outputs</w:t>
            </w:r>
          </w:p>
        </w:tc>
        <w:tc>
          <w:tcPr>
            <w:vAlign w:val="center"/>
          </w:tcPr>
          <w:p>
            <w:pPr>
              <w:spacing w:after="20" w:before="0"/>
            </w:pPr>
            <w:r>
              <w:rPr>
                <w:rFonts w:ascii="Arial" w:hAnsi="Arial"/>
                <w:b w:val="0"/>
                <w:sz w:val="15"/>
              </w:rPr>
              <w:t>Provide an interactive dashboard with a driver leaderboard, constructors' points trend, tyre strategy analysis by circuit type, host-country race counts, podium distributions and driver reliability/DNF stacked bar analysis.</w:t>
            </w:r>
          </w:p>
        </w:tc>
        <w:tc>
          <w:tcPr>
            <w:vAlign w:val="center"/>
          </w:tcPr>
          <w:p>
            <w:pPr>
              <w:spacing w:after="20" w:before="0"/>
            </w:pPr>
            <w:r>
              <w:rPr>
                <w:rFonts w:ascii="Arial" w:hAnsi="Arial"/>
                <w:b w:val="0"/>
                <w:sz w:val="15"/>
              </w:rPr>
              <w:t>High</w:t>
            </w:r>
          </w:p>
        </w:tc>
      </w:tr>
      <w:tr>
        <w:trPr>
          <w:cantSplit w:val="0"/>
          <w:trHeight w:val="489" w:hRule="atLeast"/>
          <w:tblHeader w:val="0"/>
        </w:trPr>
        <w:tc>
          <w:tcPr>
            <w:vAlign w:val="center"/>
          </w:tcPr>
          <w:p>
            <w:pPr>
              <w:spacing w:after="20" w:before="0"/>
            </w:pPr>
            <w:r>
              <w:rPr>
                <w:rFonts w:ascii="Arial" w:hAnsi="Arial"/>
                <w:b w:val="0"/>
                <w:sz w:val="15"/>
              </w:rPr>
              <w:t>5</w:t>
            </w:r>
          </w:p>
        </w:tc>
        <w:tc>
          <w:tcPr>
            <w:vAlign w:val="center"/>
          </w:tcPr>
          <w:p>
            <w:pPr>
              <w:spacing w:after="20" w:before="0"/>
            </w:pPr>
            <w:r>
              <w:rPr>
                <w:rFonts w:ascii="Arial" w:hAnsi="Arial"/>
                <w:b w:val="0"/>
                <w:sz w:val="15"/>
              </w:rPr>
              <w:t>User Interaction &amp; Analysis</w:t>
            </w:r>
          </w:p>
        </w:tc>
        <w:tc>
          <w:tcPr>
            <w:vAlign w:val="center"/>
          </w:tcPr>
          <w:p>
            <w:pPr>
              <w:spacing w:after="20" w:before="0"/>
            </w:pPr>
            <w:r>
              <w:rPr>
                <w:rFonts w:ascii="Arial" w:hAnsi="Arial"/>
                <w:b w:val="0"/>
                <w:sz w:val="15"/>
              </w:rPr>
              <w:t>Allow users to filter by season, driver, team/constructor, nationality, circuit type, host country, tyre compound and failure type when available; support comparisons and drill-downs.</w:t>
            </w:r>
          </w:p>
        </w:tc>
        <w:tc>
          <w:tcPr>
            <w:vAlign w:val="center"/>
          </w:tcPr>
          <w:p>
            <w:pPr>
              <w:spacing w:after="20" w:before="0"/>
            </w:pPr>
            <w:r>
              <w:rPr>
                <w:rFonts w:ascii="Arial" w:hAnsi="Arial"/>
                <w:b w:val="0"/>
                <w:sz w:val="15"/>
              </w:rPr>
              <w:t>High</w:t>
            </w:r>
          </w:p>
        </w:tc>
      </w:tr>
      <w:tr>
        <w:trPr>
          <w:cantSplit w:val="0"/>
          <w:trHeight w:val="489" w:hRule="atLeast"/>
          <w:tblHeader w:val="0"/>
        </w:trPr>
        <w:tc>
          <w:tcPr>
            <w:vAlign w:val="center"/>
          </w:tcPr>
          <w:p>
            <w:pPr>
              <w:spacing w:after="20" w:before="0"/>
            </w:pPr>
            <w:r>
              <w:rPr>
                <w:rFonts w:ascii="Arial" w:hAnsi="Arial"/>
                <w:b w:val="0"/>
                <w:sz w:val="15"/>
              </w:rPr>
              <w:t>6</w:t>
            </w:r>
          </w:p>
        </w:tc>
        <w:tc>
          <w:tcPr>
            <w:vAlign w:val="center"/>
          </w:tcPr>
          <w:p>
            <w:pPr>
              <w:spacing w:after="20" w:before="0"/>
            </w:pPr>
            <w:r>
              <w:rPr>
                <w:rFonts w:ascii="Arial" w:hAnsi="Arial"/>
                <w:b w:val="0"/>
                <w:sz w:val="15"/>
              </w:rPr>
              <w:t>Data Update &amp; Reporting</w:t>
            </w:r>
          </w:p>
        </w:tc>
        <w:tc>
          <w:tcPr>
            <w:vAlign w:val="center"/>
          </w:tcPr>
          <w:p>
            <w:pPr>
              <w:spacing w:after="20" w:before="0"/>
            </w:pPr>
            <w:r>
              <w:rPr>
                <w:rFonts w:ascii="Arial" w:hAnsi="Arial"/>
                <w:b w:val="0"/>
                <w:sz w:val="15"/>
              </w:rPr>
              <w:t>Provide a repeatable dataset refresh and validation process; enable users to present or export dashboard views for strategy meetings, broadcast graphics and technical regulation reports. Refresh frequency depends on source-data availability.</w:t>
            </w:r>
          </w:p>
        </w:tc>
        <w:tc>
          <w:tcPr>
            <w:vAlign w:val="center"/>
          </w:tcPr>
          <w:p>
            <w:pPr>
              <w:spacing w:after="20" w:before="0"/>
            </w:pPr>
            <w:r>
              <w:rPr>
                <w:rFonts w:ascii="Arial" w:hAnsi="Arial"/>
                <w:b w:val="0"/>
                <w:sz w:val="15"/>
              </w:rPr>
              <w:t>Medium</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C">
      <w:pPr>
        <w:spacing w:after="0" w:lineRule="auto"/>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Non-Functional Requirement</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tc>
      </w:tr>
      <w:tr>
        <w:trPr>
          <w:cantSplit w:val="0"/>
          <w:trHeight w:val="489" w:hRule="atLeast"/>
          <w:tblHeader w:val="0"/>
        </w:trPr>
        <w:tc>
          <w:tcPr>
            <w:vAlign w:val="center"/>
          </w:tcPr>
          <w:p>
            <w:pPr>
              <w:spacing w:after="20" w:before="0"/>
            </w:pPr>
            <w:r>
              <w:rPr>
                <w:rFonts w:ascii="Arial" w:hAnsi="Arial"/>
                <w:b w:val="0"/>
                <w:sz w:val="16"/>
              </w:rPr>
              <w:t>NFR-1</w:t>
            </w:r>
          </w:p>
        </w:tc>
        <w:tc>
          <w:tcPr>
            <w:vAlign w:val="center"/>
          </w:tcPr>
          <w:p>
            <w:pPr>
              <w:spacing w:after="20" w:before="0"/>
            </w:pPr>
            <w:r>
              <w:rPr>
                <w:rFonts w:ascii="Arial" w:hAnsi="Arial"/>
                <w:b w:val="0"/>
                <w:sz w:val="16"/>
              </w:rPr>
              <w:t>Usability</w:t>
            </w:r>
          </w:p>
        </w:tc>
        <w:tc>
          <w:tcPr>
            <w:vAlign w:val="center"/>
          </w:tcPr>
          <w:p>
            <w:pPr>
              <w:spacing w:after="20" w:before="0"/>
            </w:pPr>
            <w:r>
              <w:rPr>
                <w:rFonts w:ascii="Arial" w:hAnsi="Arial"/>
                <w:b w:val="0"/>
                <w:sz w:val="16"/>
              </w:rPr>
              <w:t>Use clear chart titles, readable labels, consistent colours and intuitive filters so strategists, journalists and technical analysts can navigate the dashboard.</w:t>
            </w:r>
          </w:p>
        </w:tc>
      </w:tr>
      <w:tr>
        <w:trPr>
          <w:cantSplit w:val="0"/>
          <w:trHeight w:val="489" w:hRule="atLeast"/>
          <w:tblHeader w:val="0"/>
        </w:trPr>
        <w:tc>
          <w:tcPr>
            <w:vAlign w:val="center"/>
          </w:tcPr>
          <w:p>
            <w:pPr>
              <w:spacing w:after="20" w:before="0"/>
            </w:pPr>
            <w:r>
              <w:rPr>
                <w:rFonts w:ascii="Arial" w:hAnsi="Arial"/>
                <w:b w:val="0"/>
                <w:sz w:val="16"/>
              </w:rPr>
              <w:t>NFR-2</w:t>
            </w:r>
          </w:p>
        </w:tc>
        <w:tc>
          <w:tcPr>
            <w:vAlign w:val="center"/>
          </w:tcPr>
          <w:p>
            <w:pPr>
              <w:spacing w:after="20" w:before="0"/>
            </w:pPr>
            <w:r>
              <w:rPr>
                <w:rFonts w:ascii="Arial" w:hAnsi="Arial"/>
                <w:b w:val="0"/>
                <w:sz w:val="16"/>
              </w:rPr>
              <w:t>Security</w:t>
            </w:r>
          </w:p>
        </w:tc>
        <w:tc>
          <w:tcPr>
            <w:vAlign w:val="center"/>
          </w:tcPr>
          <w:p>
            <w:pPr>
              <w:spacing w:after="20" w:before="0"/>
            </w:pPr>
            <w:r>
              <w:rPr>
                <w:rFonts w:ascii="Arial" w:hAnsi="Arial"/>
                <w:b w:val="0"/>
                <w:sz w:val="16"/>
              </w:rPr>
              <w:t>Use appropriate access permissions for workbook and data sources; avoid exposing restricted internal team information in public dashboard links.</w:t>
            </w:r>
          </w:p>
        </w:tc>
      </w:tr>
      <w:tr>
        <w:trPr>
          <w:cantSplit w:val="0"/>
          <w:trHeight w:val="470" w:hRule="atLeast"/>
          <w:tblHeader w:val="0"/>
        </w:trPr>
        <w:tc>
          <w:tcPr>
            <w:vAlign w:val="center"/>
          </w:tcPr>
          <w:p>
            <w:pPr>
              <w:spacing w:after="20" w:before="0"/>
            </w:pPr>
            <w:r>
              <w:rPr>
                <w:rFonts w:ascii="Arial" w:hAnsi="Arial"/>
                <w:b w:val="0"/>
                <w:sz w:val="16"/>
              </w:rPr>
              <w:t>NFR-3</w:t>
            </w:r>
          </w:p>
        </w:tc>
        <w:tc>
          <w:tcPr>
            <w:vAlign w:val="center"/>
          </w:tcPr>
          <w:p>
            <w:pPr>
              <w:spacing w:after="20" w:before="0"/>
            </w:pPr>
            <w:r>
              <w:rPr>
                <w:rFonts w:ascii="Arial" w:hAnsi="Arial"/>
                <w:b w:val="0"/>
                <w:sz w:val="16"/>
              </w:rPr>
              <w:t>Reliability</w:t>
            </w:r>
          </w:p>
        </w:tc>
        <w:tc>
          <w:tcPr>
            <w:vAlign w:val="center"/>
          </w:tcPr>
          <w:p>
            <w:pPr>
              <w:spacing w:after="20" w:before="0"/>
            </w:pPr>
            <w:r>
              <w:rPr>
                <w:rFonts w:ascii="Arial" w:hAnsi="Arial"/>
                <w:b w:val="0"/>
                <w:sz w:val="16"/>
              </w:rPr>
              <w:t>Validate data quality and ensure dashboard calculations match the underlying dataset.</w:t>
            </w:r>
          </w:p>
        </w:tc>
      </w:tr>
      <w:tr>
        <w:trPr>
          <w:cantSplit w:val="0"/>
          <w:trHeight w:val="489" w:hRule="atLeast"/>
          <w:tblHeader w:val="0"/>
        </w:trPr>
        <w:tc>
          <w:tcPr>
            <w:vAlign w:val="center"/>
          </w:tcPr>
          <w:p>
            <w:pPr>
              <w:spacing w:after="20" w:before="0"/>
            </w:pPr>
            <w:r>
              <w:rPr>
                <w:rFonts w:ascii="Arial" w:hAnsi="Arial"/>
                <w:b w:val="0"/>
                <w:sz w:val="16"/>
              </w:rPr>
              <w:t>NFR-4</w:t>
            </w:r>
          </w:p>
        </w:tc>
        <w:tc>
          <w:tcPr>
            <w:vAlign w:val="center"/>
          </w:tcPr>
          <w:p>
            <w:pPr>
              <w:spacing w:after="20" w:before="0"/>
            </w:pPr>
            <w:r>
              <w:rPr>
                <w:rFonts w:ascii="Arial" w:hAnsi="Arial"/>
                <w:b w:val="0"/>
                <w:sz w:val="16"/>
              </w:rPr>
              <w:t>Performance</w:t>
            </w:r>
          </w:p>
        </w:tc>
        <w:tc>
          <w:tcPr>
            <w:vAlign w:val="center"/>
          </w:tcPr>
          <w:p>
            <w:pPr>
              <w:spacing w:after="20" w:before="0"/>
            </w:pPr>
            <w:r>
              <w:rPr>
                <w:rFonts w:ascii="Arial" w:hAnsi="Arial"/>
                <w:b w:val="0"/>
                <w:sz w:val="16"/>
              </w:rPr>
              <w:t>Optimize extracts, calculations and dashboard layout so filters and visualizations respond promptly on the available dataset.</w:t>
            </w:r>
          </w:p>
        </w:tc>
      </w:tr>
      <w:tr>
        <w:trPr>
          <w:cantSplit w:val="0"/>
          <w:trHeight w:val="489" w:hRule="atLeast"/>
          <w:tblHeader w:val="0"/>
        </w:trPr>
        <w:tc>
          <w:tcPr>
            <w:vAlign w:val="center"/>
          </w:tcPr>
          <w:p>
            <w:pPr>
              <w:spacing w:after="20" w:before="0"/>
            </w:pPr>
            <w:r>
              <w:rPr>
                <w:rFonts w:ascii="Arial" w:hAnsi="Arial"/>
                <w:b w:val="0"/>
                <w:sz w:val="16"/>
              </w:rPr>
              <w:t>NFR-5</w:t>
            </w:r>
          </w:p>
        </w:tc>
        <w:tc>
          <w:tcPr>
            <w:vAlign w:val="center"/>
          </w:tcPr>
          <w:p>
            <w:pPr>
              <w:spacing w:after="20" w:before="0"/>
            </w:pPr>
            <w:r>
              <w:rPr>
                <w:rFonts w:ascii="Arial" w:hAnsi="Arial"/>
                <w:b w:val="0"/>
                <w:sz w:val="16"/>
              </w:rPr>
              <w:t>Availability</w:t>
            </w:r>
          </w:p>
        </w:tc>
        <w:tc>
          <w:tcPr>
            <w:vAlign w:val="center"/>
          </w:tcPr>
          <w:p>
            <w:pPr>
              <w:spacing w:after="20" w:before="0"/>
            </w:pPr>
            <w:r>
              <w:rPr>
                <w:rFonts w:ascii="Arial" w:hAnsi="Arial"/>
                <w:b w:val="0"/>
                <w:sz w:val="16"/>
              </w:rPr>
              <w:t>Publish on an agreed Tableau platform and ensure intended users have access when needed; availability depends on the selected hosting/service plan.</w:t>
            </w:r>
          </w:p>
        </w:tc>
      </w:tr>
      <w:tr>
        <w:trPr>
          <w:cantSplit w:val="0"/>
          <w:trHeight w:val="489" w:hRule="atLeast"/>
          <w:tblHeader w:val="0"/>
        </w:trPr>
        <w:tc>
          <w:tcPr>
            <w:vAlign w:val="center"/>
          </w:tcPr>
          <w:p>
            <w:pPr>
              <w:spacing w:after="20" w:before="0"/>
            </w:pPr>
            <w:r>
              <w:rPr>
                <w:rFonts w:ascii="Arial" w:hAnsi="Arial"/>
                <w:b w:val="0"/>
                <w:sz w:val="16"/>
              </w:rPr>
              <w:t>NFR-6</w:t>
            </w:r>
          </w:p>
        </w:tc>
        <w:tc>
          <w:tcPr>
            <w:vAlign w:val="center"/>
          </w:tcPr>
          <w:p>
            <w:pPr>
              <w:spacing w:after="20" w:before="0"/>
            </w:pPr>
            <w:r>
              <w:rPr>
                <w:rFonts w:ascii="Arial" w:hAnsi="Arial"/>
                <w:b w:val="0"/>
                <w:sz w:val="16"/>
              </w:rPr>
              <w:t>Scalability</w:t>
            </w:r>
          </w:p>
        </w:tc>
        <w:tc>
          <w:tcPr>
            <w:vAlign w:val="center"/>
          </w:tcPr>
          <w:p>
            <w:pPr>
              <w:spacing w:after="20" w:before="0"/>
            </w:pPr>
            <w:r>
              <w:rPr>
                <w:rFonts w:ascii="Arial" w:hAnsi="Arial"/>
                <w:b w:val="0"/>
                <w:sz w:val="16"/>
              </w:rPr>
              <w:t>Allow additional seasons, races, drivers, teams and analysis dimensions to be incorporated without redesigning the entire workbook.</w:t>
            </w:r>
          </w:p>
        </w:tc>
      </w:tr>
    </w:tbl>
    <w:p w:rsidR="00000000" w:rsidDel="00000000" w:rsidP="00000000" w:rsidRDefault="00000000" w:rsidRPr="00000000" w14:paraId="00000042">
      <w:pPr>
        <w:rPr/>
      </w:pP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6534150</wp:posOffset>
          </wp:positionH>
          <wp:positionV relativeFrom="page">
            <wp:posOffset>173355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