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Design Phase-I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Solution Architecture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4">
            <w:pPr>
              <w:spacing w:after="40"/>
              <w:rPr/>
            </w:pPr>
            <w:r w:rsidDel="00000000" w:rsidR="00000000" w:rsidRPr="00000000">
              <w:rPr>
                <w:sz w:val="16"/>
                <w:rtl w:val="0"/>
              </w:rPr>
              <w:t xml:space="preserve">Date</w:t>
            </w:r>
          </w:p>
        </w:tc>
        <w:tc>
          <w:tcPr>
            <w:vAlign w:val="center"/>
          </w:tcPr>
          <w:p>
            <w:pPr>
              <w:spacing w:after="40"/>
            </w:pPr>
            <w:r>
              <w:rPr>
                <w:sz w:val="16"/>
              </w:rPr>
              <w:t>27 October 2026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6">
            <w:pPr>
              <w:spacing w:after="40"/>
              <w:rPr/>
            </w:pPr>
            <w:r w:rsidDel="00000000" w:rsidR="00000000" w:rsidRPr="00000000">
              <w:rPr>
                <w:sz w:val="16"/>
                <w:rtl w:val="0"/>
              </w:rPr>
              <w:t xml:space="preserve">Team ID</w:t>
            </w:r>
          </w:p>
        </w:tc>
        <w:tc>
          <w:tcPr>
            <w:vAlign w:val="center"/>
          </w:tcPr>
          <w:p>
            <w:pPr>
              <w:spacing w:after="40"/>
            </w:pPr>
            <w:r>
              <w:rPr>
                <w:sz w:val="16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spacing w:after="40"/>
              <w:rPr/>
            </w:pPr>
            <w:r w:rsidDel="00000000" w:rsidR="00000000" w:rsidRPr="00000000">
              <w:rPr>
                <w:sz w:val="16"/>
                <w:rtl w:val="0"/>
              </w:rPr>
              <w:t xml:space="preserve">Project Name</w:t>
            </w:r>
          </w:p>
        </w:tc>
        <w:tc>
          <w:tcPr>
            <w:vAlign w:val="center"/>
          </w:tcPr>
          <w:p>
            <w:pPr>
              <w:spacing w:after="40"/>
            </w:pPr>
            <w:r>
              <w:rPr>
                <w:sz w:val="16"/>
              </w:rPr>
              <w:t>FORMULA 1 Race Intelligence Dashboard Analysis Report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spacing w:after="40"/>
              <w:rPr/>
            </w:pPr>
            <w:r w:rsidDel="00000000" w:rsidR="00000000" w:rsidRPr="00000000">
              <w:rPr>
                <w:sz w:val="16"/>
                <w:rtl w:val="0"/>
              </w:rPr>
              <w:t xml:space="preserve">Maximum Marks</w:t>
            </w:r>
          </w:p>
        </w:tc>
        <w:tc>
          <w:tcPr>
            <w:vAlign w:val="center"/>
          </w:tcPr>
          <w:p>
            <w:pPr>
              <w:spacing w:after="40"/>
            </w:pPr>
            <w:r>
              <w:rPr>
                <w:sz w:val="16"/>
              </w:rPr>
              <w:t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Solution Architecture:</w:t>
      </w:r>
    </w:p>
    <w:p w:rsidR="00000000" w:rsidDel="00000000" w:rsidP="00000000" w:rsidRDefault="00000000" w:rsidRPr="00000000" w14:paraId="0000000E">
      <w:pPr>
        <w:shd w:fill="ffffff" w:val="clear"/>
        <w:spacing w:after="375"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Solution architecture is a complex process – with many sub-processes – that bridges the gap between business problems and technology solutions. Its goals are to: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spacing w:after="150" w:before="28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Find the best tech solution to solve existing business problems.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spacing w:after="150" w:before="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Describe the structure, characteristics, behavior, and other aspects of the software to project stakeholders.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spacing w:after="150" w:before="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Define features, development phases, and solution requirements.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spacing w:after="150" w:before="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Provide specifications according to which the solution is defined, managed, and delivered.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Sample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Solution Architecture Diagram</w:t>
      </w:r>
      <w:r w:rsidDel="00000000" w:rsidR="00000000" w:rsidRPr="00000000">
        <w:rPr>
          <w:b w:val="1"/>
          <w:bCs w:val="1"/>
          <w:rtl w:val="0"/>
        </w:rPr>
        <w:t xml:space="preserve">: </w:t>
      </w:r>
    </w:p>
    <w:p w:rsidR="00000000" w:rsidDel="00000000" w:rsidP="00000000" w:rsidRDefault="00000000" w:rsidRPr="00000000" w14:paraId="00000015">
      <w:pPr>
        <w:tabs>
          <w:tab w:val="left" w:leader="none" w:pos="5529"/>
        </w:tabs>
        <w:ind w:left="2160" w:firstLine="0"/>
        <w:jc w:val="center"/>
        <w:rPr>
          <w:b w:val="1"/>
          <w:bCs w:val="1"/>
        </w:rPr>
      </w:pPr>
      <w:r>
        <w:rPr>
          <w:sz w:val="18"/>
        </w:rPr>
      </w:r>
      <w:r>
        <w:rPr>
          <w:b/>
          <w:sz w:val="18"/>
        </w:rPr>
        <w:t>DATA SOURCES (6,464 race records / 17 seasons)</w:t>
        <w:br/>
      </w:r>
      <w:r>
        <w:rPr>
          <w:sz w:val="18"/>
        </w:rPr>
        <w:t xml:space="preserve">        ↓</w:t>
        <w:br/>
        <w:t>DATA PREPARATION &amp; VALIDATION</w:t>
        <w:br/>
        <w:t xml:space="preserve">        ↓</w:t>
        <w:br/>
        <w:t>TABLEAU DATA MODEL / MEASURES</w:t>
        <w:br/>
        <w:t xml:space="preserve">        ↓</w:t>
        <w:br/>
        <w:t>WORKSHEETS: Driver Points • Constructor Trends • Tyres • Circuits • Podiums • DNF/Reliability</w:t>
        <w:br/>
        <w:t xml:space="preserve">        ↓</w:t>
        <w:br/>
        <w:t>INTERACTIVE DASHBOARDS + TABLEAU STORY</w:t>
        <w:br/>
        <w:t xml:space="preserve">        ↓</w:t>
        <w:br/>
        <w:t>STRATEGY • BROADCAST INSIGHTS • REGULATION REVIEW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Component Description Table</w:t>
      </w:r>
    </w:p>
    <w:sdt>
      <w:sdtPr>
        <w:lock w:val="contentLocked"/>
        <w:id w:val="-439335461"/>
        <w:tag w:val="goog_rdk_0"/>
      </w:sdtPr>
      <w:sdtContent>
        <w:tbl>
          <w:tblPr>
            <w:tblStyle w:val="Table2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010"/>
            <w:gridCol w:w="3990"/>
            <w:gridCol w:w="3000"/>
            <w:tblGridChange w:id="0">
              <w:tblGrid>
                <w:gridCol w:w="2010"/>
                <w:gridCol w:w="3990"/>
                <w:gridCol w:w="300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9">
                <w:pPr>
                  <w:widowControl w:val="0"/>
                  <w:spacing w:after="0" w:line="24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Component Name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Description / Role in Architecture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Technology Used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vAlign w:val="center"/>
          </w:tcPr>
          <w:p>
            <w:pPr>
              <w:spacing w:after="40"/>
            </w:pPr>
            <w:r>
              <w:rPr>
                <w:sz w:val="16"/>
              </w:rPr>
              <w:t>Component Name</w:t>
            </w:r>
          </w:p>
        </w:tc>
        <w:tc>
          <w:tcPr>
            <w:tcW w:type="dxa" w:w="3009"/>
            <w:vAlign w:val="center"/>
          </w:tcPr>
          <w:p>
            <w:pPr>
              <w:spacing w:after="40"/>
            </w:pPr>
            <w:r>
              <w:rPr>
                <w:sz w:val="16"/>
              </w:rPr>
              <w:t>Description / Role in Architecture</w:t>
            </w:r>
          </w:p>
        </w:tc>
        <w:tc>
          <w:tcPr>
            <w:tcW w:type="dxa" w:w="3009"/>
            <w:vAlign w:val="center"/>
          </w:tcPr>
          <w:p>
            <w:pPr>
              <w:spacing w:after="40"/>
            </w:pPr>
            <w:r>
              <w:rPr>
                <w:sz w:val="16"/>
              </w:rPr>
              <w:t>Technology Used</w:t>
            </w:r>
          </w:p>
        </w:tc>
      </w:tr>
      <w:tr>
        <w:tc>
          <w:tcPr>
            <w:tcW w:type="dxa" w:w="3009"/>
            <w:vAlign w:val="center"/>
          </w:tcPr>
          <w:p>
            <w:pPr>
              <w:spacing w:after="40"/>
            </w:pPr>
            <w:r>
              <w:rPr>
                <w:sz w:val="16"/>
              </w:rPr>
              <w:t>Race Dataset</w:t>
            </w:r>
          </w:p>
        </w:tc>
        <w:tc>
          <w:tcPr>
            <w:tcW w:type="dxa" w:w="3009"/>
            <w:vAlign w:val="center"/>
          </w:tcPr>
          <w:p>
            <w:pPr>
              <w:spacing w:after="40"/>
            </w:pPr>
            <w:r>
              <w:rPr>
                <w:sz w:val="16"/>
              </w:rPr>
              <w:t>Stores race-level records and dimensions such as seasons, drivers, teams, circuits, tyres, results and failure outcomes.</w:t>
            </w:r>
          </w:p>
        </w:tc>
        <w:tc>
          <w:tcPr>
            <w:tcW w:type="dxa" w:w="3009"/>
            <w:vAlign w:val="center"/>
          </w:tcPr>
          <w:p>
            <w:pPr>
              <w:spacing w:after="40"/>
            </w:pPr>
            <w:r>
              <w:rPr>
                <w:sz w:val="16"/>
              </w:rPr>
              <w:t>Tabular data / CSV or spreadsheet (exact source format not specified)</w:t>
            </w:r>
          </w:p>
        </w:tc>
      </w:tr>
      <w:tr>
        <w:tc>
          <w:tcPr>
            <w:tcW w:type="dxa" w:w="3009"/>
            <w:vAlign w:val="center"/>
          </w:tcPr>
          <w:p>
            <w:pPr>
              <w:spacing w:after="40"/>
            </w:pPr>
            <w:r>
              <w:rPr>
                <w:sz w:val="16"/>
              </w:rPr>
              <w:t>Data Preparation</w:t>
            </w:r>
          </w:p>
        </w:tc>
        <w:tc>
          <w:tcPr>
            <w:tcW w:type="dxa" w:w="3009"/>
            <w:vAlign w:val="center"/>
          </w:tcPr>
          <w:p>
            <w:pPr>
              <w:spacing w:after="40"/>
            </w:pPr>
            <w:r>
              <w:rPr>
                <w:sz w:val="16"/>
              </w:rPr>
              <w:t>Checks field consistency, missing values and usable categories before visualization.</w:t>
            </w:r>
          </w:p>
        </w:tc>
        <w:tc>
          <w:tcPr>
            <w:tcW w:type="dxa" w:w="3009"/>
            <w:vAlign w:val="center"/>
          </w:tcPr>
          <w:p>
            <w:pPr>
              <w:spacing w:after="40"/>
            </w:pPr>
            <w:r>
              <w:rPr>
                <w:sz w:val="16"/>
              </w:rPr>
              <w:t>Spreadsheet tools; optional Python/pandas</w:t>
            </w:r>
          </w:p>
        </w:tc>
      </w:tr>
      <w:tr>
        <w:tc>
          <w:tcPr>
            <w:tcW w:type="dxa" w:w="3009"/>
            <w:vAlign w:val="center"/>
          </w:tcPr>
          <w:p>
            <w:pPr>
              <w:spacing w:after="40"/>
            </w:pPr>
            <w:r>
              <w:rPr>
                <w:sz w:val="16"/>
              </w:rPr>
              <w:t>Data Model &amp; Measures</w:t>
            </w:r>
          </w:p>
        </w:tc>
        <w:tc>
          <w:tcPr>
            <w:tcW w:type="dxa" w:w="3009"/>
            <w:vAlign w:val="center"/>
          </w:tcPr>
          <w:p>
            <w:pPr>
              <w:spacing w:after="40"/>
            </w:pPr>
            <w:r>
              <w:rPr>
                <w:sz w:val="16"/>
              </w:rPr>
              <w:t>Defines dimensions and measures used for points, podiums, tyre compounds, DNFs and completion/reliability views.</w:t>
            </w:r>
          </w:p>
        </w:tc>
        <w:tc>
          <w:tcPr>
            <w:tcW w:type="dxa" w:w="3009"/>
            <w:vAlign w:val="center"/>
          </w:tcPr>
          <w:p>
            <w:pPr>
              <w:spacing w:after="40"/>
            </w:pPr>
            <w:r>
              <w:rPr>
                <w:sz w:val="16"/>
              </w:rPr>
              <w:t>Tableau data source and calculated fields</w:t>
            </w:r>
          </w:p>
        </w:tc>
      </w:tr>
      <w:tr>
        <w:tc>
          <w:tcPr>
            <w:tcW w:type="dxa" w:w="3009"/>
            <w:vAlign w:val="center"/>
          </w:tcPr>
          <w:p>
            <w:pPr>
              <w:spacing w:after="40"/>
            </w:pPr>
            <w:r>
              <w:rPr>
                <w:sz w:val="16"/>
              </w:rPr>
              <w:t>Analytical Worksheets</w:t>
            </w:r>
          </w:p>
        </w:tc>
        <w:tc>
          <w:tcPr>
            <w:tcW w:type="dxa" w:w="3009"/>
            <w:vAlign w:val="center"/>
          </w:tcPr>
          <w:p>
            <w:pPr>
              <w:spacing w:after="40"/>
            </w:pPr>
            <w:r>
              <w:rPr>
                <w:sz w:val="16"/>
              </w:rPr>
              <w:t>Creates driver leaderboard, constructors' points trajectory, tyre strategy comparison, host-country counts, podium distributions and DNF analysis.</w:t>
            </w:r>
          </w:p>
        </w:tc>
        <w:tc>
          <w:tcPr>
            <w:tcW w:type="dxa" w:w="3009"/>
            <w:vAlign w:val="center"/>
          </w:tcPr>
          <w:p>
            <w:pPr>
              <w:spacing w:after="40"/>
            </w:pPr>
            <w:r>
              <w:rPr>
                <w:sz w:val="16"/>
              </w:rPr>
              <w:t>Tableau worksheets</w:t>
            </w:r>
          </w:p>
        </w:tc>
      </w:tr>
      <w:tr>
        <w:tc>
          <w:tcPr>
            <w:tcW w:type="dxa" w:w="3009"/>
            <w:vAlign w:val="center"/>
          </w:tcPr>
          <w:p>
            <w:pPr>
              <w:spacing w:after="40"/>
            </w:pPr>
            <w:r>
              <w:rPr>
                <w:sz w:val="16"/>
              </w:rPr>
              <w:t>Interactive Dashboards</w:t>
            </w:r>
          </w:p>
        </w:tc>
        <w:tc>
          <w:tcPr>
            <w:tcW w:type="dxa" w:w="3009"/>
            <w:vAlign w:val="center"/>
          </w:tcPr>
          <w:p>
            <w:pPr>
              <w:spacing w:after="40"/>
            </w:pPr>
            <w:r>
              <w:rPr>
                <w:sz w:val="16"/>
              </w:rPr>
              <w:t>Combines charts with filters so users can explore seasons, drivers, teams, circuits and compounds.</w:t>
            </w:r>
          </w:p>
        </w:tc>
        <w:tc>
          <w:tcPr>
            <w:tcW w:type="dxa" w:w="3009"/>
            <w:vAlign w:val="center"/>
          </w:tcPr>
          <w:p>
            <w:pPr>
              <w:spacing w:after="40"/>
            </w:pPr>
            <w:r>
              <w:rPr>
                <w:sz w:val="16"/>
              </w:rPr>
              <w:t>Tableau dashboards</w:t>
            </w:r>
          </w:p>
        </w:tc>
      </w:tr>
      <w:tr>
        <w:tc>
          <w:tcPr>
            <w:tcW w:type="dxa" w:w="3009"/>
            <w:vAlign w:val="center"/>
          </w:tcPr>
          <w:p>
            <w:pPr>
              <w:spacing w:after="40"/>
            </w:pPr>
            <w:r>
              <w:rPr>
                <w:sz w:val="16"/>
              </w:rPr>
              <w:t>Tableau Story</w:t>
            </w:r>
          </w:p>
        </w:tc>
        <w:tc>
          <w:tcPr>
            <w:tcW w:type="dxa" w:w="3009"/>
            <w:vAlign w:val="center"/>
          </w:tcPr>
          <w:p>
            <w:pPr>
              <w:spacing w:after="40"/>
            </w:pPr>
            <w:r>
              <w:rPr>
                <w:sz w:val="16"/>
              </w:rPr>
              <w:t>Organizes key findings for team strategy, broadcast analysis and technical regulation review.</w:t>
            </w:r>
          </w:p>
        </w:tc>
        <w:tc>
          <w:tcPr>
            <w:tcW w:type="dxa" w:w="3009"/>
            <w:vAlign w:val="center"/>
          </w:tcPr>
          <w:p>
            <w:pPr>
              <w:spacing w:after="40"/>
            </w:pPr>
            <w:r>
              <w:rPr>
                <w:sz w:val="16"/>
              </w:rPr>
              <w:t>Tableau Story</w:t>
            </w:r>
          </w:p>
        </w:tc>
      </w:tr>
      <w:tr>
        <w:tc>
          <w:tcPr>
            <w:tcW w:type="dxa" w:w="3009"/>
            <w:vAlign w:val="center"/>
          </w:tcPr>
          <w:p>
            <w:pPr>
              <w:spacing w:after="40"/>
            </w:pPr>
            <w:r>
              <w:rPr>
                <w:sz w:val="16"/>
              </w:rPr>
              <w:t>Users / Outputs</w:t>
            </w:r>
          </w:p>
        </w:tc>
        <w:tc>
          <w:tcPr>
            <w:tcW w:type="dxa" w:w="3009"/>
            <w:vAlign w:val="center"/>
          </w:tcPr>
          <w:p>
            <w:pPr>
              <w:spacing w:after="40"/>
            </w:pPr>
            <w:r>
              <w:rPr>
                <w:sz w:val="16"/>
              </w:rPr>
              <w:t>Delivers evidence-based visuals for strategists, journalists and technical analysts.</w:t>
            </w:r>
          </w:p>
        </w:tc>
        <w:tc>
          <w:tcPr>
            <w:tcW w:type="dxa" w:w="3009"/>
            <w:vAlign w:val="center"/>
          </w:tcPr>
          <w:p>
            <w:pPr>
              <w:spacing w:after="40"/>
            </w:pPr>
            <w:r>
              <w:rPr>
                <w:sz w:val="16"/>
              </w:rPr>
              <w:t>Tableau interactive views / exported visuals</w:t>
            </w:r>
          </w:p>
        </w:tc>
      </w:tr>
    </w:tbl>
    <w:sectPr>
      <w:headerReference r:id="rId8" w:type="default"/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6553200</wp:posOffset>
          </wp:positionH>
          <wp:positionV relativeFrom="page">
            <wp:posOffset>239913</wp:posOffset>
          </wp:positionV>
          <wp:extent cx="864691" cy="395288"/>
          <wp:effectExtent b="0" l="0" r="0" t="0"/>
          <wp:wrapNone/>
          <wp:docPr id="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64691" cy="39528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76200</wp:posOffset>
          </wp:positionH>
          <wp:positionV relativeFrom="page">
            <wp:posOffset>144663</wp:posOffset>
          </wp:positionV>
          <wp:extent cx="1376363" cy="589870"/>
          <wp:effectExtent b="0" l="0" r="0" t="0"/>
          <wp:wrapNone/>
          <wp:docPr id="4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7692" l="0" r="7692" t="0"/>
                  <a:stretch>
                    <a:fillRect/>
                  </a:stretch>
                </pic:blipFill>
                <pic:spPr>
                  <a:xfrm>
                    <a:off x="0" y="0"/>
                    <a:ext cx="1376363" cy="58987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paragraph" w:styleId="NormalWeb">
    <w:name w:val="Normal (Web)"/>
    <w:basedOn w:val="Normal"/>
    <w:uiPriority w:val="99"/>
    <w:semiHidden w:val="1"/>
    <w:unhideWhenUsed w:val="1"/>
    <w:rsid w:val="009067B1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 w:val="1"/>
    <w:rsid w:val="008E20B8"/>
    <w:rPr>
      <w:i w:val="1"/>
      <w:i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6kzLwCLXBqfgnFrwvmWhfF8j69Q==">CgMxLjAaHwoBMBIaChgICVIUChJ0YWJsZS5hcTFjZTE5ZmY4dHM4AHIhMXZzTEYwOHlxOEhxWnRKT05LektVLVNTNGdOcGdjczVO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2022-10-03T08:27:00Z</dcterms:created>
  <dc:creator>Amarender Katkam</dc:creator>
</cp:coreProperties>
</file>