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rsidR="00000000" w:rsidDel="00000000" w:rsidP="00000000" w:rsidRDefault="00000000" w:rsidRPr="00000000" w14:paraId="00000004">
            <w:pPr>
              <w:widowControl w:val="0"/>
              <w:spacing w:after="0" w:line="240" w:lineRule="auto"/>
              <w:ind w:left="131" w:firstLine="0"/>
              <w:rPr/>
            </w:pPr>
            <w:r w:rsidDel="00000000" w:rsidR="00000000" w:rsidRPr="00000000">
              <w:rPr>
                <w:rtl w:val="0"/>
              </w:rPr>
              <w:t xml:space="preserve">24 September 2024</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after="0" w:line="240" w:lineRule="auto"/>
              <w:ind w:left="131" w:firstLine="0"/>
              <w:rPr/>
            </w:pPr>
            <w:r>
              <w:rPr>
                <w:highlight w:val="yellow"/>
                <w:rtl w:val="0"/>
              </w:rPr>
              <w:t>[PNT2022TMIDxxxxxx – enter your Team ID]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after="0" w:line="240" w:lineRule="auto"/>
              <w:ind w:left="131" w:firstLine="0"/>
              <w:rPr/>
            </w:pPr>
            <w:r>
              <w:rPr>
                <w:rtl w:val="0"/>
              </w:rPr>
              <w:t>Formula 1 Race Intelligence Dashboard Analysis Report</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rPr>
      </w:pPr>
      <w:r w:rsidDel="00000000" w:rsidR="00000000" w:rsidRPr="00000000">
        <w:rPr>
          <w:rFonts w:ascii="Cambria" w:cs="Cambria" w:eastAsia="Cambria" w:hAnsi="Cambria"/>
          <w:b w:val="1"/>
          <w:bCs w:val="1"/>
          <w:color w:val="000000"/>
          <w:sz w:val="32"/>
          <w:szCs w:val="32"/>
          <w:rtl w:val="0"/>
        </w:rPr>
        <w:tab/>
      </w:r>
      <w:r w:rsidDel="00000000" w:rsidR="00000000" w:rsidRPr="00000000">
        <w:rPr>
          <w:rFonts w:ascii="Cambria" w:cs="Cambria" w:eastAsia="Cambria" w:hAnsi="Cambria"/>
          <w:b w:val="1"/>
          <w:bCs w:val="1"/>
          <w:color w:val="000000"/>
          <w:sz w:val="24"/>
          <w:szCs w:val="24"/>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Clear and Intuitive Layout</w:t>
      </w:r>
      <w:r>
        <w:rPr>
          <w:rFonts w:ascii="Cambria" w:cs="Cambria" w:eastAsia="Cambria" w:hAnsi="Cambria"/>
          <w:color w:val="000000"/>
          <w:sz w:val="24"/>
          <w:szCs w:val="24"/>
          <w:rtl w:val="0"/>
        </w:rPr>
        <w:t xml:space="preserve"> – Six views arranged in a logical flow: KPIs and driver leaderboard at the top, team trajectory and tyre strategy in the middle, circuits, podiums and reliability below.</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Use Appropriate Visualizations</w:t>
      </w:r>
      <w:r>
        <w:rPr>
          <w:rFonts w:ascii="Cambria" w:cs="Cambria" w:eastAsia="Cambria" w:hAnsi="Cambria"/>
          <w:color w:val="000000"/>
          <w:sz w:val="24"/>
          <w:szCs w:val="24"/>
          <w:rtl w:val="0"/>
        </w:rPr>
        <w:t xml:space="preserve"> – Bar charts for rankings, lines for season trends, maps for Grand Prix hosts, stacked bars for DNF causes and podiums.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Colour and Theming</w:t>
      </w:r>
      <w:r>
        <w:rPr>
          <w:rFonts w:ascii="Cambria" w:cs="Cambria" w:eastAsia="Cambria" w:hAnsi="Cambria"/>
          <w:color w:val="000000"/>
          <w:sz w:val="24"/>
          <w:szCs w:val="24"/>
          <w:rtl w:val="0"/>
        </w:rPr>
        <w:t xml:space="preserve"> – Racing-inspired dark/neutral theme with consistent team colours (e.g. Red Bull, Mercedes, Ferrari) and a single accent colour for highlights.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Interactive Filters and Slicers</w:t>
      </w:r>
      <w:r>
        <w:rPr>
          <w:rFonts w:ascii="Cambria" w:cs="Cambria" w:eastAsia="Cambria" w:hAnsi="Cambria"/>
          <w:color w:val="000000"/>
          <w:sz w:val="24"/>
          <w:szCs w:val="24"/>
          <w:rtl w:val="0"/>
        </w:rPr>
        <w:t xml:space="preserve"> – Filters for Season, Team, Driver, Circuit / Country, Tyre Compound and DNF type, applied across all sheets.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Drill-Down Capabilities</w:t>
      </w:r>
      <w:r>
        <w:rPr>
          <w:rFonts w:ascii="Cambria" w:cs="Cambria" w:eastAsia="Cambria" w:hAnsi="Cambria"/>
          <w:color w:val="000000"/>
          <w:sz w:val="24"/>
          <w:szCs w:val="24"/>
          <w:rtl w:val="0"/>
        </w:rPr>
        <w:t xml:space="preserve"> – Drill from season to race to driver, and from team to driver; tooltips show points, podiums and DNFs.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Responsive Design</w:t>
      </w:r>
      <w:r>
        <w:rPr>
          <w:rFonts w:ascii="Cambria" w:cs="Cambria" w:eastAsia="Cambria" w:hAnsi="Cambria"/>
          <w:color w:val="000000"/>
          <w:sz w:val="24"/>
          <w:szCs w:val="24"/>
          <w:rtl w:val="0"/>
        </w:rPr>
        <w:t xml:space="preserve"> – Dashboard sized to fit standard screens, with layout containers so views resize cleanly.</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Custom Visuals and Icons</w:t>
      </w:r>
      <w:r>
        <w:rPr>
          <w:rFonts w:ascii="Cambria" w:cs="Cambria" w:eastAsia="Cambria" w:hAnsi="Cambria"/>
          <w:color w:val="000000"/>
          <w:sz w:val="24"/>
          <w:szCs w:val="24"/>
          <w:rtl w:val="0"/>
        </w:rPr>
        <w:t xml:space="preserve"> – Tyre-compound colours (Soft red, Medium yellow, Hard white, Intermediate green), a flag / helmet style header and KPI cards.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rPr>
      </w:pPr>
      <w:r>
        <w:rPr>
          <w:rFonts w:ascii="Cambria" w:cs="Cambria" w:eastAsia="Cambria" w:hAnsi="Cambria"/>
          <w:b/>
          <w:color w:val="000000"/>
          <w:sz w:val="24"/>
          <w:szCs w:val="24"/>
          <w:rtl w:val="0"/>
        </w:rPr>
        <w:t>Use of Infographics</w:t>
      </w:r>
      <w:r>
        <w:rPr>
          <w:rFonts w:ascii="Cambria" w:cs="Cambria" w:eastAsia="Cambria" w:hAnsi="Cambria"/>
          <w:color w:val="000000"/>
          <w:sz w:val="24"/>
          <w:szCs w:val="24"/>
          <w:rtl w:val="0"/>
        </w:rPr>
        <w:t xml:space="preserve"> – Podium-style highlights and KPI tiles that can be reused in broadcast 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jc w:val="center"/>
        <w:rPr>
          <w:rFonts w:ascii="Arial" w:cs="Arial" w:eastAsia="Arial" w:hAnsi="Arial"/>
          <w:sz w:val="20"/>
          <w:szCs w:val="20"/>
        </w:rPr>
      </w:pPr>
      <w:r>
        <w:rPr>
          <w:sz w:val="22"/>
          <w:highlight w:val="yellow"/>
        </w:rPr>
        <w:t>[Insert screenshot of the Formula 1 Race Intelligence Dashboard]</w:t>
      </w:r>
    </w:p>
    <w:p w:rsidR="00000000" w:rsidDel="00000000" w:rsidP="00000000" w:rsidRDefault="00000000" w:rsidRPr="00000000" w14:paraId="00000019">
      <w:pPr>
        <w:spacing w:after="200" w:line="240" w:lineRule="auto"/>
        <w:rPr>
          <w:rFonts w:ascii="Arial" w:cs="Arial" w:eastAsia="Arial" w:hAnsi="Arial"/>
          <w:sz w:val="20"/>
          <w:szCs w:val="20"/>
        </w:rPr>
      </w:pPr>
      <w:r>
        <w:rPr>
          <w:rFonts w:ascii="Arial" w:cs="Arial" w:eastAsia="Arial" w:hAnsi="Arial"/>
          <w:b/>
          <w:sz w:val="20"/>
          <w:szCs w:val="20"/>
          <w:rtl w:val="0"/>
        </w:rPr>
        <w:t>Major outcomes from the dashboard:</w:t>
      </w:r>
    </w:p>
    <w:p w:rsidR="00000000" w:rsidDel="00000000" w:rsidP="00000000" w:rsidRDefault="00000000" w:rsidRPr="00000000" w14:paraId="0000001B">
      <w:pPr>
        <w:spacing w:after="200" w:line="240" w:lineRule="auto"/>
        <w:rPr/>
      </w:pPr>
      <w:r>
        <w:rPr>
          <w:rtl w:val="0"/>
        </w:rPr>
        <w:t>The dashboard covers 6,464 race records across 17 seasons. Replace the bracketed values with the figures shown on your published dashboard.</w:t>
      </w:r>
    </w:p>
    <w:p w:rsidR="00000000" w:rsidDel="00000000" w:rsidP="00000000" w:rsidRDefault="00000000" w:rsidRPr="00000000" w14:paraId="0000001C">
      <w:pPr>
        <w:numPr>
          <w:ilvl w:val="0"/>
          <w:numId w:val="1"/>
        </w:numPr>
        <w:spacing w:after="0" w:before="240" w:line="240" w:lineRule="auto"/>
        <w:ind w:left="720" w:hanging="360"/>
        <w:rPr>
          <w:u w:val="none"/>
        </w:rPr>
      </w:pPr>
      <w:r>
        <w:rPr>
          <w:b/>
          <w:rtl w:val="0"/>
        </w:rPr>
        <w:t>Dashboard Overview</w:t>
      </w:r>
      <w:r>
        <w:rPr>
          <w:rtl w:val="0"/>
        </w:rPr>
        <w:t>: Six linked views give team strategists, broadcast analysts and FIA analysts one place to explore driver performance, team trajectories, tyre strategy, circuits, podiums and reliability.</w:t>
      </w:r>
    </w:p>
    <w:p w:rsidR="00000000" w:rsidDel="00000000" w:rsidP="00000000" w:rsidRDefault="00000000" w:rsidRPr="00000000" w14:paraId="0000001D">
      <w:pPr>
        <w:numPr>
          <w:ilvl w:val="0"/>
          <w:numId w:val="1"/>
        </w:numPr>
        <w:spacing w:after="0" w:before="0" w:line="240" w:lineRule="auto"/>
        <w:ind w:left="720" w:hanging="360"/>
        <w:rPr>
          <w:u w:val="none"/>
        </w:rPr>
      </w:pPr>
      <w:r>
        <w:rPr>
          <w:b/>
          <w:rtl w:val="0"/>
        </w:rPr>
        <w:t>Driver Performance Leaderboard</w:t>
      </w:r>
      <w:r>
        <w:rPr>
          <w:rtl w:val="0"/>
        </w:rPr>
        <w:t xml:space="preserve">: </w:t>
      </w:r>
      <w:r>
        <w:rPr>
          <w:highlight w:val="yellow"/>
          <w:rtl w:val="0"/>
        </w:rPr>
        <w:t>[Driver name]</w:t>
      </w:r>
      <w:r>
        <w:rPr>
          <w:rtl w:val="0"/>
        </w:rPr>
        <w:t xml:space="preserve"> leads cumulative points with </w:t>
      </w:r>
      <w:r>
        <w:rPr>
          <w:highlight w:val="yellow"/>
          <w:rtl w:val="0"/>
        </w:rPr>
        <w:t>[points]</w:t>
      </w:r>
      <w:r>
        <w:rPr>
          <w:rtl w:val="0"/>
        </w:rPr>
        <w:t xml:space="preserve">, followed by </w:t>
      </w:r>
      <w:r>
        <w:rPr>
          <w:highlight w:val="yellow"/>
          <w:rtl w:val="0"/>
        </w:rPr>
        <w:t>[Driver 2]</w:t>
      </w:r>
      <w:r>
        <w:rPr>
          <w:rtl w:val="0"/>
        </w:rPr>
        <w:t xml:space="preserve"> and </w:t>
      </w:r>
      <w:r>
        <w:rPr>
          <w:highlight w:val="yellow"/>
          <w:rtl w:val="0"/>
        </w:rPr>
        <w:t>[Driver 3]</w:t>
      </w:r>
      <w:r>
        <w:rPr>
          <w:rtl w:val="0"/>
        </w:rPr>
        <w:t>; points are concentrated among a small group of top drivers.</w:t>
      </w:r>
    </w:p>
    <w:p w:rsidR="00000000" w:rsidDel="00000000" w:rsidP="00000000" w:rsidRDefault="00000000" w:rsidRPr="00000000" w14:paraId="0000001E">
      <w:pPr>
        <w:numPr>
          <w:ilvl w:val="0"/>
          <w:numId w:val="1"/>
        </w:numPr>
        <w:spacing w:after="0" w:before="0" w:line="240" w:lineRule="auto"/>
        <w:ind w:left="720" w:hanging="360"/>
        <w:rPr>
          <w:u w:val="none"/>
        </w:rPr>
      </w:pPr>
      <w:r>
        <w:rPr>
          <w:b/>
          <w:rtl w:val="0"/>
        </w:rPr>
        <w:t>Team Championship Trajectory</w:t>
      </w:r>
      <w:r>
        <w:rPr>
          <w:rtl w:val="0"/>
        </w:rPr>
        <w:t xml:space="preserve">: Red Bull Racing and Mercedes show the highest points curves in </w:t>
      </w:r>
      <w:r>
        <w:rPr>
          <w:highlight w:val="yellow"/>
          <w:rtl w:val="0"/>
        </w:rPr>
        <w:t>[seasons]</w:t>
      </w:r>
      <w:r>
        <w:rPr>
          <w:rtl w:val="0"/>
        </w:rPr>
        <w:t>, which gives a mid-tier team a clear benchmark to target.</w:t>
      </w:r>
    </w:p>
    <w:p w:rsidR="00000000" w:rsidDel="00000000" w:rsidP="00000000" w:rsidRDefault="00000000" w:rsidRPr="00000000" w14:paraId="0000001F">
      <w:pPr>
        <w:numPr>
          <w:ilvl w:val="0"/>
          <w:numId w:val="1"/>
        </w:numPr>
        <w:spacing w:after="0" w:before="0" w:line="240" w:lineRule="auto"/>
        <w:ind w:left="720" w:hanging="360"/>
        <w:rPr>
          <w:u w:val="none"/>
        </w:rPr>
      </w:pPr>
      <w:r>
        <w:rPr>
          <w:b/>
          <w:rtl w:val="0"/>
        </w:rPr>
        <w:t>Tyre Compound Strategy</w:t>
      </w:r>
      <w:r>
        <w:rPr>
          <w:rtl w:val="0"/>
        </w:rPr>
        <w:t xml:space="preserve">: </w:t>
      </w:r>
      <w:r>
        <w:rPr>
          <w:highlight w:val="yellow"/>
          <w:rtl w:val="0"/>
        </w:rPr>
        <w:t>[Compound]</w:t>
      </w:r>
      <w:r>
        <w:rPr>
          <w:rtl w:val="0"/>
        </w:rPr>
        <w:t xml:space="preserve"> is linked to the best average result, while Intermediate use is concentrated at </w:t>
      </w:r>
      <w:r>
        <w:rPr>
          <w:highlight w:val="yellow"/>
          <w:rtl w:val="0"/>
        </w:rPr>
        <w:t>[wet-weather circuits]</w:t>
      </w:r>
      <w:r>
        <w:rPr>
          <w:rtl w:val="0"/>
        </w:rPr>
        <w:t>.</w:t>
      </w:r>
    </w:p>
    <w:p w:rsidR="00000000" w:rsidDel="00000000" w:rsidP="00000000" w:rsidRDefault="00000000" w:rsidRPr="00000000" w14:paraId="00000020">
      <w:pPr>
        <w:numPr>
          <w:ilvl w:val="0"/>
          <w:numId w:val="1"/>
        </w:numPr>
        <w:spacing w:after="240" w:before="0" w:line="240" w:lineRule="auto"/>
        <w:ind w:left="720" w:hanging="360"/>
        <w:rPr>
          <w:u w:val="none"/>
        </w:rPr>
      </w:pPr>
      <w:r>
        <w:rPr>
          <w:b/>
          <w:rtl w:val="0"/>
        </w:rPr>
        <w:t>Circuits and Podiums</w:t>
      </w:r>
      <w:r>
        <w:rPr>
          <w:rtl w:val="0"/>
        </w:rPr>
        <w:t xml:space="preserve">: </w:t>
      </w:r>
      <w:r>
        <w:rPr>
          <w:highlight w:val="yellow"/>
          <w:rtl w:val="0"/>
        </w:rPr>
        <w:t>[Country]</w:t>
      </w:r>
      <w:r>
        <w:rPr>
          <w:rtl w:val="0"/>
        </w:rPr>
        <w:t xml:space="preserve"> has hosted the most Grand Prix rounds (</w:t>
      </w:r>
      <w:r>
        <w:rPr>
          <w:highlight w:val="yellow"/>
          <w:rtl w:val="0"/>
        </w:rPr>
        <w:t>[n]</w:t>
      </w:r>
      <w:r>
        <w:rPr>
          <w:rtl w:val="0"/>
        </w:rPr>
        <w:t xml:space="preserve">), and </w:t>
      </w:r>
      <w:r>
        <w:rPr>
          <w:highlight w:val="yellow"/>
          <w:rtl w:val="0"/>
        </w:rPr>
        <w:t>[nationality]</w:t>
      </w:r>
      <w:r>
        <w:rPr>
          <w:rtl w:val="0"/>
        </w:rPr>
        <w:t xml:space="preserve"> supplies the most podium finishers.</w:t>
      </w:r>
    </w:p>
    <w:p w:rsidR="00000000" w:rsidDel="00000000" w:rsidP="00000000" w:rsidRDefault="00000000" w:rsidRPr="00000000" w14:paraId="00000020">
      <w:pPr>
        <w:numPr>
          <w:ilvl w:val="0"/>
          <w:numId w:val="1"/>
        </w:numPr>
        <w:spacing w:after="240" w:before="0" w:line="240" w:lineRule="auto"/>
        <w:ind w:left="720" w:hanging="360"/>
        <w:rPr>
          <w:u w:val="none"/>
        </w:rPr>
      </w:pPr>
      <w:r>
        <w:rPr>
          <w:b/>
          <w:rtl w:val="0"/>
        </w:rPr>
        <w:t>Reliability and DNFs</w:t>
      </w:r>
      <w:r>
        <w:rPr>
          <w:rtl w:val="0"/>
        </w:rPr>
        <w:t xml:space="preserve">: </w:t>
      </w:r>
      <w:r>
        <w:rPr>
          <w:highlight w:val="yellow"/>
          <w:rtl w:val="0"/>
        </w:rPr>
        <w:t>[Failure type]</w:t>
      </w:r>
      <w:r>
        <w:rPr>
          <w:rtl w:val="0"/>
        </w:rPr>
        <w:t xml:space="preserve"> is the most common DNF cause, with the highest share in </w:t>
      </w:r>
      <w:r>
        <w:rPr>
          <w:highlight w:val="yellow"/>
          <w:rtl w:val="0"/>
        </w:rPr>
        <w:t>[team]</w:t>
      </w:r>
      <w:r>
        <w:rPr>
          <w:rtl w:val="0"/>
        </w:rPr>
        <w:t xml:space="preserve">; the DNF rate </w:t>
      </w:r>
      <w:r>
        <w:rPr>
          <w:highlight w:val="yellow"/>
          <w:rtl w:val="0"/>
        </w:rPr>
        <w:t>[rose / fell]</w:t>
      </w:r>
      <w:r>
        <w:rPr>
          <w:rtl w:val="0"/>
        </w:rPr>
        <w:t xml:space="preserve"> across the 17 seasons.</w:t>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6">
      <w:pPr>
        <w:spacing w:after="200" w:line="240" w:lineRule="auto"/>
        <w:jc w:val="left"/>
        <w:rPr>
          <w:sz w:val="28"/>
          <w:szCs w:val="28"/>
        </w:rPr>
      </w:pPr>
      <w:r>
        <w:rPr>
          <w:sz w:val="22"/>
          <w:highlight w:val="yellow"/>
        </w:rPr>
        <w:t>[Paste your Tableau Public dashboard link here]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