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035040" cy="626278"/>
            <wp:docPr id="1" name="Picture 1"/>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6035040" cy="626278"/>
                    </a:xfrm>
                    <a:prstGeom prst="rect"/>
                  </pic:spPr>
                </pic:pic>
              </a:graphicData>
            </a:graphic>
          </wp:inline>
        </w:drawing>
      </w:r>
    </w:p>
    <w:p>
      <w:pPr>
        <w:spacing w:before="200" w:after="200"/>
        <w:jc w:val="center"/>
      </w:pPr>
      <w:r>
        <w:rPr>
          <w:b/>
          <w:sz w:val="32"/>
        </w:rPr>
        <w:t>Scalability &amp; Future Plan</w:t>
      </w:r>
    </w:p>
    <w:tbl>
      <w:tblPr>
        <w:tblStyle w:val="TableGrid"/>
        <w:tblW w:type="auto" w:w="0"/>
        <w:tblLayout w:type="fixed"/>
        <w:tblLook w:firstColumn="1" w:firstRow="1" w:lastColumn="0" w:lastRow="0" w:noHBand="0" w:noVBand="1" w:val="04A0"/>
        <w:tblLayout w:type="fixed"/>
      </w:tblPr>
      <w:tblGrid>
        <w:gridCol w:w="3168"/>
        <w:gridCol w:w="6336"/>
      </w:tblGrid>
      <w:tr>
        <w:tc>
          <w:tcPr>
            <w:tcW w:type="dxa" w:w="3168"/>
          </w:tcPr>
          <w:p>
            <w:pPr>
              <w:spacing w:after="40" w:before="40"/>
            </w:pPr>
            <w:r>
              <w:rPr>
                <w:b/>
                <w:sz w:val="20"/>
              </w:rPr>
              <w:t>Date</w:t>
            </w:r>
          </w:p>
        </w:tc>
        <w:tc>
          <w:tcPr>
            <w:tcW w:type="dxa" w:w="6336"/>
          </w:tcPr>
          <w:p>
            <w:pPr>
              <w:spacing w:after="40" w:before="40"/>
            </w:pPr>
            <w:r>
              <w:rPr>
                <w:sz w:val="20"/>
              </w:rPr>
              <w:t>15 March 2024</w:t>
            </w:r>
          </w:p>
        </w:tc>
      </w:tr>
      <w:tr>
        <w:tc>
          <w:tcPr>
            <w:tcW w:type="dxa" w:w="3168"/>
          </w:tcPr>
          <w:p>
            <w:pPr>
              <w:spacing w:after="40" w:before="40"/>
            </w:pPr>
            <w:r>
              <w:rPr>
                <w:b/>
                <w:sz w:val="20"/>
              </w:rPr>
              <w:t>Team ID</w:t>
            </w:r>
          </w:p>
        </w:tc>
        <w:tc>
          <w:tcPr>
            <w:tcW w:type="dxa" w:w="6336"/>
          </w:tcPr>
          <w:p>
            <w:pPr>
              <w:spacing w:after="40" w:before="40"/>
            </w:pPr>
            <w:r>
              <w:rPr>
                <w:sz w:val="20"/>
                <w:highlight w:val="yellow"/>
              </w:rPr>
              <w:t>[XXXXXX – enter your Team ID]</w:t>
            </w:r>
          </w:p>
        </w:tc>
      </w:tr>
      <w:tr>
        <w:tc>
          <w:tcPr>
            <w:tcW w:type="dxa" w:w="3168"/>
          </w:tcPr>
          <w:p>
            <w:pPr>
              <w:spacing w:after="40" w:before="40"/>
            </w:pPr>
            <w:r>
              <w:rPr>
                <w:b/>
                <w:sz w:val="20"/>
              </w:rPr>
              <w:t>Project Name</w:t>
            </w:r>
          </w:p>
        </w:tc>
        <w:tc>
          <w:tcPr>
            <w:tcW w:type="dxa" w:w="6336"/>
          </w:tcPr>
          <w:p>
            <w:pPr>
              <w:spacing w:after="40" w:before="40"/>
            </w:pPr>
            <w:r>
              <w:rPr>
                <w:sz w:val="20"/>
              </w:rPr>
              <w:t>Formula 1 Race Intelligence Dashboard Analysis Report</w:t>
            </w:r>
          </w:p>
        </w:tc>
      </w:tr>
      <w:tr>
        <w:tc>
          <w:tcPr>
            <w:tcW w:type="dxa" w:w="3168"/>
          </w:tcPr>
          <w:p>
            <w:pPr>
              <w:spacing w:after="40" w:before="40"/>
            </w:pPr>
            <w:r>
              <w:rPr>
                <w:b/>
                <w:sz w:val="20"/>
              </w:rPr>
              <w:t>Maximum Marks</w:t>
            </w:r>
          </w:p>
        </w:tc>
        <w:tc>
          <w:tcPr>
            <w:tcW w:type="dxa" w:w="6336"/>
          </w:tcPr>
          <w:p>
            <w:pPr>
              <w:spacing w:after="40" w:before="40"/>
            </w:pPr>
            <w:r>
              <w:rPr>
                <w:sz w:val="20"/>
              </w:rPr>
              <w:t>1 Mark</w:t>
            </w:r>
          </w:p>
        </w:tc>
      </w:tr>
    </w:tbl>
    <w:p>
      <w:pPr>
        <w:keepNext/>
        <w:spacing w:before="240" w:after="80"/>
      </w:pPr>
      <w:r>
        <w:rPr>
          <w:b/>
          <w:sz w:val="21"/>
        </w:rPr>
        <w:t>Scalability &amp; Future Plan:</w:t>
      </w:r>
    </w:p>
    <w:p>
      <w:pPr>
        <w:spacing w:after="80"/>
      </w:pPr>
      <w:r>
        <w:rPr>
          <w:sz w:val="20"/>
        </w:rPr>
        <w:t>This document outlines how the current project solution can be scaled to handle larger user bases, increased data loads, or extended features in the future. It also captures the team's roadmap for enhancing and evolving the project beyond its current state.</w:t>
      </w:r>
    </w:p>
    <w:p>
      <w:pPr>
        <w:keepNext/>
        <w:spacing w:before="240" w:after="80"/>
      </w:pPr>
      <w:r>
        <w:rPr>
          <w:b/>
          <w:sz w:val="21"/>
        </w:rPr>
        <w:t>Current System Limitations:</w:t>
      </w:r>
    </w:p>
    <w:tbl>
      <w:tblPr>
        <w:tblStyle w:val="TableGrid"/>
        <w:tblW w:type="auto" w:w="0"/>
        <w:jc w:val="center"/>
        <w:tblLayout w:type="fixed"/>
        <w:tblLook w:firstColumn="1" w:firstRow="1" w:lastColumn="0" w:lastRow="0" w:noHBand="0" w:noVBand="1" w:val="04A0"/>
        <w:tblLayout w:type="fixed"/>
      </w:tblPr>
      <w:tblGrid>
        <w:gridCol w:w="648"/>
        <w:gridCol w:w="3600"/>
        <w:gridCol w:w="3600"/>
        <w:gridCol w:w="1728"/>
      </w:tblGrid>
      <w:tr>
        <w:trPr>
          <w:tblHeader w:val="true"/>
          <w:cantSplit w:val="true"/>
        </w:trPr>
        <w:tc>
          <w:tcPr>
            <w:tcW w:type="dxa" w:w="648"/>
            <w:shd w:val="clear" w:color="auto" w:fill="D9E2F3"/>
          </w:tcPr>
          <w:p>
            <w:pPr>
              <w:spacing w:after="40" w:before="40"/>
            </w:pPr>
            <w:r>
              <w:rPr>
                <w:b/>
                <w:sz w:val="18"/>
              </w:rPr>
              <w:t>S.No</w:t>
            </w:r>
          </w:p>
        </w:tc>
        <w:tc>
          <w:tcPr>
            <w:tcW w:type="dxa" w:w="3600"/>
            <w:shd w:val="clear" w:color="auto" w:fill="D9E2F3"/>
          </w:tcPr>
          <w:p>
            <w:pPr>
              <w:spacing w:after="40" w:before="40"/>
            </w:pPr>
            <w:r>
              <w:rPr>
                <w:b/>
                <w:sz w:val="18"/>
              </w:rPr>
              <w:t>Limitation</w:t>
            </w:r>
          </w:p>
        </w:tc>
        <w:tc>
          <w:tcPr>
            <w:tcW w:type="dxa" w:w="3600"/>
            <w:shd w:val="clear" w:color="auto" w:fill="D9E2F3"/>
          </w:tcPr>
          <w:p>
            <w:pPr>
              <w:spacing w:after="40" w:before="40"/>
            </w:pPr>
            <w:r>
              <w:rPr>
                <w:b/>
                <w:sz w:val="18"/>
              </w:rPr>
              <w:t>Impact</w:t>
            </w:r>
          </w:p>
        </w:tc>
        <w:tc>
          <w:tcPr>
            <w:tcW w:type="dxa" w:w="1728"/>
            <w:shd w:val="clear" w:color="auto" w:fill="D9E2F3"/>
          </w:tcPr>
          <w:p>
            <w:pPr>
              <w:spacing w:after="40" w:before="40"/>
            </w:pPr>
            <w:r>
              <w:rPr>
                <w:b/>
                <w:sz w:val="18"/>
              </w:rPr>
              <w:t>Priority to Address (High / Medium / Low)</w:t>
            </w:r>
          </w:p>
        </w:tc>
      </w:tr>
      <w:tr>
        <w:trPr>
          <w:cantSplit w:val="true"/>
        </w:trPr>
        <w:tc>
          <w:tcPr>
            <w:tcW w:type="dxa" w:w="648"/>
          </w:tcPr>
          <w:p>
            <w:pPr>
              <w:spacing w:after="40" w:before="40"/>
            </w:pPr>
            <w:r>
              <w:rPr>
                <w:sz w:val="18"/>
              </w:rPr>
              <w:t>1</w:t>
            </w:r>
          </w:p>
        </w:tc>
        <w:tc>
          <w:tcPr>
            <w:tcW w:type="dxa" w:w="3600"/>
          </w:tcPr>
          <w:p>
            <w:pPr>
              <w:spacing w:after="40" w:before="40"/>
            </w:pPr>
            <w:r>
              <w:rPr>
                <w:sz w:val="18"/>
              </w:rPr>
              <w:t>Data is historical and static (6,464 race records, 17 seasons); there is no live race-weekend feed.</w:t>
            </w:r>
          </w:p>
        </w:tc>
        <w:tc>
          <w:tcPr>
            <w:tcW w:type="dxa" w:w="3600"/>
          </w:tcPr>
          <w:p>
            <w:pPr>
              <w:spacing w:after="40" w:before="40"/>
            </w:pPr>
            <w:r>
              <w:rPr>
                <w:sz w:val="18"/>
              </w:rPr>
              <w:t>Dashboards go out of date after each Grand Prix; unsuitable for live broadcast use without manual refresh.</w:t>
            </w:r>
          </w:p>
        </w:tc>
        <w:tc>
          <w:tcPr>
            <w:tcW w:type="dxa" w:w="1728"/>
          </w:tcPr>
          <w:p>
            <w:pPr>
              <w:spacing w:after="40" w:before="40"/>
            </w:pPr>
            <w:r>
              <w:rPr>
                <w:sz w:val="18"/>
              </w:rPr>
              <w:t>High</w:t>
            </w:r>
          </w:p>
        </w:tc>
      </w:tr>
      <w:tr>
        <w:trPr>
          <w:cantSplit w:val="true"/>
        </w:trPr>
        <w:tc>
          <w:tcPr>
            <w:tcW w:type="dxa" w:w="648"/>
          </w:tcPr>
          <w:p>
            <w:pPr>
              <w:spacing w:after="40" w:before="40"/>
            </w:pPr>
            <w:r>
              <w:rPr>
                <w:sz w:val="18"/>
              </w:rPr>
              <w:t>2</w:t>
            </w:r>
          </w:p>
        </w:tc>
        <w:tc>
          <w:tcPr>
            <w:tcW w:type="dxa" w:w="3600"/>
          </w:tcPr>
          <w:p>
            <w:pPr>
              <w:spacing w:after="40" w:before="40"/>
            </w:pPr>
            <w:r>
              <w:rPr>
                <w:sz w:val="18"/>
              </w:rPr>
              <w:t>Analysis is at race-record level; no lap-by-lap, pit-stop or telemetry data.</w:t>
            </w:r>
          </w:p>
        </w:tc>
        <w:tc>
          <w:tcPr>
            <w:tcW w:type="dxa" w:w="3600"/>
          </w:tcPr>
          <w:p>
            <w:pPr>
              <w:spacing w:after="40" w:before="40"/>
            </w:pPr>
            <w:r>
              <w:rPr>
                <w:sz w:val="18"/>
              </w:rPr>
              <w:t>Tyre strategy analysis cannot show stint length, degradation or pit-stop timing.</w:t>
            </w:r>
          </w:p>
        </w:tc>
        <w:tc>
          <w:tcPr>
            <w:tcW w:type="dxa" w:w="1728"/>
          </w:tcPr>
          <w:p>
            <w:pPr>
              <w:spacing w:after="40" w:before="40"/>
            </w:pPr>
            <w:r>
              <w:rPr>
                <w:sz w:val="18"/>
              </w:rPr>
              <w:t>Medium</w:t>
            </w:r>
          </w:p>
        </w:tc>
      </w:tr>
      <w:tr>
        <w:trPr>
          <w:cantSplit w:val="true"/>
        </w:trPr>
        <w:tc>
          <w:tcPr>
            <w:tcW w:type="dxa" w:w="648"/>
          </w:tcPr>
          <w:p>
            <w:pPr>
              <w:spacing w:after="40" w:before="40"/>
            </w:pPr>
            <w:r>
              <w:rPr>
                <w:sz w:val="18"/>
              </w:rPr>
              <w:t>3</w:t>
            </w:r>
          </w:p>
        </w:tc>
        <w:tc>
          <w:tcPr>
            <w:tcW w:type="dxa" w:w="3600"/>
          </w:tcPr>
          <w:p>
            <w:pPr>
              <w:spacing w:after="40" w:before="40"/>
            </w:pPr>
            <w:r>
              <w:rPr>
                <w:sz w:val="18"/>
              </w:rPr>
              <w:t>Published on Tableau Public with a single dashboard and story; no user roles or predictive analytics.</w:t>
            </w:r>
          </w:p>
        </w:tc>
        <w:tc>
          <w:tcPr>
            <w:tcW w:type="dxa" w:w="3600"/>
          </w:tcPr>
          <w:p>
            <w:pPr>
              <w:spacing w:after="40" w:before="40"/>
            </w:pPr>
            <w:r>
              <w:rPr>
                <w:sz w:val="18"/>
              </w:rPr>
              <w:t>No access control for sensitive team data; no forecasting of podium or DNF risk.</w:t>
            </w:r>
          </w:p>
        </w:tc>
        <w:tc>
          <w:tcPr>
            <w:tcW w:type="dxa" w:w="1728"/>
          </w:tcPr>
          <w:p>
            <w:pPr>
              <w:spacing w:after="40" w:before="40"/>
            </w:pPr>
            <w:r>
              <w:rPr>
                <w:sz w:val="18"/>
              </w:rPr>
              <w:t>Medium</w:t>
            </w:r>
          </w:p>
        </w:tc>
      </w:tr>
    </w:tbl>
    <w:p>
      <w:pPr>
        <w:spacing w:after="0"/>
      </w:pPr>
    </w:p>
    <w:p>
      <w:pPr>
        <w:keepNext/>
        <w:spacing w:before="240" w:after="80"/>
      </w:pPr>
      <w:r>
        <w:rPr>
          <w:b/>
          <w:sz w:val="21"/>
        </w:rPr>
        <w:t>Scalability Plan:</w:t>
      </w:r>
    </w:p>
    <w:tbl>
      <w:tblPr>
        <w:tblStyle w:val="TableGrid"/>
        <w:tblW w:type="auto" w:w="0"/>
        <w:jc w:val="center"/>
        <w:tblLayout w:type="fixed"/>
        <w:tblLook w:firstColumn="1" w:firstRow="1" w:lastColumn="0" w:lastRow="0" w:noHBand="0" w:noVBand="1" w:val="04A0"/>
        <w:tblLayout w:type="fixed"/>
      </w:tblPr>
      <w:tblGrid>
        <w:gridCol w:w="648"/>
        <w:gridCol w:w="1728"/>
        <w:gridCol w:w="3168"/>
        <w:gridCol w:w="4031"/>
      </w:tblGrid>
      <w:tr>
        <w:trPr>
          <w:tblHeader w:val="true"/>
          <w:cantSplit w:val="true"/>
        </w:trPr>
        <w:tc>
          <w:tcPr>
            <w:tcW w:type="dxa" w:w="648"/>
            <w:shd w:val="clear" w:color="auto" w:fill="D9E2F3"/>
          </w:tcPr>
          <w:p>
            <w:pPr>
              <w:spacing w:after="40" w:before="40"/>
            </w:pPr>
            <w:r>
              <w:rPr>
                <w:b/>
                <w:sz w:val="18"/>
              </w:rPr>
              <w:t>S.No</w:t>
            </w:r>
          </w:p>
        </w:tc>
        <w:tc>
          <w:tcPr>
            <w:tcW w:type="dxa" w:w="1728"/>
            <w:shd w:val="clear" w:color="auto" w:fill="D9E2F3"/>
          </w:tcPr>
          <w:p>
            <w:pPr>
              <w:spacing w:after="40" w:before="40"/>
            </w:pPr>
            <w:r>
              <w:rPr>
                <w:b/>
                <w:sz w:val="18"/>
              </w:rPr>
              <w:t>Scalability Aspect</w:t>
            </w:r>
          </w:p>
        </w:tc>
        <w:tc>
          <w:tcPr>
            <w:tcW w:type="dxa" w:w="3168"/>
            <w:shd w:val="clear" w:color="auto" w:fill="D9E2F3"/>
          </w:tcPr>
          <w:p>
            <w:pPr>
              <w:spacing w:after="40" w:before="40"/>
            </w:pPr>
            <w:r>
              <w:rPr>
                <w:b/>
                <w:sz w:val="18"/>
              </w:rPr>
              <w:t>Current State</w:t>
            </w:r>
          </w:p>
        </w:tc>
        <w:tc>
          <w:tcPr>
            <w:tcW w:type="dxa" w:w="4032"/>
            <w:shd w:val="clear" w:color="auto" w:fill="D9E2F3"/>
          </w:tcPr>
          <w:p>
            <w:pPr>
              <w:spacing w:after="40" w:before="40"/>
            </w:pPr>
            <w:r>
              <w:rPr>
                <w:b/>
                <w:sz w:val="18"/>
              </w:rPr>
              <w:t>Proposed Upgrade / Solution</w:t>
            </w:r>
          </w:p>
        </w:tc>
      </w:tr>
      <w:tr>
        <w:trPr>
          <w:cantSplit w:val="true"/>
        </w:trPr>
        <w:tc>
          <w:tcPr>
            <w:tcW w:type="dxa" w:w="648"/>
          </w:tcPr>
          <w:p>
            <w:pPr>
              <w:spacing w:after="40" w:before="40"/>
            </w:pPr>
            <w:r>
              <w:rPr>
                <w:sz w:val="18"/>
              </w:rPr>
              <w:t>1</w:t>
            </w:r>
          </w:p>
        </w:tc>
        <w:tc>
          <w:tcPr>
            <w:tcW w:type="dxa" w:w="1728"/>
          </w:tcPr>
          <w:p>
            <w:pPr>
              <w:spacing w:after="40" w:before="40"/>
            </w:pPr>
            <w:r>
              <w:rPr>
                <w:sz w:val="18"/>
              </w:rPr>
              <w:t>User Load</w:t>
            </w:r>
          </w:p>
        </w:tc>
        <w:tc>
          <w:tcPr>
            <w:tcW w:type="dxa" w:w="3168"/>
          </w:tcPr>
          <w:p>
            <w:pPr>
              <w:spacing w:after="40" w:before="40"/>
            </w:pPr>
            <w:r>
              <w:rPr>
                <w:sz w:val="18"/>
              </w:rPr>
              <w:t>Single published workbook on Tableau Public, viewed by a small audience.</w:t>
            </w:r>
          </w:p>
        </w:tc>
        <w:tc>
          <w:tcPr>
            <w:tcW w:type="dxa" w:w="4032"/>
          </w:tcPr>
          <w:p>
            <w:pPr>
              <w:spacing w:after="40" w:before="40"/>
            </w:pPr>
            <w:r>
              <w:rPr>
                <w:sz w:val="18"/>
              </w:rPr>
              <w:t>Move to Tableau Cloud / Server with caching and scheduled extracts to serve strategists, analysts and broadcasters concurrently.</w:t>
            </w:r>
          </w:p>
        </w:tc>
      </w:tr>
      <w:tr>
        <w:trPr>
          <w:cantSplit w:val="true"/>
        </w:trPr>
        <w:tc>
          <w:tcPr>
            <w:tcW w:type="dxa" w:w="648"/>
          </w:tcPr>
          <w:p>
            <w:pPr>
              <w:spacing w:after="40" w:before="40"/>
            </w:pPr>
            <w:r>
              <w:rPr>
                <w:sz w:val="18"/>
              </w:rPr>
              <w:t>2</w:t>
            </w:r>
          </w:p>
        </w:tc>
        <w:tc>
          <w:tcPr>
            <w:tcW w:type="dxa" w:w="1728"/>
          </w:tcPr>
          <w:p>
            <w:pPr>
              <w:spacing w:after="40" w:before="40"/>
            </w:pPr>
            <w:r>
              <w:rPr>
                <w:sz w:val="18"/>
              </w:rPr>
              <w:t>Data Storage</w:t>
            </w:r>
          </w:p>
        </w:tc>
        <w:tc>
          <w:tcPr>
            <w:tcW w:type="dxa" w:w="3168"/>
          </w:tcPr>
          <w:p>
            <w:pPr>
              <w:spacing w:after="40" w:before="40"/>
            </w:pPr>
            <w:r>
              <w:rPr>
                <w:sz w:val="18"/>
              </w:rPr>
              <w:t>Static CSV / Excel extract loaded into Tableau.</w:t>
            </w:r>
          </w:p>
        </w:tc>
        <w:tc>
          <w:tcPr>
            <w:tcW w:type="dxa" w:w="4032"/>
          </w:tcPr>
          <w:p>
            <w:pPr>
              <w:spacing w:after="40" w:before="40"/>
            </w:pPr>
            <w:r>
              <w:rPr>
                <w:sz w:val="18"/>
              </w:rPr>
              <w:t>Store data in a cloud database or warehouse and ingest new race results automatically from a public F1 data API.</w:t>
            </w:r>
          </w:p>
        </w:tc>
      </w:tr>
      <w:tr>
        <w:trPr>
          <w:cantSplit w:val="true"/>
        </w:trPr>
        <w:tc>
          <w:tcPr>
            <w:tcW w:type="dxa" w:w="648"/>
          </w:tcPr>
          <w:p>
            <w:pPr>
              <w:spacing w:after="40" w:before="40"/>
            </w:pPr>
            <w:r>
              <w:rPr>
                <w:sz w:val="18"/>
              </w:rPr>
              <w:t>3</w:t>
            </w:r>
          </w:p>
        </w:tc>
        <w:tc>
          <w:tcPr>
            <w:tcW w:type="dxa" w:w="1728"/>
          </w:tcPr>
          <w:p>
            <w:pPr>
              <w:spacing w:after="40" w:before="40"/>
            </w:pPr>
            <w:r>
              <w:rPr>
                <w:sz w:val="18"/>
              </w:rPr>
              <w:t>Performance</w:t>
            </w:r>
          </w:p>
        </w:tc>
        <w:tc>
          <w:tcPr>
            <w:tcW w:type="dxa" w:w="3168"/>
          </w:tcPr>
          <w:p>
            <w:pPr>
              <w:spacing w:after="40" w:before="40"/>
            </w:pPr>
            <w:r>
              <w:rPr>
                <w:sz w:val="18"/>
              </w:rPr>
              <w:t>Small extract loads quickly with six visuals.</w:t>
            </w:r>
          </w:p>
        </w:tc>
        <w:tc>
          <w:tcPr>
            <w:tcW w:type="dxa" w:w="4032"/>
          </w:tcPr>
          <w:p>
            <w:pPr>
              <w:spacing w:after="40" w:before="40"/>
            </w:pPr>
            <w:r>
              <w:rPr>
                <w:sz w:val="18"/>
              </w:rPr>
              <w:t>Use aggregated and incremental extracts, optimise calculated fields and limit quick filters so dashboards stay fast as data grows to lap level.</w:t>
            </w:r>
          </w:p>
        </w:tc>
      </w:tr>
      <w:tr>
        <w:trPr>
          <w:cantSplit w:val="true"/>
        </w:trPr>
        <w:tc>
          <w:tcPr>
            <w:tcW w:type="dxa" w:w="648"/>
          </w:tcPr>
          <w:p>
            <w:pPr>
              <w:spacing w:after="40" w:before="40"/>
            </w:pPr>
            <w:r>
              <w:rPr>
                <w:sz w:val="18"/>
              </w:rPr>
              <w:t>4</w:t>
            </w:r>
          </w:p>
        </w:tc>
        <w:tc>
          <w:tcPr>
            <w:tcW w:type="dxa" w:w="1728"/>
          </w:tcPr>
          <w:p>
            <w:pPr>
              <w:spacing w:after="40" w:before="40"/>
            </w:pPr>
            <w:r>
              <w:rPr>
                <w:sz w:val="18"/>
              </w:rPr>
              <w:t>Security</w:t>
            </w:r>
          </w:p>
        </w:tc>
        <w:tc>
          <w:tcPr>
            <w:tcW w:type="dxa" w:w="3168"/>
          </w:tcPr>
          <w:p>
            <w:pPr>
              <w:spacing w:after="40" w:before="40"/>
            </w:pPr>
            <w:r>
              <w:rPr>
                <w:sz w:val="18"/>
              </w:rPr>
              <w:t>Public, non-sensitive historical data.</w:t>
            </w:r>
          </w:p>
        </w:tc>
        <w:tc>
          <w:tcPr>
            <w:tcW w:type="dxa" w:w="4032"/>
          </w:tcPr>
          <w:p>
            <w:pPr>
              <w:spacing w:after="40" w:before="40"/>
            </w:pPr>
            <w:r>
              <w:rPr>
                <w:sz w:val="18"/>
              </w:rPr>
              <w:t>Add authentication, role-based access and row-level security if proprietary team data (strategy, telemetry) is introduced.</w:t>
            </w:r>
          </w:p>
        </w:tc>
      </w:tr>
    </w:tbl>
    <w:p>
      <w:pPr>
        <w:spacing w:after="0"/>
      </w:pPr>
    </w:p>
    <w:p>
      <w:pPr>
        <w:keepNext/>
        <w:spacing w:before="240" w:after="80"/>
      </w:pPr>
      <w:r>
        <w:rPr>
          <w:b/>
          <w:sz w:val="21"/>
        </w:rPr>
        <w:t>Future Roadmap:</w:t>
      </w:r>
    </w:p>
    <w:tbl>
      <w:tblPr>
        <w:tblStyle w:val="TableGrid"/>
        <w:tblW w:type="auto" w:w="0"/>
        <w:jc w:val="center"/>
        <w:tblLayout w:type="fixed"/>
        <w:tblLook w:firstColumn="1" w:firstRow="1" w:lastColumn="0" w:lastRow="0" w:noHBand="0" w:noVBand="1" w:val="04A0"/>
        <w:tblLayout w:type="fixed"/>
      </w:tblPr>
      <w:tblGrid>
        <w:gridCol w:w="1007"/>
        <w:gridCol w:w="4320"/>
        <w:gridCol w:w="1440"/>
        <w:gridCol w:w="2736"/>
      </w:tblGrid>
      <w:tr>
        <w:trPr>
          <w:tblHeader w:val="true"/>
          <w:cantSplit w:val="true"/>
        </w:trPr>
        <w:tc>
          <w:tcPr>
            <w:tcW w:type="dxa" w:w="1008"/>
            <w:shd w:val="clear" w:color="auto" w:fill="D9E2F3"/>
          </w:tcPr>
          <w:p>
            <w:pPr>
              <w:spacing w:after="40" w:before="40"/>
            </w:pPr>
            <w:r>
              <w:rPr>
                <w:b/>
                <w:sz w:val="18"/>
              </w:rPr>
              <w:t>Phase</w:t>
            </w:r>
          </w:p>
        </w:tc>
        <w:tc>
          <w:tcPr>
            <w:tcW w:type="dxa" w:w="4320"/>
            <w:shd w:val="clear" w:color="auto" w:fill="D9E2F3"/>
          </w:tcPr>
          <w:p>
            <w:pPr>
              <w:spacing w:after="40" w:before="40"/>
            </w:pPr>
            <w:r>
              <w:rPr>
                <w:b/>
                <w:sz w:val="18"/>
              </w:rPr>
              <w:t>Planned Feature / Enhancement</w:t>
            </w:r>
          </w:p>
        </w:tc>
        <w:tc>
          <w:tcPr>
            <w:tcW w:type="dxa" w:w="1440"/>
            <w:shd w:val="clear" w:color="auto" w:fill="D9E2F3"/>
          </w:tcPr>
          <w:p>
            <w:pPr>
              <w:spacing w:after="40" w:before="40"/>
            </w:pPr>
            <w:r>
              <w:rPr>
                <w:b/>
                <w:sz w:val="18"/>
              </w:rPr>
              <w:t>Target Timeline</w:t>
            </w:r>
          </w:p>
        </w:tc>
        <w:tc>
          <w:tcPr>
            <w:tcW w:type="dxa" w:w="2736"/>
            <w:shd w:val="clear" w:color="auto" w:fill="D9E2F3"/>
          </w:tcPr>
          <w:p>
            <w:pPr>
              <w:spacing w:after="40" w:before="40"/>
            </w:pPr>
            <w:r>
              <w:rPr>
                <w:b/>
                <w:sz w:val="18"/>
              </w:rPr>
              <w:t>Expected Impact</w:t>
            </w:r>
          </w:p>
        </w:tc>
      </w:tr>
      <w:tr>
        <w:trPr>
          <w:cantSplit w:val="true"/>
        </w:trPr>
        <w:tc>
          <w:tcPr>
            <w:tcW w:type="dxa" w:w="1008"/>
          </w:tcPr>
          <w:p>
            <w:pPr>
              <w:spacing w:after="40" w:before="40"/>
            </w:pPr>
            <w:r>
              <w:rPr>
                <w:sz w:val="18"/>
              </w:rPr>
              <w:t>Phase 2</w:t>
            </w:r>
          </w:p>
        </w:tc>
        <w:tc>
          <w:tcPr>
            <w:tcW w:type="dxa" w:w="4320"/>
          </w:tcPr>
          <w:p>
            <w:pPr>
              <w:spacing w:after="40" w:before="40"/>
            </w:pPr>
            <w:r>
              <w:rPr>
                <w:sz w:val="18"/>
              </w:rPr>
              <w:t>Automated data refresh and live race-weekend data feed; add new seasons as they complete.</w:t>
            </w:r>
          </w:p>
        </w:tc>
        <w:tc>
          <w:tcPr>
            <w:tcW w:type="dxa" w:w="1440"/>
          </w:tcPr>
          <w:p>
            <w:pPr>
              <w:spacing w:after="40" w:before="40"/>
            </w:pPr>
            <w:r>
              <w:rPr>
                <w:sz w:val="18"/>
              </w:rPr>
              <w:t>1–3 months</w:t>
            </w:r>
          </w:p>
        </w:tc>
        <w:tc>
          <w:tcPr>
            <w:tcW w:type="dxa" w:w="2736"/>
          </w:tcPr>
          <w:p>
            <w:pPr>
              <w:spacing w:after="40" w:before="40"/>
            </w:pPr>
            <w:r>
              <w:rPr>
                <w:sz w:val="18"/>
              </w:rPr>
              <w:t>Always up-to-date dashboards for broadcast and strategy use.</w:t>
            </w:r>
          </w:p>
        </w:tc>
      </w:tr>
      <w:tr>
        <w:trPr>
          <w:cantSplit w:val="true"/>
        </w:trPr>
        <w:tc>
          <w:tcPr>
            <w:tcW w:type="dxa" w:w="1008"/>
          </w:tcPr>
          <w:p>
            <w:pPr>
              <w:spacing w:after="40" w:before="40"/>
            </w:pPr>
            <w:r>
              <w:rPr>
                <w:sz w:val="18"/>
              </w:rPr>
              <w:t>Phase 3</w:t>
            </w:r>
          </w:p>
        </w:tc>
        <w:tc>
          <w:tcPr>
            <w:tcW w:type="dxa" w:w="4320"/>
          </w:tcPr>
          <w:p>
            <w:pPr>
              <w:spacing w:after="40" w:before="40"/>
            </w:pPr>
            <w:r>
              <w:rPr>
                <w:sz w:val="18"/>
              </w:rPr>
              <w:t>Lap-level and pit-stop data for deeper tyre strategy analysis; predictive models for podium probability and DNF risk.</w:t>
            </w:r>
          </w:p>
        </w:tc>
        <w:tc>
          <w:tcPr>
            <w:tcW w:type="dxa" w:w="1440"/>
          </w:tcPr>
          <w:p>
            <w:pPr>
              <w:spacing w:after="40" w:before="40"/>
            </w:pPr>
            <w:r>
              <w:rPr>
                <w:sz w:val="18"/>
              </w:rPr>
              <w:t>3–6 months</w:t>
            </w:r>
          </w:p>
        </w:tc>
        <w:tc>
          <w:tcPr>
            <w:tcW w:type="dxa" w:w="2736"/>
          </w:tcPr>
          <w:p>
            <w:pPr>
              <w:spacing w:after="40" w:before="40"/>
            </w:pPr>
            <w:r>
              <w:rPr>
                <w:sz w:val="18"/>
              </w:rPr>
              <w:t>Better race and recruitment decisions; early warning of reliability issues.</w:t>
            </w:r>
          </w:p>
        </w:tc>
      </w:tr>
      <w:tr>
        <w:trPr>
          <w:cantSplit w:val="true"/>
        </w:trPr>
        <w:tc>
          <w:tcPr>
            <w:tcW w:type="dxa" w:w="1008"/>
          </w:tcPr>
          <w:p>
            <w:pPr>
              <w:spacing w:after="40" w:before="40"/>
            </w:pPr>
            <w:r>
              <w:rPr>
                <w:sz w:val="18"/>
              </w:rPr>
              <w:t>Phase 4</w:t>
            </w:r>
          </w:p>
        </w:tc>
        <w:tc>
          <w:tcPr>
            <w:tcW w:type="dxa" w:w="4320"/>
          </w:tcPr>
          <w:p>
            <w:pPr>
              <w:spacing w:after="40" w:before="40"/>
            </w:pPr>
            <w:r>
              <w:rPr>
                <w:sz w:val="18"/>
              </w:rPr>
              <w:t>Enterprise deployment on Tableau Cloud with role-based access, mobile layouts and embedding in team or media portals.</w:t>
            </w:r>
          </w:p>
        </w:tc>
        <w:tc>
          <w:tcPr>
            <w:tcW w:type="dxa" w:w="1440"/>
          </w:tcPr>
          <w:p>
            <w:pPr>
              <w:spacing w:after="40" w:before="40"/>
            </w:pPr>
            <w:r>
              <w:rPr>
                <w:sz w:val="18"/>
              </w:rPr>
              <w:t>6–12 months</w:t>
            </w:r>
          </w:p>
        </w:tc>
        <w:tc>
          <w:tcPr>
            <w:tcW w:type="dxa" w:w="2736"/>
          </w:tcPr>
          <w:p>
            <w:pPr>
              <w:spacing w:after="40" w:before="40"/>
            </w:pPr>
            <w:r>
              <w:rPr>
                <w:sz w:val="18"/>
              </w:rPr>
              <w:t>Wider adoption, secure sharing and consistent use across teams, media and the FIA.</w:t>
            </w:r>
          </w:p>
        </w:tc>
      </w:tr>
    </w:tbl>
    <w:p>
      <w:pPr>
        <w:spacing w:after="0"/>
      </w:pPr>
    </w:p>
    <w:sectPr w:rsidR="00FC693F" w:rsidRPr="0006063C" w:rsidSect="00034616">
      <w:pgSz w:w="11909" w:h="16834"/>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