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1DD9EE" w14:textId="30970129" w:rsidR="006F5285" w:rsidRPr="00665BC1" w:rsidRDefault="006F5285" w:rsidP="00665BC1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C145A50" w14:textId="58A24473" w:rsidR="006F5285" w:rsidRPr="00665BC1" w:rsidRDefault="006F5285" w:rsidP="00665BC1">
      <w:pPr>
        <w:jc w:val="both"/>
        <w:rPr>
          <w:rFonts w:ascii="Times New Roman" w:hAnsi="Times New Roman" w:cs="Times New Roman"/>
          <w:sz w:val="24"/>
          <w:szCs w:val="24"/>
        </w:rPr>
      </w:pPr>
      <w:r w:rsidRPr="00665BC1">
        <w:rPr>
          <w:rFonts w:ascii="Times New Roman" w:hAnsi="Times New Roman" w:cs="Times New Roman"/>
          <w:sz w:val="24"/>
          <w:szCs w:val="24"/>
        </w:rPr>
        <w:t>LEGAL FRAMEWORK AND CONTRACTUAL OBLIGATION IN GRANTS</w:t>
      </w:r>
    </w:p>
    <w:p w14:paraId="6428D1DB" w14:textId="200137EF" w:rsidR="00665BC1" w:rsidRDefault="00665BC1" w:rsidP="00F611A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5BC1">
        <w:rPr>
          <w:rFonts w:ascii="Times New Roman" w:hAnsi="Times New Roman" w:cs="Times New Roman"/>
          <w:sz w:val="24"/>
          <w:szCs w:val="24"/>
        </w:rPr>
        <w:t>FAQs</w:t>
      </w:r>
    </w:p>
    <w:p w14:paraId="39743BA1" w14:textId="77777777" w:rsidR="00F611AF" w:rsidRP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b/>
          <w:bCs/>
          <w:sz w:val="22"/>
          <w:szCs w:val="22"/>
        </w:rPr>
      </w:pPr>
      <w:r>
        <w:t>1.</w:t>
      </w:r>
      <w:r>
        <w:rPr>
          <w:sz w:val="14"/>
          <w:szCs w:val="14"/>
        </w:rPr>
        <w:t xml:space="preserve">      </w:t>
      </w:r>
      <w:r w:rsidRPr="00F611AF">
        <w:rPr>
          <w:b/>
          <w:bCs/>
        </w:rPr>
        <w:t>What are the elements of a legally binding contract?</w:t>
      </w:r>
    </w:p>
    <w:p w14:paraId="3B20552C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t xml:space="preserve">A legally binding contract has the following six (6) elements. </w:t>
      </w:r>
    </w:p>
    <w:p w14:paraId="62704FF9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1440"/>
        <w:jc w:val="both"/>
        <w:rPr>
          <w:rFonts w:ascii="Calibri" w:hAnsi="Calibri" w:cs="Calibri"/>
          <w:sz w:val="22"/>
          <w:szCs w:val="22"/>
        </w:rPr>
      </w:pPr>
      <w:r>
        <w:t>a)</w:t>
      </w:r>
      <w:r>
        <w:rPr>
          <w:sz w:val="14"/>
          <w:szCs w:val="14"/>
        </w:rPr>
        <w:t xml:space="preserve">      </w:t>
      </w:r>
      <w:r>
        <w:t>Offer.</w:t>
      </w:r>
    </w:p>
    <w:p w14:paraId="09B8FF3E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1440"/>
        <w:jc w:val="both"/>
        <w:rPr>
          <w:rFonts w:ascii="Calibri" w:hAnsi="Calibri" w:cs="Calibri"/>
          <w:sz w:val="22"/>
          <w:szCs w:val="22"/>
        </w:rPr>
      </w:pPr>
      <w:r>
        <w:t>b)</w:t>
      </w:r>
      <w:r>
        <w:rPr>
          <w:sz w:val="14"/>
          <w:szCs w:val="14"/>
        </w:rPr>
        <w:t xml:space="preserve">      </w:t>
      </w:r>
      <w:r>
        <w:t>Acceptance.</w:t>
      </w:r>
    </w:p>
    <w:p w14:paraId="1924A3B3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1440"/>
        <w:jc w:val="both"/>
        <w:rPr>
          <w:rFonts w:ascii="Calibri" w:hAnsi="Calibri" w:cs="Calibri"/>
          <w:sz w:val="22"/>
          <w:szCs w:val="22"/>
        </w:rPr>
      </w:pPr>
      <w:r>
        <w:t>c)</w:t>
      </w:r>
      <w:r>
        <w:rPr>
          <w:sz w:val="14"/>
          <w:szCs w:val="14"/>
        </w:rPr>
        <w:t xml:space="preserve">      </w:t>
      </w:r>
      <w:r>
        <w:t>Intention.</w:t>
      </w:r>
    </w:p>
    <w:p w14:paraId="2DA8CA04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1440"/>
        <w:jc w:val="both"/>
        <w:rPr>
          <w:rFonts w:ascii="Calibri" w:hAnsi="Calibri" w:cs="Calibri"/>
          <w:sz w:val="22"/>
          <w:szCs w:val="22"/>
        </w:rPr>
      </w:pPr>
      <w:r>
        <w:t>d)</w:t>
      </w:r>
      <w:r>
        <w:rPr>
          <w:sz w:val="14"/>
          <w:szCs w:val="14"/>
        </w:rPr>
        <w:t xml:space="preserve">      </w:t>
      </w:r>
      <w:r>
        <w:t>Capacity.</w:t>
      </w:r>
    </w:p>
    <w:p w14:paraId="3F5AD9F0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1440"/>
        <w:jc w:val="both"/>
        <w:rPr>
          <w:rFonts w:ascii="Calibri" w:hAnsi="Calibri" w:cs="Calibri"/>
          <w:sz w:val="22"/>
          <w:szCs w:val="22"/>
        </w:rPr>
      </w:pPr>
      <w:r>
        <w:t>e)</w:t>
      </w:r>
      <w:r>
        <w:rPr>
          <w:sz w:val="14"/>
          <w:szCs w:val="14"/>
        </w:rPr>
        <w:t xml:space="preserve">      </w:t>
      </w:r>
      <w:r>
        <w:t>Consideration</w:t>
      </w:r>
    </w:p>
    <w:p w14:paraId="1B67A7E7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1440"/>
        <w:jc w:val="both"/>
        <w:rPr>
          <w:rFonts w:ascii="Calibri" w:hAnsi="Calibri" w:cs="Calibri"/>
          <w:sz w:val="22"/>
          <w:szCs w:val="22"/>
        </w:rPr>
      </w:pPr>
      <w:r>
        <w:t>f)</w:t>
      </w:r>
      <w:r>
        <w:rPr>
          <w:sz w:val="14"/>
          <w:szCs w:val="14"/>
        </w:rPr>
        <w:t xml:space="preserve">       </w:t>
      </w:r>
      <w:r>
        <w:t>Legality.</w:t>
      </w:r>
    </w:p>
    <w:p w14:paraId="72A108FB" w14:textId="1CCB87E6" w:rsidR="00F611AF" w:rsidRP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b/>
          <w:bCs/>
          <w:sz w:val="22"/>
          <w:szCs w:val="22"/>
        </w:rPr>
      </w:pPr>
      <w:r>
        <w:t>2.</w:t>
      </w:r>
      <w:r>
        <w:rPr>
          <w:sz w:val="14"/>
          <w:szCs w:val="14"/>
        </w:rPr>
        <w:t xml:space="preserve">      </w:t>
      </w:r>
      <w:r w:rsidRPr="00F611AF">
        <w:rPr>
          <w:b/>
          <w:bCs/>
        </w:rPr>
        <w:t xml:space="preserve">What is the difference between </w:t>
      </w:r>
      <w:proofErr w:type="spellStart"/>
      <w:r w:rsidRPr="00F611AF">
        <w:rPr>
          <w:b/>
          <w:bCs/>
        </w:rPr>
        <w:t>MoU</w:t>
      </w:r>
      <w:proofErr w:type="spellEnd"/>
      <w:r w:rsidRPr="00F611AF">
        <w:rPr>
          <w:b/>
          <w:bCs/>
        </w:rPr>
        <w:t>/</w:t>
      </w:r>
      <w:proofErr w:type="spellStart"/>
      <w:r w:rsidRPr="00F611AF">
        <w:rPr>
          <w:b/>
          <w:bCs/>
        </w:rPr>
        <w:t>MoA</w:t>
      </w:r>
      <w:proofErr w:type="spellEnd"/>
      <w:r w:rsidRPr="00F611AF">
        <w:rPr>
          <w:b/>
          <w:bCs/>
        </w:rPr>
        <w:t xml:space="preserve"> and a </w:t>
      </w:r>
      <w:proofErr w:type="gramStart"/>
      <w:r w:rsidRPr="00F611AF">
        <w:rPr>
          <w:b/>
          <w:bCs/>
        </w:rPr>
        <w:t>contract.</w:t>
      </w:r>
      <w:proofErr w:type="gramEnd"/>
    </w:p>
    <w:p w14:paraId="26E26AA3" w14:textId="4A0C73E3" w:rsid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sz w:val="22"/>
          <w:szCs w:val="22"/>
        </w:rPr>
      </w:pPr>
      <w:proofErr w:type="gramStart"/>
      <w:r>
        <w:t>An</w:t>
      </w:r>
      <w:proofErr w:type="gramEnd"/>
      <w:r>
        <w:t xml:space="preserve"> MoU is not legally binding while the </w:t>
      </w:r>
      <w:proofErr w:type="spellStart"/>
      <w:r>
        <w:t>MoA</w:t>
      </w:r>
      <w:proofErr w:type="spellEnd"/>
      <w:r>
        <w:t xml:space="preserve"> and contract are legally binding, in essence, a </w:t>
      </w:r>
      <w:proofErr w:type="spellStart"/>
      <w:r>
        <w:t>MoA</w:t>
      </w:r>
      <w:proofErr w:type="spellEnd"/>
      <w:r>
        <w:t xml:space="preserve"> and a contract are the same things from the legal perspective.</w:t>
      </w:r>
    </w:p>
    <w:p w14:paraId="5721C6F4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t> </w:t>
      </w:r>
    </w:p>
    <w:p w14:paraId="45DA7361" w14:textId="1555C270" w:rsidR="00F611AF" w:rsidRP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b/>
          <w:bCs/>
          <w:sz w:val="22"/>
          <w:szCs w:val="22"/>
        </w:rPr>
      </w:pPr>
      <w:r>
        <w:t>3.</w:t>
      </w:r>
      <w:r>
        <w:rPr>
          <w:sz w:val="14"/>
          <w:szCs w:val="14"/>
        </w:rPr>
        <w:t xml:space="preserve">      </w:t>
      </w:r>
      <w:r w:rsidRPr="00F611AF">
        <w:rPr>
          <w:b/>
          <w:bCs/>
        </w:rPr>
        <w:t>Why is a MoU subjected to the process of concurrence with the relevant Cabinet Secretary and the Attorney General if they are not legally binding?</w:t>
      </w:r>
    </w:p>
    <w:p w14:paraId="688929ED" w14:textId="74627E3C" w:rsidR="00F611AF" w:rsidRPr="00434AA6" w:rsidRDefault="00F611AF" w:rsidP="00434AA6">
      <w:pPr>
        <w:pStyle w:val="gmail-msolistparagraph"/>
        <w:spacing w:before="0" w:beforeAutospacing="0" w:after="0" w:afterAutospacing="0" w:line="360" w:lineRule="auto"/>
        <w:ind w:left="720"/>
        <w:jc w:val="both"/>
      </w:pPr>
      <w:r>
        <w:t>he office of the Attorney General recently released a circular</w:t>
      </w:r>
      <w:r w:rsidR="00DB33E2">
        <w:t xml:space="preserve"> </w:t>
      </w:r>
      <w:r w:rsidR="00434AA6">
        <w:t>(</w:t>
      </w:r>
      <w:r w:rsidR="00833EED">
        <w:rPr>
          <w:b/>
          <w:bCs/>
        </w:rPr>
        <w:t>T</w:t>
      </w:r>
      <w:r w:rsidR="00833EED" w:rsidRPr="00BA5B41">
        <w:rPr>
          <w:b/>
          <w:bCs/>
        </w:rPr>
        <w:t>reasury</w:t>
      </w:r>
      <w:r w:rsidR="00FE7F37" w:rsidRPr="00BA5B41">
        <w:rPr>
          <w:b/>
          <w:bCs/>
        </w:rPr>
        <w:t xml:space="preserve"> circular No. 12/2018</w:t>
      </w:r>
      <w:r w:rsidR="00434AA6">
        <w:t>)</w:t>
      </w:r>
      <w:r>
        <w:t xml:space="preserve"> indicating that </w:t>
      </w:r>
      <w:proofErr w:type="spellStart"/>
      <w:r>
        <w:t>MoUs</w:t>
      </w:r>
      <w:proofErr w:type="spellEnd"/>
      <w:r>
        <w:t xml:space="preserve"> must be subjected to relevant CS and AGs offices hence this must be adhered to.</w:t>
      </w:r>
    </w:p>
    <w:p w14:paraId="711A5332" w14:textId="73C791E2" w:rsid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sz w:val="22"/>
          <w:szCs w:val="22"/>
        </w:rPr>
      </w:pPr>
      <w:proofErr w:type="gramStart"/>
      <w:r>
        <w:t>An</w:t>
      </w:r>
      <w:proofErr w:type="gramEnd"/>
      <w:r>
        <w:t xml:space="preserve"> MoU being not legally binding does not mean that the due process is not followed since the intentions of the parties are cleared indicate, due process must be followed.</w:t>
      </w:r>
    </w:p>
    <w:p w14:paraId="19F686CC" w14:textId="77777777" w:rsidR="00F611AF" w:rsidRDefault="00F611AF" w:rsidP="00F611AF">
      <w:pPr>
        <w:pStyle w:val="gmail-msolistparagraph"/>
        <w:spacing w:before="0" w:beforeAutospacing="0" w:after="0" w:afterAutospacing="0" w:line="36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t>4.</w:t>
      </w:r>
      <w:r>
        <w:rPr>
          <w:sz w:val="14"/>
          <w:szCs w:val="14"/>
        </w:rPr>
        <w:t xml:space="preserve">      </w:t>
      </w:r>
      <w:r w:rsidRPr="00F611AF">
        <w:rPr>
          <w:b/>
          <w:bCs/>
        </w:rPr>
        <w:t>When preparing a contract is required to indicate an arbitrator in cases of disputes among the contract parties.</w:t>
      </w:r>
    </w:p>
    <w:p w14:paraId="219E0DAA" w14:textId="3D97BC32" w:rsidR="00F611AF" w:rsidRDefault="00F611AF" w:rsidP="00F611AF">
      <w:pPr>
        <w:pStyle w:val="gmail-msolistparagraph"/>
        <w:spacing w:before="0" w:beforeAutospacing="0" w:after="160" w:afterAutospacing="0" w:line="360" w:lineRule="auto"/>
        <w:ind w:left="720"/>
        <w:jc w:val="both"/>
        <w:rPr>
          <w:rFonts w:ascii="Calibri" w:hAnsi="Calibri" w:cs="Calibri"/>
          <w:sz w:val="22"/>
          <w:szCs w:val="22"/>
        </w:rPr>
      </w:pPr>
      <w:r>
        <w:t>It is not necessary to indicate an arbitrator in a contract. Still, a clause should be included showing that in -the case of a dispute it will be handled by the International Arbitration centre.</w:t>
      </w:r>
    </w:p>
    <w:sectPr w:rsidR="00F611A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926952"/>
    <w:multiLevelType w:val="hybridMultilevel"/>
    <w:tmpl w:val="5828901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2D5605EF"/>
    <w:multiLevelType w:val="hybridMultilevel"/>
    <w:tmpl w:val="F0745C3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BA1B91"/>
    <w:multiLevelType w:val="hybridMultilevel"/>
    <w:tmpl w:val="818E916A"/>
    <w:lvl w:ilvl="0" w:tplc="FBF803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8D4AAF"/>
    <w:multiLevelType w:val="hybridMultilevel"/>
    <w:tmpl w:val="C9BA771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285"/>
    <w:rsid w:val="0022599A"/>
    <w:rsid w:val="00232B08"/>
    <w:rsid w:val="003442AA"/>
    <w:rsid w:val="00434AA6"/>
    <w:rsid w:val="00665BC1"/>
    <w:rsid w:val="006F5285"/>
    <w:rsid w:val="00817692"/>
    <w:rsid w:val="00833EED"/>
    <w:rsid w:val="009B7B79"/>
    <w:rsid w:val="00BA5B41"/>
    <w:rsid w:val="00DB33E2"/>
    <w:rsid w:val="00E8608B"/>
    <w:rsid w:val="00F611AF"/>
    <w:rsid w:val="00FE7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E0473"/>
  <w15:chartTrackingRefBased/>
  <w15:docId w15:val="{000C8895-69E2-47DC-8777-1ECC20B88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F52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6F5285"/>
    <w:rPr>
      <w:b/>
      <w:bCs/>
    </w:rPr>
  </w:style>
  <w:style w:type="paragraph" w:styleId="ListParagraph">
    <w:name w:val="List Paragraph"/>
    <w:basedOn w:val="Normal"/>
    <w:uiPriority w:val="34"/>
    <w:qFormat/>
    <w:rsid w:val="006F5285"/>
    <w:pPr>
      <w:ind w:left="720"/>
      <w:contextualSpacing/>
    </w:pPr>
  </w:style>
  <w:style w:type="paragraph" w:customStyle="1" w:styleId="gmail-msolistparagraph">
    <w:name w:val="gmail-msolistparagraph"/>
    <w:basedOn w:val="Normal"/>
    <w:rsid w:val="00F611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16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dcterms:created xsi:type="dcterms:W3CDTF">2022-11-07T19:50:00Z</dcterms:created>
  <dcterms:modified xsi:type="dcterms:W3CDTF">2022-11-07T19:50:00Z</dcterms:modified>
</cp:coreProperties>
</file>