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60601-2-5 Compliance Guide for Manufacturers and Regulatory Consultants</w:t>
      </w:r>
    </w:p>
    <w:p>
      <w:r>
        <w:rPr>
          <w:b/>
        </w:rPr>
        <w:t xml:space="preserve">Source URL: </w:t>
      </w:r>
      <w:r>
        <w:t>https://www.itcindia.org/iec-60601-2-5-compliance-guide-for-manufacturers-and-regulatory-consultants/</w:t>
      </w:r>
    </w:p>
    <w:p/>
    <w:p>
      <w:r>
        <w:t>IEC 60601-2-5 specifies the particular requirements for the basic safety and essential performance of ultrasonic physiotherapy equipment. IEC 60601-2-5 testing supplements IEC 60601-1 and must be applied in conjunction with the general standard and applicable collateral standards. ITC India Pvt Ltd We are just a call away + 91-9316473033</w:t>
      </w:r>
    </w:p>
    <w:p>
      <w:r>
        <w:t>For manufacturers and regulatory consultants, understanding this standard is critical for CE marking, FDA submissions, and global market access. https://webstore.iec.ch/en/publication/2668</w:t>
      </w:r>
    </w:p>
    <w:p>
      <w:pPr>
        <w:pStyle w:val="Heading2"/>
      </w:pPr>
      <w:r>
        <w:t>Regulatory Position of IEC 60601-2-5 in the 60601 Framework</w:t>
      </w:r>
    </w:p>
    <w:p>
      <w:r>
        <w:t>IEC 60601-2-5 is a particular standard , meaning it modifies or replaces clauses of:</w:t>
      </w:r>
    </w:p>
    <w:p>
      <w:pPr>
        <w:pStyle w:val="ListBullet"/>
      </w:pPr>
      <w:r>
        <w:t>IEC 60601-1 (General Safety)</w:t>
      </w:r>
    </w:p>
    <w:p>
      <w:pPr>
        <w:pStyle w:val="ListBullet"/>
      </w:pPr>
      <w:r>
        <w:t>IEC 60601-1-2 (EMC)</w:t>
      </w:r>
    </w:p>
    <w:p>
      <w:pPr>
        <w:pStyle w:val="ListBullet"/>
      </w:pPr>
      <w:r>
        <w:t>IEC 60601-1-6 (Usability)</w:t>
      </w:r>
    </w:p>
    <w:p>
      <w:pPr>
        <w:pStyle w:val="ListBullet"/>
      </w:pPr>
      <w:r>
        <w:t>IEC 60601-1-8 (Alarms, if applicable)</w:t>
      </w:r>
    </w:p>
    <w:p>
      <w:pPr>
        <w:pStyle w:val="ListBullet"/>
      </w:pPr>
      <w:r>
        <w:t>ISO 14971 (Risk Management – mandatory integration)</w:t>
      </w:r>
    </w:p>
    <w:p>
      <w:r>
        <w:t>Where conflicts exist, IEC 60601-2-5 takes precedence. IEC 60601 Testing. Elevate your electro-medical devices standards</w:t>
      </w:r>
    </w:p>
    <w:p>
      <w:pPr>
        <w:pStyle w:val="Heading2"/>
      </w:pPr>
      <w:r>
        <w:t>Scope and Device Classification Considerations</w:t>
      </w:r>
    </w:p>
    <w:p>
      <w:r>
        <w:t>This standard applies to:</w:t>
      </w:r>
    </w:p>
    <w:p>
      <w:pPr>
        <w:pStyle w:val="ListBullet"/>
      </w:pPr>
      <w:r>
        <w:t>Therapeutic ultrasound devices</w:t>
      </w:r>
    </w:p>
    <w:p>
      <w:pPr>
        <w:pStyle w:val="ListBullet"/>
      </w:pPr>
      <w:r>
        <w:t>Continuous and pulsed output systems</w:t>
      </w:r>
    </w:p>
    <w:p>
      <w:pPr>
        <w:pStyle w:val="ListBullet"/>
      </w:pPr>
      <w:r>
        <w:t>Physiotherapy ultrasound equipment used in clinical environments</w:t>
      </w:r>
    </w:p>
    <w:p>
      <w:r>
        <w:t>Regulatory consultants must confirm:</w:t>
      </w:r>
    </w:p>
    <w:p>
      <w:pPr>
        <w:pStyle w:val="ListBullet"/>
      </w:pPr>
      <w:r>
        <w:t>Intended use alignment</w:t>
      </w:r>
    </w:p>
    <w:p>
      <w:pPr>
        <w:pStyle w:val="ListBullet"/>
      </w:pPr>
      <w:r>
        <w:t>Device classification (EU MDR / FDA)</w:t>
      </w:r>
    </w:p>
    <w:p>
      <w:pPr>
        <w:pStyle w:val="ListBullet"/>
      </w:pPr>
      <w:r>
        <w:t>Energy output thresholds</w:t>
      </w:r>
    </w:p>
    <w:p>
      <w:pPr>
        <w:pStyle w:val="ListBullet"/>
      </w:pPr>
      <w:r>
        <w:t>Applicator configuration</w:t>
      </w:r>
    </w:p>
    <w:p>
      <w:r>
        <w:t>Misclassification may result in non-compliance during technical file review. https://www.iso.org/standard/72704.html</w:t>
      </w:r>
    </w:p>
    <w:p>
      <w:pPr>
        <w:pStyle w:val="Heading2"/>
      </w:pPr>
      <w:r>
        <w:t>Basic Safety Requirements – Design &amp; Verification Focus</w:t>
      </w:r>
    </w:p>
    <w:p>
      <w:pPr>
        <w:pStyle w:val="Heading2"/>
      </w:pPr>
      <w:r>
        <w:t>Electrical Safety IEC-60601-2-5-testing</w:t>
      </w:r>
    </w:p>
    <w:p>
      <w:r>
        <w:t>Manufacturers must demonstrate:</w:t>
      </w:r>
    </w:p>
    <w:p>
      <w:pPr>
        <w:pStyle w:val="ListBullet"/>
      </w:pPr>
      <w:r>
        <w:t>Compliance with leakage current limits</w:t>
      </w:r>
    </w:p>
    <w:p>
      <w:pPr>
        <w:pStyle w:val="ListBullet"/>
      </w:pPr>
      <w:r>
        <w:t>Protection against electric shock (MOOP/MOPP requirements)</w:t>
      </w:r>
    </w:p>
    <w:p>
      <w:pPr>
        <w:pStyle w:val="ListBullet"/>
      </w:pPr>
      <w:r>
        <w:t>Adequate insulation coordination</w:t>
      </w:r>
    </w:p>
    <w:p>
      <w:pPr>
        <w:pStyle w:val="ListBullet"/>
      </w:pPr>
      <w:r>
        <w:t>Safe power supply design</w:t>
      </w:r>
    </w:p>
    <w:p>
      <w:r>
        <w:t>Testing must follow IEC 60601-1 baseline criteria. https://en.wikipedia.org/wiki/IEC_60601</w:t>
      </w:r>
    </w:p>
    <w:p>
      <w:pPr>
        <w:pStyle w:val="Heading2"/>
      </w:pPr>
      <w:r>
        <w:t>Acoustic Output Control</w:t>
      </w:r>
    </w:p>
    <w:p>
      <w:r>
        <w:t>Critical compliance parameters include:</w:t>
      </w:r>
    </w:p>
    <w:p>
      <w:pPr>
        <w:pStyle w:val="ListBullet"/>
      </w:pPr>
      <w:r>
        <w:t>Ultrasonic frequency accuracy</w:t>
      </w:r>
    </w:p>
    <w:p>
      <w:pPr>
        <w:pStyle w:val="ListBullet"/>
      </w:pPr>
      <w:r>
        <w:t>Effective radiating area (ERA)</w:t>
      </w:r>
    </w:p>
    <w:p>
      <w:pPr>
        <w:pStyle w:val="ListBullet"/>
      </w:pPr>
      <w:r>
        <w:t>Beam non-uniformity ratio (BNR)</w:t>
      </w:r>
    </w:p>
    <w:p>
      <w:pPr>
        <w:pStyle w:val="ListBullet"/>
      </w:pPr>
      <w:r>
        <w:t>Output power tolerance</w:t>
      </w:r>
    </w:p>
    <w:p>
      <w:pPr>
        <w:pStyle w:val="ListBullet"/>
      </w:pPr>
      <w:r>
        <w:t>Maximum intensity limits</w:t>
      </w:r>
    </w:p>
    <w:p>
      <w:r>
        <w:t>Uncontrolled output presents risk of thermal injury and tissue damage. EMC Testing</w:t>
      </w:r>
    </w:p>
    <w:p>
      <w:pPr>
        <w:pStyle w:val="Heading2"/>
      </w:pPr>
      <w:r>
        <w:t>Thermal and Mechanical Safety</w:t>
      </w:r>
    </w:p>
    <w:p>
      <w:r>
        <w:t>Verification must include:</w:t>
      </w:r>
    </w:p>
    <w:p>
      <w:pPr>
        <w:pStyle w:val="ListBullet"/>
      </w:pPr>
      <w:r>
        <w:t>Transducer surface temperature limits</w:t>
      </w:r>
    </w:p>
    <w:p>
      <w:pPr>
        <w:pStyle w:val="ListBullet"/>
      </w:pPr>
      <w:r>
        <w:t>Mechanical robustness of applicators</w:t>
      </w:r>
    </w:p>
    <w:p>
      <w:pPr>
        <w:pStyle w:val="ListBullet"/>
      </w:pPr>
      <w:r>
        <w:t>Prevention of unintended continuous emission</w:t>
      </w:r>
    </w:p>
    <w:p>
      <w:pPr>
        <w:pStyle w:val="ListBullet"/>
      </w:pPr>
      <w:r>
        <w:t>Fail-safe design in case of control malfunction</w:t>
      </w:r>
    </w:p>
    <w:p>
      <w:pPr>
        <w:pStyle w:val="Heading2"/>
      </w:pPr>
      <w:r>
        <w:t>Essential Performance – Risk-Based Interpretation</w:t>
      </w:r>
    </w:p>
    <w:p>
      <w:r>
        <w:t>Under IEC 60601-2-5, essential performance relates to:</w:t>
      </w:r>
    </w:p>
    <w:p>
      <w:r>
        <w:t>The ability of the ultrasonic physiotherapy equipment to deliver therapeutic energy within specified tolerances without causing unacceptable risk.</w:t>
      </w:r>
    </w:p>
    <w:p>
      <w:r>
        <w:t>Manufacturers must define:</w:t>
      </w:r>
    </w:p>
    <w:p>
      <w:pPr>
        <w:pStyle w:val="ListBullet"/>
      </w:pPr>
      <w:r>
        <w:t>Essential output parameters</w:t>
      </w:r>
    </w:p>
    <w:p>
      <w:pPr>
        <w:pStyle w:val="ListBullet"/>
      </w:pPr>
      <w:r>
        <w:t>Acceptable performance deviation thresholds</w:t>
      </w:r>
    </w:p>
    <w:p>
      <w:pPr>
        <w:pStyle w:val="ListBullet"/>
      </w:pPr>
      <w:r>
        <w:t>Failure conditions that may lead to harm</w:t>
      </w:r>
    </w:p>
    <w:p>
      <w:pPr>
        <w:pStyle w:val="ListBullet"/>
      </w:pPr>
      <w:r>
        <w:t>Monitoring and protective mechanisms</w:t>
      </w:r>
    </w:p>
    <w:p>
      <w:r>
        <w:t>Regulatory consultants should ensure essential performance is clearly documented in the Risk Management File (RMF).</w:t>
      </w:r>
    </w:p>
    <w:p>
      <w:pPr>
        <w:pStyle w:val="Heading2"/>
      </w:pPr>
      <w:r>
        <w:t>Integration with ISO 14971 Risk Management</w:t>
      </w:r>
    </w:p>
    <w:p>
      <w:r>
        <w:t>IEC 60601-2-5 requires full integration with ISO 14971.</w:t>
      </w:r>
    </w:p>
    <w:p>
      <w:r>
        <w:t>Key documentation must include:</w:t>
      </w:r>
    </w:p>
    <w:p>
      <w:pPr>
        <w:pStyle w:val="ListBullet"/>
      </w:pPr>
      <w:r>
        <w:t>Hazard analysis (thermal injury, cavitation effects, electrical hazards)</w:t>
      </w:r>
    </w:p>
    <w:p>
      <w:pPr>
        <w:pStyle w:val="ListBullet"/>
      </w:pPr>
      <w:r>
        <w:t>Risk estimation and control measures</w:t>
      </w:r>
    </w:p>
    <w:p>
      <w:pPr>
        <w:pStyle w:val="ListBullet"/>
      </w:pPr>
      <w:r>
        <w:t>Verification of risk control effectiveness</w:t>
      </w:r>
    </w:p>
    <w:p>
      <w:pPr>
        <w:pStyle w:val="ListBullet"/>
      </w:pPr>
      <w:r>
        <w:t>Residual risk evaluation</w:t>
      </w:r>
    </w:p>
    <w:p>
      <w:pPr>
        <w:pStyle w:val="ListBullet"/>
      </w:pPr>
      <w:r>
        <w:t>Benefit-risk analysis</w:t>
      </w:r>
    </w:p>
    <w:p>
      <w:r>
        <w:t>Notified Bodies increasingly scrutinize essential performance linkage to risk controls. EMI/EMC for Medical Devices</w:t>
      </w:r>
    </w:p>
    <w:p>
      <w:pPr>
        <w:pStyle w:val="Heading2"/>
      </w:pPr>
      <w:r>
        <w:t>Testing &amp; Verification Strategy</w:t>
      </w:r>
    </w:p>
    <w:p>
      <w:r>
        <w:t>Manufacturers should prepare for:</w:t>
      </w:r>
    </w:p>
    <w:p>
      <w:pPr>
        <w:pStyle w:val="ListBullet"/>
      </w:pPr>
      <w:r>
        <w:t>Acoustic power measurement</w:t>
      </w:r>
    </w:p>
    <w:p>
      <w:pPr>
        <w:pStyle w:val="ListBullet"/>
      </w:pPr>
      <w:r>
        <w:t>Beam profile analysis</w:t>
      </w:r>
    </w:p>
    <w:p>
      <w:pPr>
        <w:pStyle w:val="ListBullet"/>
      </w:pPr>
      <w:r>
        <w:t>Output stability testing</w:t>
      </w:r>
    </w:p>
    <w:p>
      <w:pPr>
        <w:pStyle w:val="ListBullet"/>
      </w:pPr>
      <w:r>
        <w:t>Temperature rise testing</w:t>
      </w:r>
    </w:p>
    <w:p>
      <w:pPr>
        <w:pStyle w:val="ListBullet"/>
      </w:pPr>
      <w:r>
        <w:t>Leakage current testing</w:t>
      </w:r>
    </w:p>
    <w:p>
      <w:pPr>
        <w:pStyle w:val="ListBullet"/>
      </w:pPr>
      <w:r>
        <w:t>Mechanical durability testing</w:t>
      </w:r>
    </w:p>
    <w:p>
      <w:pPr>
        <w:pStyle w:val="ListBullet"/>
      </w:pPr>
      <w:r>
        <w:t>EMC testing (IEC 60601-1-2)</w:t>
      </w:r>
    </w:p>
    <w:p>
      <w:r>
        <w:t>Testing must be traceable, calibrated, and documented in accordance with QMS requirements (ISO 13485).</w:t>
      </w:r>
    </w:p>
    <w:p>
      <w:pPr>
        <w:pStyle w:val="Heading2"/>
      </w:pPr>
      <w:r>
        <w:t>Technical Documentation Requirements (EU MDR Perspective)</w:t>
      </w:r>
    </w:p>
    <w:p>
      <w:r>
        <w:t>For CE marking, documentation must include:</w:t>
      </w:r>
    </w:p>
    <w:p>
      <w:pPr>
        <w:pStyle w:val="ListBullet"/>
      </w:pPr>
      <w:r>
        <w:t>General Safety and Performance Requirements (GSPR) mapping</w:t>
      </w:r>
    </w:p>
    <w:p>
      <w:pPr>
        <w:pStyle w:val="ListBullet"/>
      </w:pPr>
      <w:r>
        <w:t>Standards compliance matrix</w:t>
      </w:r>
    </w:p>
    <w:p>
      <w:pPr>
        <w:pStyle w:val="ListBullet"/>
      </w:pPr>
      <w:r>
        <w:t>Test reports from accredited laboratory</w:t>
      </w:r>
    </w:p>
    <w:p>
      <w:pPr>
        <w:pStyle w:val="ListBullet"/>
      </w:pPr>
      <w:r>
        <w:t>Risk Management File</w:t>
      </w:r>
    </w:p>
    <w:p>
      <w:pPr>
        <w:pStyle w:val="ListBullet"/>
      </w:pPr>
      <w:r>
        <w:t>Usability engineering file</w:t>
      </w:r>
    </w:p>
    <w:p>
      <w:pPr>
        <w:pStyle w:val="ListBullet"/>
      </w:pPr>
      <w:r>
        <w:t>Clinical evaluation (where applicable)</w:t>
      </w:r>
    </w:p>
    <w:p>
      <w:pPr>
        <w:pStyle w:val="ListBullet"/>
      </w:pPr>
      <w:r>
        <w:t>Post-market surveillance planning</w:t>
      </w:r>
    </w:p>
    <w:p>
      <w:r>
        <w:t>IEC 60601-2-5 compliance alone does not ensure CE marking — it must be integrated into the full regulatory strategy.</w:t>
      </w:r>
    </w:p>
    <w:p>
      <w:pPr>
        <w:pStyle w:val="Heading2"/>
      </w:pPr>
      <w:r>
        <w:t>FDA Considerations (US Market)</w:t>
      </w:r>
    </w:p>
    <w:p>
      <w:r>
        <w:t>For 510(k) submissions:</w:t>
      </w:r>
    </w:p>
    <w:p>
      <w:pPr>
        <w:pStyle w:val="ListBullet"/>
      </w:pPr>
      <w:r>
        <w:t>Identify predicate device</w:t>
      </w:r>
    </w:p>
    <w:p>
      <w:pPr>
        <w:pStyle w:val="ListBullet"/>
      </w:pPr>
      <w:r>
        <w:t>Demonstrate substantial equivalence</w:t>
      </w:r>
    </w:p>
    <w:p>
      <w:pPr>
        <w:pStyle w:val="ListBullet"/>
      </w:pPr>
      <w:r>
        <w:t>Provide performance testing data</w:t>
      </w:r>
    </w:p>
    <w:p>
      <w:pPr>
        <w:pStyle w:val="ListBullet"/>
      </w:pPr>
      <w:r>
        <w:t>Address software validation (if applicable)</w:t>
      </w:r>
    </w:p>
    <w:p>
      <w:pPr>
        <w:pStyle w:val="ListBullet"/>
      </w:pPr>
      <w:r>
        <w:t>Provide acoustic output verification</w:t>
      </w:r>
    </w:p>
    <w:p>
      <w:r>
        <w:t>FDA may request additional performance data depending on output characteristics.</w:t>
      </w:r>
    </w:p>
    <w:p>
      <w:pPr>
        <w:pStyle w:val="Heading2"/>
      </w:pPr>
      <w:r>
        <w:t>Common Compliance Gaps Identified by Notified Bodies</w:t>
      </w:r>
    </w:p>
    <w:p>
      <w:pPr>
        <w:pStyle w:val="ListBullet"/>
      </w:pPr>
      <w:r>
        <w:t>Poor definition of essential performance</w:t>
      </w:r>
    </w:p>
    <w:p>
      <w:pPr>
        <w:pStyle w:val="ListBullet"/>
      </w:pPr>
      <w:r>
        <w:t>Incomplete risk linkage to acoustic hazards</w:t>
      </w:r>
    </w:p>
    <w:p>
      <w:pPr>
        <w:pStyle w:val="ListBullet"/>
      </w:pPr>
      <w:r>
        <w:t>Missing BNR validation</w:t>
      </w:r>
    </w:p>
    <w:p>
      <w:pPr>
        <w:pStyle w:val="ListBullet"/>
      </w:pPr>
      <w:r>
        <w:t>Inadequate temperature testing</w:t>
      </w:r>
    </w:p>
    <w:p>
      <w:pPr>
        <w:pStyle w:val="ListBullet"/>
      </w:pPr>
      <w:r>
        <w:t>Insufficient traceability in technical file</w:t>
      </w:r>
    </w:p>
    <w:p>
      <w:r>
        <w:t>Proactive gap assessment reduces approval delays.</w:t>
      </w:r>
    </w:p>
    <w:p>
      <w:pPr>
        <w:pStyle w:val="Heading2"/>
      </w:pPr>
      <w:r>
        <w:t>Strategic Compliance Approach for Manufacturers</w:t>
      </w:r>
    </w:p>
    <w:p>
      <w:r>
        <w:t>Recommended pathway:</w:t>
      </w:r>
    </w:p>
    <w:p>
      <w:pPr>
        <w:pStyle w:val="ListBullet"/>
      </w:pPr>
      <w:r>
        <w:t>Define intended use and classification</w:t>
      </w:r>
    </w:p>
    <w:p>
      <w:pPr>
        <w:pStyle w:val="ListBullet"/>
      </w:pPr>
      <w:r>
        <w:t>Perform risk analysis early in design phase</w:t>
      </w:r>
    </w:p>
    <w:p>
      <w:pPr>
        <w:pStyle w:val="ListBullet"/>
      </w:pPr>
      <w:r>
        <w:t>Identify applicable clauses of IEC 60601-2-5</w:t>
      </w:r>
    </w:p>
    <w:p>
      <w:pPr>
        <w:pStyle w:val="ListBullet"/>
      </w:pPr>
      <w:r>
        <w:t>Conduct pre-compliance testing</w:t>
      </w:r>
    </w:p>
    <w:p>
      <w:pPr>
        <w:pStyle w:val="ListBullet"/>
      </w:pPr>
      <w:r>
        <w:t>Perform full accredited laboratory testing</w:t>
      </w:r>
    </w:p>
    <w:p>
      <w:pPr>
        <w:pStyle w:val="ListBullet"/>
      </w:pPr>
      <w:r>
        <w:t>Compile regulatory documentation</w:t>
      </w:r>
    </w:p>
    <w:p>
      <w:pPr>
        <w:pStyle w:val="ListBullet"/>
      </w:pPr>
      <w:r>
        <w:t>Conduct internal audit before submission</w:t>
      </w:r>
    </w:p>
    <w:p>
      <w:r>
        <w:t>Early compliance integration significantly reduces redesign risk.</w:t>
      </w:r>
    </w:p>
    <w:p>
      <w:pPr>
        <w:pStyle w:val="Heading2"/>
      </w:pPr>
      <w:r>
        <w:t>Conclusion</w:t>
      </w:r>
    </w:p>
    <w:p>
      <w:r>
        <w:t>IEC 60601-2-5 is a critical standard governing the safe therapeutic delivery of ultrasonic energy. For manufacturers and regulatory consultants, successful compliance requires a structured, risk-based, and documentation-driven approach aligned with global regulatory frameworks.</w:t>
      </w:r>
    </w:p>
    <w:p>
      <w:r>
        <w:t>Strategic implementation ensures:</w:t>
      </w:r>
    </w:p>
    <w:p>
      <w:pPr>
        <w:pStyle w:val="ListBullet"/>
      </w:pPr>
      <w:r>
        <w:t>Safer products</w:t>
      </w:r>
    </w:p>
    <w:p>
      <w:pPr>
        <w:pStyle w:val="ListBullet"/>
      </w:pPr>
      <w:r>
        <w:t>Faster approvals</w:t>
      </w:r>
    </w:p>
    <w:p>
      <w:pPr>
        <w:pStyle w:val="ListBullet"/>
      </w:pPr>
      <w:r>
        <w:t>Reduced regulatory queries</w:t>
      </w:r>
    </w:p>
    <w:p>
      <w:pPr>
        <w:pStyle w:val="ListBullet"/>
      </w:pPr>
      <w:r>
        <w:t>Stronger global market positioning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