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CEBB" w14:textId="77777777" w:rsidR="0042656A" w:rsidRDefault="00000000">
      <w:pPr>
        <w:spacing w:after="200"/>
      </w:pPr>
      <w:r>
        <w:rPr>
          <w:b/>
          <w:bCs/>
          <w:color w:val="1F3864"/>
          <w:sz w:val="44"/>
          <w:szCs w:val="44"/>
        </w:rPr>
        <w:t>AI Governance Framework</w:t>
      </w:r>
    </w:p>
    <w:p w14:paraId="1C679CE6" w14:textId="77777777" w:rsidR="0042656A" w:rsidRDefault="00000000">
      <w:pPr>
        <w:spacing w:after="100"/>
      </w:pPr>
      <w:r>
        <w:rPr>
          <w:i/>
          <w:iCs/>
          <w:color w:val="44546A"/>
          <w:sz w:val="24"/>
          <w:szCs w:val="24"/>
        </w:rPr>
        <w:t>Core Toolkit — Foundational Document 1 of 8</w:t>
      </w:r>
    </w:p>
    <w:p w14:paraId="4DFAE98A" w14:textId="77777777" w:rsidR="0042656A" w:rsidRDefault="00000000">
      <w:pPr>
        <w:pBdr>
          <w:bottom w:val="single" w:sz="6" w:space="8" w:color="D9D9D9"/>
        </w:pBdr>
        <w:spacing w:after="400"/>
      </w:pPr>
      <w:r>
        <w:rPr>
          <w:color w:val="44546A"/>
          <w:sz w:val="18"/>
          <w:szCs w:val="18"/>
        </w:rPr>
        <w:t>Doc ID: AIGV-CORE-001 · Version 1.0</w:t>
      </w:r>
    </w:p>
    <w:p w14:paraId="2DDE1FA3" w14:textId="77777777" w:rsidR="0042656A" w:rsidRDefault="00000000">
      <w:pPr>
        <w:spacing w:before="100" w:after="60"/>
      </w:pPr>
      <w:r>
        <w:rPr>
          <w:b/>
          <w:bCs/>
          <w:color w:val="44546A"/>
          <w:sz w:val="18"/>
          <w:szCs w:val="18"/>
        </w:rPr>
        <w:t>Disclaimer</w:t>
      </w:r>
    </w:p>
    <w:p w14:paraId="3D707526" w14:textId="77777777" w:rsidR="0042656A" w:rsidRDefault="00000000">
      <w:pPr>
        <w:spacing w:after="200"/>
      </w:pPr>
      <w:r>
        <w:rPr>
          <w:i/>
          <w:iCs/>
          <w:color w:val="44546A"/>
          <w:sz w:val="16"/>
          <w:szCs w:val="16"/>
        </w:rPr>
        <w:t xml:space="preserve">This document is a portfolio artefact created for demonstration and educational purposes only. It does not represent the policies, systems, or practices of any real </w:t>
      </w:r>
      <w:proofErr w:type="spellStart"/>
      <w:r>
        <w:rPr>
          <w:i/>
          <w:iCs/>
          <w:color w:val="44546A"/>
          <w:sz w:val="16"/>
          <w:szCs w:val="16"/>
        </w:rPr>
        <w:t>organisation</w:t>
      </w:r>
      <w:proofErr w:type="spellEnd"/>
      <w:r>
        <w:rPr>
          <w:i/>
          <w:iCs/>
          <w:color w:val="44546A"/>
          <w:sz w:val="16"/>
          <w:szCs w:val="16"/>
        </w:rPr>
        <w:t xml:space="preserve">, and no </w:t>
      </w:r>
      <w:proofErr w:type="spellStart"/>
      <w:r>
        <w:rPr>
          <w:i/>
          <w:iCs/>
          <w:color w:val="44546A"/>
          <w:sz w:val="16"/>
          <w:szCs w:val="16"/>
        </w:rPr>
        <w:t>organisation</w:t>
      </w:r>
      <w:proofErr w:type="spellEnd"/>
      <w:r>
        <w:rPr>
          <w:i/>
          <w:iCs/>
          <w:color w:val="44546A"/>
          <w:sz w:val="16"/>
          <w:szCs w:val="16"/>
        </w:rPr>
        <w:t>, vendor, or individual named or implied within it refers to an actual entity. All identifiers (e.g. ORG-AI-0XX) are fictional and used solely to illustrate a coherent governance scenario. This template does not constitute legal advice and should not be relied upon for regulatory compliance without review by qualified counsel and subject-matter experts.</w:t>
      </w:r>
    </w:p>
    <w:p w14:paraId="1E4B10D8" w14:textId="70BBF08F" w:rsidR="0042656A" w:rsidRDefault="00000000">
      <w:pPr>
        <w:spacing w:before="100" w:after="300"/>
      </w:pPr>
      <w:r>
        <w:rPr>
          <w:b/>
          <w:bCs/>
          <w:color w:val="1F3864"/>
          <w:sz w:val="18"/>
          <w:szCs w:val="18"/>
        </w:rPr>
        <w:t>K</w:t>
      </w:r>
      <w:r w:rsidR="00353BB8">
        <w:rPr>
          <w:b/>
          <w:bCs/>
          <w:color w:val="1F3864"/>
          <w:sz w:val="18"/>
          <w:szCs w:val="18"/>
        </w:rPr>
        <w:t>ARUN</w:t>
      </w:r>
      <w:r>
        <w:rPr>
          <w:b/>
          <w:bCs/>
          <w:color w:val="1F3864"/>
          <w:sz w:val="18"/>
          <w:szCs w:val="18"/>
        </w:rPr>
        <w:t xml:space="preserve">. </w:t>
      </w:r>
      <w:proofErr w:type="gramStart"/>
      <w:r>
        <w:rPr>
          <w:b/>
          <w:bCs/>
          <w:color w:val="1F3864"/>
          <w:sz w:val="18"/>
          <w:szCs w:val="18"/>
        </w:rPr>
        <w:t>·</w:t>
      </w:r>
      <w:proofErr w:type="gramEnd"/>
      <w:r>
        <w:rPr>
          <w:b/>
          <w:bCs/>
          <w:color w:val="1F3864"/>
          <w:sz w:val="18"/>
          <w:szCs w:val="18"/>
        </w:rPr>
        <w:t xml:space="preserve"> AIGP (AI Governance Professional)</w:t>
      </w:r>
    </w:p>
    <w:p w14:paraId="40D1E05F" w14:textId="77777777" w:rsidR="0042656A" w:rsidRDefault="00000000">
      <w:pPr>
        <w:pStyle w:val="Heading1"/>
        <w:spacing w:before="360" w:after="160"/>
      </w:pPr>
      <w:r>
        <w:t>1. Purpose and Scope</w:t>
      </w:r>
    </w:p>
    <w:p w14:paraId="4E99754D" w14:textId="7AE5FB76" w:rsidR="0042656A" w:rsidRDefault="00000000">
      <w:pPr>
        <w:spacing w:after="160"/>
      </w:pPr>
      <w:r>
        <w:rPr>
          <w:sz w:val="22"/>
          <w:szCs w:val="22"/>
        </w:rPr>
        <w:t xml:space="preserve">This Framework establishes the </w:t>
      </w:r>
      <w:r w:rsidR="00740394">
        <w:rPr>
          <w:sz w:val="22"/>
          <w:szCs w:val="22"/>
        </w:rPr>
        <w:t>organization’s</w:t>
      </w:r>
      <w:r>
        <w:rPr>
          <w:sz w:val="22"/>
          <w:szCs w:val="22"/>
        </w:rPr>
        <w:t xml:space="preserve"> approach to governing the design, development, procurement, deployment, and retirement of artificial intelligence (AI) systems. It applies to all AI and automated decision-making (ADM) systems used, built, or procured by the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>, including systems embedded within third-party software (Vendor A, Vendor B, Vendor C) and AI capabilities delivered through cloud platforms.</w:t>
      </w:r>
    </w:p>
    <w:p w14:paraId="7035EE2D" w14:textId="77777777" w:rsidR="0042656A" w:rsidRDefault="00000000">
      <w:pPr>
        <w:spacing w:after="160"/>
      </w:pPr>
      <w:r>
        <w:rPr>
          <w:sz w:val="22"/>
          <w:szCs w:val="22"/>
        </w:rPr>
        <w:t>The Framework is designed to be regulation-agnostic at its core, with mapping layers to specific regimes — the EU AI Act, NIST AI Risk Management Framework (AI RMF 1.0), ISO/IEC 42001, and the OECD AI Principles — so that governance activity performed once can be evidenced against multiple obligations.</w:t>
      </w:r>
    </w:p>
    <w:p w14:paraId="5FFF2111" w14:textId="77777777" w:rsidR="0042656A" w:rsidRDefault="00000000">
      <w:pPr>
        <w:pStyle w:val="Heading1"/>
        <w:spacing w:before="360" w:after="160"/>
      </w:pPr>
      <w:r>
        <w:t>2. Governance Objectives</w:t>
      </w:r>
    </w:p>
    <w:p w14:paraId="59A47898" w14:textId="77777777" w:rsidR="00426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Ensure every AI system in use is known, classified, and owned (see AI System Inventory, AIGV-CORE-004).</w:t>
      </w:r>
    </w:p>
    <w:p w14:paraId="15B33CE2" w14:textId="77777777" w:rsidR="00426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Prevent deployment of unacceptable-risk or non-compliant AI systems.</w:t>
      </w:r>
    </w:p>
    <w:p w14:paraId="18335F87" w14:textId="77777777" w:rsidR="00426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proportionate oversight calibrated to risk tier, avoiding blanket bureaucracy for low-risk systems.</w:t>
      </w:r>
    </w:p>
    <w:p w14:paraId="05E48514" w14:textId="77777777" w:rsidR="00426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Maintain audit-ready documentation to support regulatory examination, customer due diligence, and internal assurance.</w:t>
      </w:r>
    </w:p>
    <w:p w14:paraId="2AD20B3C" w14:textId="77777777" w:rsidR="00426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</w:t>
      </w:r>
      <w:proofErr w:type="spellStart"/>
      <w:r>
        <w:rPr>
          <w:sz w:val="22"/>
          <w:szCs w:val="22"/>
        </w:rPr>
        <w:t>organisational</w:t>
      </w:r>
      <w:proofErr w:type="spellEnd"/>
      <w:r>
        <w:rPr>
          <w:sz w:val="22"/>
          <w:szCs w:val="22"/>
        </w:rPr>
        <w:t xml:space="preserve"> capability so governance is owned by business and technical teams, not solely by a central function.</w:t>
      </w:r>
    </w:p>
    <w:p w14:paraId="5705D4C3" w14:textId="77777777" w:rsidR="0042656A" w:rsidRDefault="00000000">
      <w:pPr>
        <w:pStyle w:val="Heading1"/>
        <w:spacing w:before="360" w:after="160"/>
      </w:pPr>
      <w:r>
        <w:t>3. Guiding Principles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42656A" w14:paraId="52DEE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201F" w14:textId="77777777" w:rsidR="0042656A" w:rsidRDefault="00000000"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6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1297" w14:textId="77777777" w:rsidR="0042656A" w:rsidRDefault="00000000">
            <w:r>
              <w:rPr>
                <w:b/>
                <w:bCs/>
                <w:color w:val="FFFFFF"/>
              </w:rPr>
              <w:t>What it means in practice</w:t>
            </w:r>
          </w:p>
        </w:tc>
      </w:tr>
      <w:tr w:rsidR="0042656A" w14:paraId="4B71A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168C" w14:textId="77777777" w:rsidR="0042656A" w:rsidRDefault="00000000">
            <w:r>
              <w:t>Accountability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D53E" w14:textId="77777777" w:rsidR="0042656A" w:rsidRDefault="00000000">
            <w:r>
              <w:t>Every AI system has a named business owner and a named technical owner recorded in the inventory.</w:t>
            </w:r>
          </w:p>
        </w:tc>
      </w:tr>
      <w:tr w:rsidR="0042656A" w14:paraId="2132F2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32B3" w14:textId="77777777" w:rsidR="0042656A" w:rsidRDefault="00000000">
            <w:r>
              <w:t>Proportionality</w:t>
            </w:r>
          </w:p>
        </w:tc>
        <w:tc>
          <w:tcPr>
            <w:tcW w:w="6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D7FE" w14:textId="77777777" w:rsidR="0042656A" w:rsidRDefault="00000000">
            <w:r>
              <w:t xml:space="preserve">Oversight intensity scales with risk tier — minimal-risk systems are </w:t>
            </w:r>
            <w:proofErr w:type="gramStart"/>
            <w:r>
              <w:t>logged,</w:t>
            </w:r>
            <w:proofErr w:type="gramEnd"/>
            <w:r>
              <w:t xml:space="preserve"> high-risk systems undergo full conformity review.</w:t>
            </w:r>
          </w:p>
        </w:tc>
      </w:tr>
      <w:tr w:rsidR="0042656A" w14:paraId="328BA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5B8A" w14:textId="77777777" w:rsidR="0042656A" w:rsidRDefault="00000000">
            <w:r>
              <w:t>Transparency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90FA" w14:textId="77777777" w:rsidR="0042656A" w:rsidRDefault="00000000">
            <w:r>
              <w:t>Affected individuals and internal stakeholders can obtain a meaningful explanation of how a system reaches its outputs.</w:t>
            </w:r>
          </w:p>
        </w:tc>
      </w:tr>
      <w:tr w:rsidR="0042656A" w14:paraId="6FC371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D420" w14:textId="77777777" w:rsidR="0042656A" w:rsidRDefault="00000000">
            <w:r>
              <w:t>Human oversight</w:t>
            </w:r>
          </w:p>
        </w:tc>
        <w:tc>
          <w:tcPr>
            <w:tcW w:w="6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A63E" w14:textId="77777777" w:rsidR="0042656A" w:rsidRDefault="00000000">
            <w:r>
              <w:t>High-risk and legal/significant-effect systems retain a documented human-in-the-loop or human-on-the-loop control point.</w:t>
            </w:r>
          </w:p>
        </w:tc>
      </w:tr>
      <w:tr w:rsidR="0042656A" w14:paraId="2D701C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AD02" w14:textId="77777777" w:rsidR="0042656A" w:rsidRDefault="00000000">
            <w:r>
              <w:lastRenderedPageBreak/>
              <w:t>Lifecycle coverage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0A5B" w14:textId="77777777" w:rsidR="0042656A" w:rsidRDefault="00000000">
            <w:r>
              <w:t>Governance activity spans intake, design, pre-deployment validation, monitoring, incident response, and decommissioning.</w:t>
            </w:r>
          </w:p>
        </w:tc>
      </w:tr>
      <w:tr w:rsidR="0042656A" w14:paraId="316E7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D2FA" w14:textId="77777777" w:rsidR="0042656A" w:rsidRDefault="00000000">
            <w:r>
              <w:t>Evidence-first</w:t>
            </w:r>
          </w:p>
        </w:tc>
        <w:tc>
          <w:tcPr>
            <w:tcW w:w="6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9EA1" w14:textId="77777777" w:rsidR="0042656A" w:rsidRDefault="00000000">
            <w:r>
              <w:t>Governance decisions are recorded, not verbal — every gate produces an artefact.</w:t>
            </w:r>
          </w:p>
        </w:tc>
      </w:tr>
    </w:tbl>
    <w:p w14:paraId="74D3ACC4" w14:textId="77777777" w:rsidR="0042656A" w:rsidRDefault="00000000">
      <w:pPr>
        <w:pStyle w:val="Heading1"/>
        <w:spacing w:before="360" w:after="160"/>
      </w:pPr>
      <w:r>
        <w:t>4. Regulatory and Standards Alignment</w:t>
      </w:r>
    </w:p>
    <w:p w14:paraId="7797E3A5" w14:textId="77777777" w:rsidR="0042656A" w:rsidRDefault="00000000">
      <w:pPr>
        <w:spacing w:after="160"/>
      </w:pPr>
      <w:r>
        <w:rPr>
          <w:sz w:val="22"/>
          <w:szCs w:val="22"/>
        </w:rPr>
        <w:t xml:space="preserve">This Framework is structured so that a single governance activity generates evidence usable across frameworks. The Regulatory and Standards Crosswalk (see Reference Library) provides </w:t>
      </w:r>
      <w:proofErr w:type="gramStart"/>
      <w:r>
        <w:rPr>
          <w:sz w:val="22"/>
          <w:szCs w:val="22"/>
        </w:rPr>
        <w:t>the detailed</w:t>
      </w:r>
      <w:proofErr w:type="gramEnd"/>
      <w:r>
        <w:rPr>
          <w:sz w:val="22"/>
          <w:szCs w:val="22"/>
        </w:rPr>
        <w:t xml:space="preserve"> clause-level mapping; the summary below shows how the Framework's structure maps at a high level.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50"/>
        <w:gridCol w:w="1650"/>
        <w:gridCol w:w="1550"/>
        <w:gridCol w:w="2250"/>
      </w:tblGrid>
      <w:tr w:rsidR="0042656A" w14:paraId="4AE5A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284E" w14:textId="77777777" w:rsidR="0042656A" w:rsidRDefault="00000000">
            <w:r>
              <w:rPr>
                <w:b/>
                <w:bCs/>
                <w:color w:val="FFFFFF"/>
              </w:rPr>
              <w:t>Framework element</w:t>
            </w:r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F972" w14:textId="77777777" w:rsidR="0042656A" w:rsidRDefault="00000000">
            <w:r>
              <w:rPr>
                <w:b/>
                <w:bCs/>
                <w:color w:val="FFFFFF"/>
              </w:rPr>
              <w:t>EU AI Act</w:t>
            </w:r>
          </w:p>
        </w:tc>
        <w:tc>
          <w:tcPr>
            <w:tcW w:w="1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84B2" w14:textId="77777777" w:rsidR="0042656A" w:rsidRDefault="00000000">
            <w:r>
              <w:rPr>
                <w:b/>
                <w:bCs/>
                <w:color w:val="FFFFFF"/>
              </w:rPr>
              <w:t>NIST AI RMF</w:t>
            </w:r>
          </w:p>
        </w:tc>
        <w:tc>
          <w:tcPr>
            <w:tcW w:w="1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8B4A" w14:textId="77777777" w:rsidR="0042656A" w:rsidRDefault="00000000">
            <w:r>
              <w:rPr>
                <w:b/>
                <w:bCs/>
                <w:color w:val="FFFFFF"/>
              </w:rPr>
              <w:t>ISO/IEC 42001</w:t>
            </w:r>
          </w:p>
        </w:tc>
        <w:tc>
          <w:tcPr>
            <w:tcW w:w="2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5B91" w14:textId="77777777" w:rsidR="0042656A" w:rsidRDefault="00000000">
            <w:r>
              <w:rPr>
                <w:b/>
                <w:bCs/>
                <w:color w:val="FFFFFF"/>
              </w:rPr>
              <w:t>OECD AI Principles</w:t>
            </w:r>
          </w:p>
        </w:tc>
      </w:tr>
      <w:tr w:rsidR="0042656A" w14:paraId="6F9ABA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958A" w14:textId="77777777" w:rsidR="0042656A" w:rsidRDefault="00000000">
            <w:r>
              <w:t>AI System Inventory &amp; Classification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ABAB" w14:textId="77777777" w:rsidR="0042656A" w:rsidRDefault="00000000">
            <w:r>
              <w:t>Art. 6, Annex III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A57A" w14:textId="77777777" w:rsidR="0042656A" w:rsidRDefault="00000000">
            <w:r>
              <w:t>GOVERN 1.1, MAP 1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F171" w14:textId="77777777" w:rsidR="0042656A" w:rsidRDefault="00000000">
            <w:r>
              <w:t>Clause 4.1, 8.2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57C3" w14:textId="77777777" w:rsidR="0042656A" w:rsidRDefault="00000000">
            <w:r>
              <w:t>1.2 Human-</w:t>
            </w:r>
            <w:proofErr w:type="spellStart"/>
            <w:r>
              <w:t>centred</w:t>
            </w:r>
            <w:proofErr w:type="spellEnd"/>
            <w:r>
              <w:t xml:space="preserve"> values</w:t>
            </w:r>
          </w:p>
        </w:tc>
      </w:tr>
      <w:tr w:rsidR="0042656A" w14:paraId="7708F3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A829" w14:textId="77777777" w:rsidR="0042656A" w:rsidRDefault="00000000">
            <w:r>
              <w:t>Governance Committee &amp; RACI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DE47" w14:textId="77777777" w:rsidR="0042656A" w:rsidRDefault="00000000">
            <w:r>
              <w:t>Art. 9(2), Art. 26</w:t>
            </w:r>
          </w:p>
        </w:tc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F1CE" w14:textId="77777777" w:rsidR="0042656A" w:rsidRDefault="00000000">
            <w:r>
              <w:t>GOVERN 2, GOVERN 3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4588" w14:textId="77777777" w:rsidR="0042656A" w:rsidRDefault="00000000">
            <w:r>
              <w:t>Clause 5.3, 9.3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1B3F" w14:textId="77777777" w:rsidR="0042656A" w:rsidRDefault="00000000">
            <w:r>
              <w:t>1.4 Accountability</w:t>
            </w:r>
          </w:p>
        </w:tc>
      </w:tr>
      <w:tr w:rsidR="0042656A" w14:paraId="342DD3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68D9" w14:textId="77777777" w:rsidR="0042656A" w:rsidRDefault="00000000">
            <w:r>
              <w:t>Risk &amp; Use Case Assessment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0C4D" w14:textId="77777777" w:rsidR="0042656A" w:rsidRDefault="00000000">
            <w:r>
              <w:t>Art. 9, Art. 27 (FRIA)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93AF" w14:textId="77777777" w:rsidR="0042656A" w:rsidRDefault="00000000">
            <w:r>
              <w:t>MAP 2–5, MEASURE 1–2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4C69" w14:textId="77777777" w:rsidR="0042656A" w:rsidRDefault="00000000">
            <w:r>
              <w:t>Clause 6.1, 8.1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233E" w14:textId="77777777" w:rsidR="0042656A" w:rsidRDefault="00000000">
            <w:r>
              <w:t>1.3 Transparency, 1.4</w:t>
            </w:r>
          </w:p>
        </w:tc>
      </w:tr>
      <w:tr w:rsidR="0042656A" w14:paraId="612C53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F5BA" w14:textId="77777777" w:rsidR="0042656A" w:rsidRDefault="00000000">
            <w:r>
              <w:t>Human Oversight Procedures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B9A9" w14:textId="77777777" w:rsidR="0042656A" w:rsidRDefault="00000000">
            <w:r>
              <w:t>Art. 14</w:t>
            </w:r>
          </w:p>
        </w:tc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611D" w14:textId="77777777" w:rsidR="0042656A" w:rsidRDefault="00000000">
            <w:r>
              <w:t>GOVERN 4, MANAGE 2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4B68" w14:textId="77777777" w:rsidR="0042656A" w:rsidRDefault="00000000">
            <w:r>
              <w:t>Annex A.6.2.4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C59F" w14:textId="77777777" w:rsidR="0042656A" w:rsidRDefault="00000000">
            <w:r>
              <w:t>1.4 Accountability</w:t>
            </w:r>
          </w:p>
        </w:tc>
      </w:tr>
      <w:tr w:rsidR="0042656A" w14:paraId="340854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C6F6" w14:textId="77777777" w:rsidR="0042656A" w:rsidRDefault="00000000">
            <w:r>
              <w:t>Incident Response &amp; Escalation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BE9B" w14:textId="77777777" w:rsidR="0042656A" w:rsidRDefault="00000000">
            <w:r>
              <w:t>Art. 62, Art. 73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283C" w14:textId="77777777" w:rsidR="0042656A" w:rsidRDefault="00000000">
            <w:r>
              <w:t>MANAGE 4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5D2A" w14:textId="77777777" w:rsidR="0042656A" w:rsidRDefault="00000000">
            <w:r>
              <w:t>Clause 10.1–10.2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E628" w14:textId="77777777" w:rsidR="0042656A" w:rsidRDefault="00000000">
            <w:r>
              <w:t>2.5 Accountability</w:t>
            </w:r>
          </w:p>
        </w:tc>
      </w:tr>
      <w:tr w:rsidR="0042656A" w14:paraId="0ECDD2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1B18" w14:textId="77777777" w:rsidR="0042656A" w:rsidRDefault="00000000">
            <w:r>
              <w:t>Monitoring &amp; Quarterly Review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3499" w14:textId="77777777" w:rsidR="0042656A" w:rsidRDefault="00000000">
            <w:r>
              <w:t>Art. 72 (post-market)</w:t>
            </w:r>
          </w:p>
        </w:tc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92FF" w14:textId="77777777" w:rsidR="0042656A" w:rsidRDefault="00000000">
            <w:r>
              <w:t>MEASURE 3–4, MANAGE 1–2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0A11" w14:textId="77777777" w:rsidR="0042656A" w:rsidRDefault="00000000">
            <w:r>
              <w:t>Clause 9.1, 9.3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0850" w14:textId="77777777" w:rsidR="0042656A" w:rsidRDefault="00000000">
            <w:r>
              <w:t>1.3</w:t>
            </w:r>
          </w:p>
        </w:tc>
      </w:tr>
    </w:tbl>
    <w:p w14:paraId="09157395" w14:textId="77777777" w:rsidR="0042656A" w:rsidRDefault="00000000">
      <w:pPr>
        <w:pStyle w:val="Heading1"/>
        <w:spacing w:before="360" w:after="160"/>
      </w:pPr>
      <w:r>
        <w:t>5. Governance Structure</w:t>
      </w:r>
    </w:p>
    <w:p w14:paraId="16FFC47E" w14:textId="77777777" w:rsidR="0042656A" w:rsidRDefault="00000000">
      <w:pPr>
        <w:spacing w:after="160"/>
      </w:pPr>
      <w:r>
        <w:rPr>
          <w:sz w:val="22"/>
          <w:szCs w:val="22"/>
        </w:rPr>
        <w:t>Detailed committee composition, terms of reference, and decision authority are defined in the AI Governance Committee Charter (AIGV-CORE-003). At a summary level, governance operates across three tiers:</w:t>
      </w:r>
    </w:p>
    <w:p w14:paraId="6D21D370" w14:textId="77777777" w:rsidR="0042656A" w:rsidRDefault="00000000">
      <w:pPr>
        <w:pStyle w:val="Heading2"/>
        <w:spacing w:before="260" w:after="120"/>
      </w:pPr>
      <w:r>
        <w:t>5.1 Strategic Tier — AI Governance Committee</w:t>
      </w:r>
    </w:p>
    <w:p w14:paraId="45B95C55" w14:textId="77777777" w:rsidR="0042656A" w:rsidRDefault="00000000">
      <w:pPr>
        <w:spacing w:after="160"/>
      </w:pPr>
      <w:r>
        <w:rPr>
          <w:sz w:val="22"/>
          <w:szCs w:val="22"/>
        </w:rPr>
        <w:t>Cross-functional body (legal, risk, technology, data privacy, business unit leads) that approves the AI Policy, sets risk appetite, reviews high-risk system approvals, and owns escalations that cannot be resolved at the operational tier.</w:t>
      </w:r>
    </w:p>
    <w:p w14:paraId="73181167" w14:textId="77777777" w:rsidR="0042656A" w:rsidRDefault="00000000">
      <w:pPr>
        <w:pStyle w:val="Heading2"/>
        <w:spacing w:before="260" w:after="120"/>
      </w:pPr>
      <w:r>
        <w:t>5.2 Operational Tier — AI Governance Office</w:t>
      </w:r>
    </w:p>
    <w:p w14:paraId="7D60852A" w14:textId="77777777" w:rsidR="0042656A" w:rsidRDefault="00000000">
      <w:pPr>
        <w:spacing w:after="160"/>
      </w:pPr>
      <w:r>
        <w:rPr>
          <w:sz w:val="22"/>
          <w:szCs w:val="22"/>
        </w:rPr>
        <w:t>Day-to-day administration: maintains the inventory, runs intake and use case assessments, tracks remediation actions, prepares committee papers, and coordinates incident response.</w:t>
      </w:r>
    </w:p>
    <w:p w14:paraId="7AE19A0F" w14:textId="77777777" w:rsidR="0042656A" w:rsidRDefault="00000000">
      <w:pPr>
        <w:pStyle w:val="Heading2"/>
        <w:spacing w:before="260" w:after="120"/>
      </w:pPr>
      <w:r>
        <w:t>5.3 Delivery Tier — System Owners and Technical Teams</w:t>
      </w:r>
    </w:p>
    <w:p w14:paraId="3BE030C1" w14:textId="77777777" w:rsidR="0042656A" w:rsidRDefault="00000000">
      <w:pPr>
        <w:spacing w:after="160"/>
      </w:pPr>
      <w:r>
        <w:rPr>
          <w:sz w:val="22"/>
          <w:szCs w:val="22"/>
        </w:rPr>
        <w:t>Business owners and technical/ML owners named against each inventory entry are accountable for day-to-day compliance of their system, including monitoring, documentation currency, and flagging material changes that could shift risk classification.</w:t>
      </w:r>
    </w:p>
    <w:p w14:paraId="22BB26F8" w14:textId="77777777" w:rsidR="0042656A" w:rsidRDefault="00000000">
      <w:pPr>
        <w:pStyle w:val="Heading1"/>
        <w:spacing w:before="360" w:after="160"/>
      </w:pPr>
      <w:r>
        <w:lastRenderedPageBreak/>
        <w:t>6. AI Risk Classification Model</w:t>
      </w:r>
    </w:p>
    <w:p w14:paraId="00D2BD2F" w14:textId="77777777" w:rsidR="0042656A" w:rsidRDefault="00000000">
      <w:pPr>
        <w:spacing w:after="160"/>
      </w:pPr>
      <w:r>
        <w:rPr>
          <w:sz w:val="22"/>
          <w:szCs w:val="22"/>
        </w:rPr>
        <w:t>All systems are classified into one of four tiers at intake and re-assessed on material change. This classification determines which controls in Sections 7–9 apply.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2600"/>
        <w:gridCol w:w="2700"/>
        <w:gridCol w:w="2500"/>
      </w:tblGrid>
      <w:tr w:rsidR="0042656A" w14:paraId="1AB7E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5352" w14:textId="77777777" w:rsidR="0042656A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40D1" w14:textId="77777777" w:rsidR="0042656A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509B" w14:textId="77777777" w:rsidR="0042656A" w:rsidRDefault="00000000">
            <w:r>
              <w:rPr>
                <w:b/>
                <w:bCs/>
                <w:color w:val="FFFFFF"/>
              </w:rPr>
              <w:t>Example trigger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0EC2" w14:textId="77777777" w:rsidR="0042656A" w:rsidRDefault="00000000">
            <w:r>
              <w:rPr>
                <w:b/>
                <w:bCs/>
                <w:color w:val="FFFFFF"/>
              </w:rPr>
              <w:t>Control intensity</w:t>
            </w:r>
          </w:p>
        </w:tc>
      </w:tr>
      <w:tr w:rsidR="0042656A" w14:paraId="026D0269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74FE" w14:textId="77777777" w:rsidR="0042656A" w:rsidRDefault="00000000">
            <w:r>
              <w:t>Unacceptable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F982" w14:textId="77777777" w:rsidR="0042656A" w:rsidRDefault="00000000">
            <w:r>
              <w:t xml:space="preserve">Prohibited practice under applicable law (e.g. social scoring, real-time biometric </w:t>
            </w:r>
            <w:proofErr w:type="spellStart"/>
            <w:r>
              <w:t>categorisation</w:t>
            </w:r>
            <w:proofErr w:type="spellEnd"/>
            <w:r>
              <w:t xml:space="preserve"> in prohibited contexts)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C3C6" w14:textId="77777777" w:rsidR="0042656A" w:rsidRDefault="00000000">
            <w:r>
              <w:t>Any use matching an EU AI Act Art. 5 prohibited practice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64AB5" w14:textId="77777777" w:rsidR="0042656A" w:rsidRDefault="00000000">
            <w:r>
              <w:t>Not permitted — system blocked at intake</w:t>
            </w:r>
          </w:p>
        </w:tc>
      </w:tr>
      <w:tr w:rsidR="0042656A" w14:paraId="2AB4161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24FA" w14:textId="77777777" w:rsidR="0042656A" w:rsidRDefault="00000000">
            <w:r>
              <w:t>High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5275" w14:textId="77777777" w:rsidR="0042656A" w:rsidRDefault="00000000">
            <w:r>
              <w:t>Significant effect on health, safety, fundamental rights, employment, credit, or access to essential services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0F7F" w14:textId="77777777" w:rsidR="0042656A" w:rsidRDefault="00000000">
            <w:r>
              <w:t>Credit decisioning, recruitment screening, biometric authentication for access control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4F6E" w14:textId="77777777" w:rsidR="0042656A" w:rsidRDefault="00000000">
            <w:r>
              <w:t xml:space="preserve">Full conformity pack, FRIA </w:t>
            </w:r>
            <w:proofErr w:type="gramStart"/>
            <w:r>
              <w:t>where</w:t>
            </w:r>
            <w:proofErr w:type="gramEnd"/>
            <w:r>
              <w:t xml:space="preserve"> applicable, committee approval, quarterly review</w:t>
            </w:r>
          </w:p>
        </w:tc>
      </w:tr>
      <w:tr w:rsidR="0042656A" w14:paraId="3388E93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3B41" w14:textId="77777777" w:rsidR="0042656A" w:rsidRDefault="00000000">
            <w:r>
              <w:t>Limited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057B" w14:textId="77777777" w:rsidR="0042656A" w:rsidRDefault="00000000">
            <w:r>
              <w:t>Direct interaction with individuals or content generation where transparency obligations apply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037E" w14:textId="77777777" w:rsidR="0042656A" w:rsidRDefault="00000000">
            <w:r>
              <w:t>Customer-facing chatbot, AI-generated content, emotion recognition (non-prohibited contexts)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E160" w14:textId="77777777" w:rsidR="0042656A" w:rsidRDefault="00000000">
            <w:r>
              <w:t>Transparency notice, use case assessment, annual review</w:t>
            </w:r>
          </w:p>
        </w:tc>
      </w:tr>
      <w:tr w:rsidR="0042656A" w14:paraId="240E081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4F9B" w14:textId="77777777" w:rsidR="0042656A" w:rsidRDefault="00000000">
            <w:r>
              <w:t>Minimal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B89D" w14:textId="77777777" w:rsidR="0042656A" w:rsidRDefault="00000000">
            <w:r>
              <w:t>No material effect on rights or safety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2790" w14:textId="77777777" w:rsidR="0042656A" w:rsidRDefault="00000000">
            <w:r>
              <w:t>Internal productivity tools, spam filters, demand forecasting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B8EC" w14:textId="77777777" w:rsidR="0042656A" w:rsidRDefault="00000000">
            <w:r>
              <w:t>Logged in inventory; light-touch annual attestation</w:t>
            </w:r>
          </w:p>
        </w:tc>
      </w:tr>
    </w:tbl>
    <w:p w14:paraId="4958D902" w14:textId="77777777" w:rsidR="0042656A" w:rsidRDefault="00000000">
      <w:pPr>
        <w:pStyle w:val="Heading1"/>
        <w:spacing w:before="360" w:after="160"/>
      </w:pPr>
      <w:r>
        <w:t>7. Lifecycle Controls</w:t>
      </w:r>
    </w:p>
    <w:p w14:paraId="7089F139" w14:textId="77777777" w:rsidR="0042656A" w:rsidRDefault="00000000">
      <w:pPr>
        <w:pStyle w:val="Heading2"/>
        <w:spacing w:before="260" w:after="120"/>
      </w:pPr>
      <w:r>
        <w:t>7.1 Intake</w:t>
      </w:r>
    </w:p>
    <w:p w14:paraId="76F80D31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Any new AI system, model, or significant use case (including vendor-embedded AI) is logged in the AI System Inventory before procurement approval or production deployment.</w:t>
      </w:r>
    </w:p>
    <w:p w14:paraId="251F09D0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The AI Use Case Assessment Form (AIGV-CORE-005) is completed by the proposing business owner.</w:t>
      </w:r>
    </w:p>
    <w:p w14:paraId="32C83187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The AI Governance Office performs an initial risk tier determination within 10 business days.</w:t>
      </w:r>
    </w:p>
    <w:p w14:paraId="4520CE07" w14:textId="77777777" w:rsidR="0042656A" w:rsidRDefault="00000000">
      <w:pPr>
        <w:pStyle w:val="Heading2"/>
        <w:spacing w:before="260" w:after="120"/>
      </w:pPr>
      <w:r>
        <w:t xml:space="preserve">7.2 </w:t>
      </w:r>
      <w:proofErr w:type="gramStart"/>
      <w:r>
        <w:t>Pre-Deployment</w:t>
      </w:r>
      <w:proofErr w:type="gramEnd"/>
    </w:p>
    <w:p w14:paraId="168CAF0C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High-risk systems undergo the full documentation and conformity process (see Project 5 conformity pack structure for the artefact set: technical documentation, risk management file, data governance statement, human oversight procedure, instructions for use, conformity declaration).</w:t>
      </w:r>
    </w:p>
    <w:p w14:paraId="2E24244B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Limited-risk systems complete a transparency and use case review; minimal-risk systems are confirmed and logged.</w:t>
      </w:r>
    </w:p>
    <w:p w14:paraId="3B912F48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No high-risk system enters production without AI Governance Committee sign-off recorded in committee minutes.</w:t>
      </w:r>
    </w:p>
    <w:p w14:paraId="4BCFB56C" w14:textId="77777777" w:rsidR="0042656A" w:rsidRDefault="00000000">
      <w:pPr>
        <w:pStyle w:val="Heading2"/>
        <w:spacing w:before="260" w:after="120"/>
      </w:pPr>
      <w:r>
        <w:t>7.3 Monitoring</w:t>
      </w:r>
    </w:p>
    <w:p w14:paraId="7A6FC905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Business and technical owners complete the Quarterly Governance Review Template (AIGV-CORE-008) for high- and limited-risk systems.</w:t>
      </w:r>
    </w:p>
    <w:p w14:paraId="2D7FCE63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Material changes (retraining, new data sources, new use context, performance drift beyond defined thresholds) trigger re-classification.</w:t>
      </w:r>
    </w:p>
    <w:p w14:paraId="1B1D7253" w14:textId="77777777" w:rsidR="0042656A" w:rsidRDefault="00000000">
      <w:pPr>
        <w:pStyle w:val="Heading2"/>
        <w:spacing w:before="260" w:after="120"/>
      </w:pPr>
      <w:r>
        <w:lastRenderedPageBreak/>
        <w:t>7.4 Incident Response</w:t>
      </w:r>
    </w:p>
    <w:p w14:paraId="53B7A322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Suspected incidents (bias, safety, security, or rights-impacting failures) are escalated </w:t>
      </w:r>
      <w:proofErr w:type="gramStart"/>
      <w:r>
        <w:rPr>
          <w:sz w:val="22"/>
          <w:szCs w:val="22"/>
        </w:rPr>
        <w:t>per</w:t>
      </w:r>
      <w:proofErr w:type="gramEnd"/>
      <w:r>
        <w:rPr>
          <w:sz w:val="22"/>
          <w:szCs w:val="22"/>
        </w:rPr>
        <w:t xml:space="preserve"> the Incident Response and Regulatory Escalation procedure (see Project 4).</w:t>
      </w:r>
    </w:p>
    <w:p w14:paraId="46FA260B" w14:textId="77777777" w:rsidR="0042656A" w:rsidRDefault="00000000">
      <w:pPr>
        <w:pStyle w:val="Heading2"/>
        <w:spacing w:before="260" w:after="120"/>
      </w:pPr>
      <w:r>
        <w:t>7.5 Decommissioning</w:t>
      </w:r>
    </w:p>
    <w:p w14:paraId="059253E8" w14:textId="77777777" w:rsidR="0042656A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Retired systems are marked in the inventory with retirement date, retention obligations for records, and confirmation that dependent processes have been transitioned.</w:t>
      </w:r>
    </w:p>
    <w:p w14:paraId="59A9B1F0" w14:textId="77777777" w:rsidR="0042656A" w:rsidRDefault="00000000">
      <w:pPr>
        <w:pStyle w:val="Heading1"/>
        <w:spacing w:before="360" w:after="160"/>
      </w:pPr>
      <w:r>
        <w:t>8. Roles and Responsibilities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42656A" w14:paraId="58BB1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290A" w14:textId="77777777" w:rsidR="0042656A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5133" w14:textId="77777777" w:rsidR="0042656A" w:rsidRDefault="00000000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42656A" w14:paraId="65EB50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578C" w14:textId="77777777" w:rsidR="0042656A" w:rsidRDefault="00000000">
            <w:r>
              <w:t>AI Governance Committee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4EA9" w14:textId="77777777" w:rsidR="0042656A" w:rsidRDefault="00000000">
            <w:r>
              <w:t>Approves policy, risk appetite, high-risk deployments; owns escalated decisions</w:t>
            </w:r>
          </w:p>
        </w:tc>
      </w:tr>
      <w:tr w:rsidR="0042656A" w14:paraId="1FE1AB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FDA4" w14:textId="77777777" w:rsidR="0042656A" w:rsidRDefault="00000000">
            <w:r>
              <w:t>AI Governance Office / Lead</w:t>
            </w:r>
          </w:p>
        </w:tc>
        <w:tc>
          <w:tcPr>
            <w:tcW w:w="6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264F" w14:textId="77777777" w:rsidR="0042656A" w:rsidRDefault="00000000">
            <w:r>
              <w:t>Maintains inventory, runs intake and assessments, secretariat to committee, coordinates incidents</w:t>
            </w:r>
          </w:p>
        </w:tc>
      </w:tr>
      <w:tr w:rsidR="0042656A" w14:paraId="2256CE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D815" w14:textId="77777777" w:rsidR="0042656A" w:rsidRDefault="00000000">
            <w:r>
              <w:t>Business System Owner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6183" w14:textId="77777777" w:rsidR="0042656A" w:rsidRDefault="00000000">
            <w:r>
              <w:t>Accountable for business justification, use case currency, and operational compliance of their system</w:t>
            </w:r>
          </w:p>
        </w:tc>
      </w:tr>
      <w:tr w:rsidR="0042656A" w14:paraId="2911A0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C020" w14:textId="77777777" w:rsidR="0042656A" w:rsidRDefault="00000000">
            <w:r>
              <w:t>Technical / ML Owner</w:t>
            </w:r>
          </w:p>
        </w:tc>
        <w:tc>
          <w:tcPr>
            <w:tcW w:w="6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8588" w14:textId="77777777" w:rsidR="0042656A" w:rsidRDefault="00000000">
            <w:r>
              <w:t>Accountable for model performance, monitoring, documentation, and technical remediation</w:t>
            </w:r>
          </w:p>
        </w:tc>
      </w:tr>
      <w:tr w:rsidR="0042656A" w14:paraId="545ED1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FB75" w14:textId="77777777" w:rsidR="0042656A" w:rsidRDefault="00000000">
            <w:r>
              <w:t>Data Protection / Privacy Lead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8F79" w14:textId="77777777" w:rsidR="0042656A" w:rsidRDefault="00000000">
            <w:r>
              <w:t>Reviews data governance and DPIA/FRIA overlap for systems processing personal data</w:t>
            </w:r>
          </w:p>
        </w:tc>
      </w:tr>
      <w:tr w:rsidR="0042656A" w14:paraId="0FAA57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4BB3" w14:textId="77777777" w:rsidR="0042656A" w:rsidRDefault="00000000">
            <w:r>
              <w:t>Legal &amp; Compliance</w:t>
            </w:r>
          </w:p>
        </w:tc>
        <w:tc>
          <w:tcPr>
            <w:tcW w:w="6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FD41" w14:textId="77777777" w:rsidR="0042656A" w:rsidRDefault="00000000">
            <w:r>
              <w:t>Interprets regulatory obligations, reviews conformity documentation, advises on incident disclosure</w:t>
            </w:r>
          </w:p>
        </w:tc>
      </w:tr>
      <w:tr w:rsidR="0042656A" w14:paraId="15D05E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9AD1" w14:textId="77777777" w:rsidR="0042656A" w:rsidRDefault="00000000">
            <w:r>
              <w:t>Internal Audit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F5FB" w14:textId="77777777" w:rsidR="0042656A" w:rsidRDefault="00000000">
            <w:r>
              <w:t>Independent assurance over the governance program's design and operating effectiveness</w:t>
            </w:r>
          </w:p>
        </w:tc>
      </w:tr>
    </w:tbl>
    <w:p w14:paraId="75C7FBD2" w14:textId="77777777" w:rsidR="0042656A" w:rsidRDefault="00000000">
      <w:pPr>
        <w:pStyle w:val="Heading1"/>
        <w:spacing w:before="360" w:after="160"/>
      </w:pPr>
      <w:r>
        <w:t>9. Review and Maintenance</w:t>
      </w:r>
    </w:p>
    <w:p w14:paraId="141494C3" w14:textId="77777777" w:rsidR="0042656A" w:rsidRDefault="00000000">
      <w:pPr>
        <w:spacing w:after="160"/>
      </w:pPr>
      <w:r>
        <w:rPr>
          <w:sz w:val="22"/>
          <w:szCs w:val="22"/>
        </w:rPr>
        <w:t xml:space="preserve">This Framework is reviewed at least annually by the AI Governance Committee, and on-demand following material regulatory change (e.g. the EU AI Act Digital Omnibus amendments), a significant AI incident, or a material shift in the </w:t>
      </w:r>
      <w:proofErr w:type="spellStart"/>
      <w:r>
        <w:rPr>
          <w:sz w:val="22"/>
          <w:szCs w:val="22"/>
        </w:rPr>
        <w:t>organisation's</w:t>
      </w:r>
      <w:proofErr w:type="spellEnd"/>
      <w:r>
        <w:rPr>
          <w:sz w:val="22"/>
          <w:szCs w:val="22"/>
        </w:rPr>
        <w:t xml:space="preserve"> AI risk profile. Version history and approval records are retained in the governance office's document register.</w:t>
      </w:r>
    </w:p>
    <w:sectPr w:rsidR="0042656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0E56D" w14:textId="77777777" w:rsidR="00FA0BE8" w:rsidRDefault="00FA0BE8">
      <w:r>
        <w:separator/>
      </w:r>
    </w:p>
  </w:endnote>
  <w:endnote w:type="continuationSeparator" w:id="0">
    <w:p w14:paraId="01FE2138" w14:textId="77777777" w:rsidR="00FA0BE8" w:rsidRDefault="00FA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C24C" w14:textId="77777777" w:rsidR="0042656A" w:rsidRDefault="00000000">
    <w:pPr>
      <w:jc w:val="center"/>
    </w:pPr>
    <w:r>
      <w:rPr>
        <w:color w:val="44546A"/>
        <w:sz w:val="16"/>
        <w:szCs w:val="16"/>
      </w:rPr>
      <w:t xml:space="preserve">AI Governance Toolkit — Portfolio Artefact — 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353BB8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6AE5" w14:textId="77777777" w:rsidR="00FA0BE8" w:rsidRDefault="00FA0BE8">
      <w:r>
        <w:separator/>
      </w:r>
    </w:p>
  </w:footnote>
  <w:footnote w:type="continuationSeparator" w:id="0">
    <w:p w14:paraId="756051E2" w14:textId="77777777" w:rsidR="00FA0BE8" w:rsidRDefault="00FA0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C4B"/>
    <w:multiLevelType w:val="hybridMultilevel"/>
    <w:tmpl w:val="C4684358"/>
    <w:lvl w:ilvl="0" w:tplc="175C764E">
      <w:start w:val="1"/>
      <w:numFmt w:val="bullet"/>
      <w:lvlText w:val="●"/>
      <w:lvlJc w:val="left"/>
      <w:pPr>
        <w:ind w:left="720" w:hanging="360"/>
      </w:pPr>
    </w:lvl>
    <w:lvl w:ilvl="1" w:tplc="13D66392">
      <w:start w:val="1"/>
      <w:numFmt w:val="bullet"/>
      <w:lvlText w:val="○"/>
      <w:lvlJc w:val="left"/>
      <w:pPr>
        <w:ind w:left="1440" w:hanging="360"/>
      </w:pPr>
    </w:lvl>
    <w:lvl w:ilvl="2" w:tplc="6EE6EC0E">
      <w:start w:val="1"/>
      <w:numFmt w:val="bullet"/>
      <w:lvlText w:val="■"/>
      <w:lvlJc w:val="left"/>
      <w:pPr>
        <w:ind w:left="2160" w:hanging="360"/>
      </w:pPr>
    </w:lvl>
    <w:lvl w:ilvl="3" w:tplc="7722F3C4">
      <w:start w:val="1"/>
      <w:numFmt w:val="bullet"/>
      <w:lvlText w:val="●"/>
      <w:lvlJc w:val="left"/>
      <w:pPr>
        <w:ind w:left="2880" w:hanging="360"/>
      </w:pPr>
    </w:lvl>
    <w:lvl w:ilvl="4" w:tplc="640EDA04">
      <w:start w:val="1"/>
      <w:numFmt w:val="bullet"/>
      <w:lvlText w:val="○"/>
      <w:lvlJc w:val="left"/>
      <w:pPr>
        <w:ind w:left="3600" w:hanging="360"/>
      </w:pPr>
    </w:lvl>
    <w:lvl w:ilvl="5" w:tplc="7D187516">
      <w:start w:val="1"/>
      <w:numFmt w:val="bullet"/>
      <w:lvlText w:val="■"/>
      <w:lvlJc w:val="left"/>
      <w:pPr>
        <w:ind w:left="4320" w:hanging="360"/>
      </w:pPr>
    </w:lvl>
    <w:lvl w:ilvl="6" w:tplc="38823BA6">
      <w:start w:val="1"/>
      <w:numFmt w:val="bullet"/>
      <w:lvlText w:val="●"/>
      <w:lvlJc w:val="left"/>
      <w:pPr>
        <w:ind w:left="5040" w:hanging="360"/>
      </w:pPr>
    </w:lvl>
    <w:lvl w:ilvl="7" w:tplc="D04446D0">
      <w:start w:val="1"/>
      <w:numFmt w:val="bullet"/>
      <w:lvlText w:val="●"/>
      <w:lvlJc w:val="left"/>
      <w:pPr>
        <w:ind w:left="5760" w:hanging="360"/>
      </w:pPr>
    </w:lvl>
    <w:lvl w:ilvl="8" w:tplc="2BCA4A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BF10CD"/>
    <w:multiLevelType w:val="hybridMultilevel"/>
    <w:tmpl w:val="52B68C66"/>
    <w:lvl w:ilvl="0" w:tplc="948A17EE">
      <w:start w:val="1"/>
      <w:numFmt w:val="decimal"/>
      <w:lvlText w:val="%1."/>
      <w:lvlJc w:val="left"/>
      <w:pPr>
        <w:ind w:left="360" w:hanging="200"/>
      </w:pPr>
    </w:lvl>
    <w:lvl w:ilvl="1" w:tplc="8B50ECC0">
      <w:numFmt w:val="decimal"/>
      <w:lvlText w:val=""/>
      <w:lvlJc w:val="left"/>
    </w:lvl>
    <w:lvl w:ilvl="2" w:tplc="27D47AE2">
      <w:numFmt w:val="decimal"/>
      <w:lvlText w:val=""/>
      <w:lvlJc w:val="left"/>
    </w:lvl>
    <w:lvl w:ilvl="3" w:tplc="AA7CDBFA">
      <w:numFmt w:val="decimal"/>
      <w:lvlText w:val=""/>
      <w:lvlJc w:val="left"/>
    </w:lvl>
    <w:lvl w:ilvl="4" w:tplc="9D008316">
      <w:numFmt w:val="decimal"/>
      <w:lvlText w:val=""/>
      <w:lvlJc w:val="left"/>
    </w:lvl>
    <w:lvl w:ilvl="5" w:tplc="7844672E">
      <w:numFmt w:val="decimal"/>
      <w:lvlText w:val=""/>
      <w:lvlJc w:val="left"/>
    </w:lvl>
    <w:lvl w:ilvl="6" w:tplc="EAAEAEC2">
      <w:numFmt w:val="decimal"/>
      <w:lvlText w:val=""/>
      <w:lvlJc w:val="left"/>
    </w:lvl>
    <w:lvl w:ilvl="7" w:tplc="C58E4DC0">
      <w:numFmt w:val="decimal"/>
      <w:lvlText w:val=""/>
      <w:lvlJc w:val="left"/>
    </w:lvl>
    <w:lvl w:ilvl="8" w:tplc="439E72A2">
      <w:numFmt w:val="decimal"/>
      <w:lvlText w:val=""/>
      <w:lvlJc w:val="left"/>
    </w:lvl>
  </w:abstractNum>
  <w:abstractNum w:abstractNumId="2" w15:restartNumberingAfterBreak="0">
    <w:nsid w:val="68B70A11"/>
    <w:multiLevelType w:val="hybridMultilevel"/>
    <w:tmpl w:val="BDAA9A22"/>
    <w:lvl w:ilvl="0" w:tplc="B68A6352">
      <w:start w:val="1"/>
      <w:numFmt w:val="bullet"/>
      <w:lvlText w:val="•"/>
      <w:lvlJc w:val="left"/>
      <w:pPr>
        <w:ind w:left="360" w:hanging="200"/>
      </w:pPr>
    </w:lvl>
    <w:lvl w:ilvl="1" w:tplc="A79227B4">
      <w:start w:val="1"/>
      <w:numFmt w:val="bullet"/>
      <w:lvlText w:val="◦"/>
      <w:lvlJc w:val="left"/>
      <w:pPr>
        <w:ind w:left="720" w:hanging="200"/>
      </w:pPr>
    </w:lvl>
    <w:lvl w:ilvl="2" w:tplc="A9386B0E">
      <w:numFmt w:val="decimal"/>
      <w:lvlText w:val=""/>
      <w:lvlJc w:val="left"/>
    </w:lvl>
    <w:lvl w:ilvl="3" w:tplc="51A6DFE4">
      <w:numFmt w:val="decimal"/>
      <w:lvlText w:val=""/>
      <w:lvlJc w:val="left"/>
    </w:lvl>
    <w:lvl w:ilvl="4" w:tplc="B96E4F28">
      <w:numFmt w:val="decimal"/>
      <w:lvlText w:val=""/>
      <w:lvlJc w:val="left"/>
    </w:lvl>
    <w:lvl w:ilvl="5" w:tplc="15F846EC">
      <w:numFmt w:val="decimal"/>
      <w:lvlText w:val=""/>
      <w:lvlJc w:val="left"/>
    </w:lvl>
    <w:lvl w:ilvl="6" w:tplc="182A7ABE">
      <w:numFmt w:val="decimal"/>
      <w:lvlText w:val=""/>
      <w:lvlJc w:val="left"/>
    </w:lvl>
    <w:lvl w:ilvl="7" w:tplc="573AC128">
      <w:numFmt w:val="decimal"/>
      <w:lvlText w:val=""/>
      <w:lvlJc w:val="left"/>
    </w:lvl>
    <w:lvl w:ilvl="8" w:tplc="CE681B3A">
      <w:numFmt w:val="decimal"/>
      <w:lvlText w:val=""/>
      <w:lvlJc w:val="left"/>
    </w:lvl>
  </w:abstractNum>
  <w:num w:numId="1" w16cid:durableId="1480683405">
    <w:abstractNumId w:val="0"/>
    <w:lvlOverride w:ilvl="0">
      <w:startOverride w:val="1"/>
    </w:lvlOverride>
  </w:num>
  <w:num w:numId="2" w16cid:durableId="35128984">
    <w:abstractNumId w:val="2"/>
    <w:lvlOverride w:ilvl="0">
      <w:startOverride w:val="1"/>
    </w:lvlOverride>
  </w:num>
  <w:num w:numId="3" w16cid:durableId="1082222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56A"/>
    <w:rsid w:val="00353BB8"/>
    <w:rsid w:val="0042656A"/>
    <w:rsid w:val="00520872"/>
    <w:rsid w:val="00740394"/>
    <w:rsid w:val="00DD3FEB"/>
    <w:rsid w:val="00F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5C26"/>
  <w15:docId w15:val="{A4818844-23BC-47C8-9BD9-0EF455F0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karun mehta</cp:lastModifiedBy>
  <cp:revision>3</cp:revision>
  <dcterms:created xsi:type="dcterms:W3CDTF">2026-07-03T15:27:00Z</dcterms:created>
  <dcterms:modified xsi:type="dcterms:W3CDTF">2026-07-03T18:08:00Z</dcterms:modified>
</cp:coreProperties>
</file>