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12A0" w14:textId="77777777" w:rsidR="00626153" w:rsidRDefault="00000000">
      <w:pPr>
        <w:spacing w:after="200"/>
      </w:pPr>
      <w:r>
        <w:rPr>
          <w:b/>
          <w:bCs/>
          <w:color w:val="1F3864"/>
          <w:sz w:val="44"/>
          <w:szCs w:val="44"/>
        </w:rPr>
        <w:t>AI Policy (Master)</w:t>
      </w:r>
    </w:p>
    <w:p w14:paraId="26B932A8" w14:textId="77777777" w:rsidR="00626153" w:rsidRDefault="00000000">
      <w:pPr>
        <w:spacing w:after="100"/>
      </w:pPr>
      <w:r>
        <w:rPr>
          <w:i/>
          <w:iCs/>
          <w:color w:val="44546A"/>
          <w:sz w:val="24"/>
          <w:szCs w:val="24"/>
        </w:rPr>
        <w:t>Core Toolkit — Foundational Document 2 of 8</w:t>
      </w:r>
    </w:p>
    <w:p w14:paraId="29D92928" w14:textId="77777777" w:rsidR="00626153" w:rsidRDefault="00000000">
      <w:pPr>
        <w:pBdr>
          <w:bottom w:val="single" w:sz="6" w:space="8" w:color="D9D9D9"/>
        </w:pBdr>
        <w:spacing w:after="400"/>
      </w:pPr>
      <w:r>
        <w:rPr>
          <w:color w:val="44546A"/>
          <w:sz w:val="18"/>
          <w:szCs w:val="18"/>
        </w:rPr>
        <w:t>Doc ID: AIGV-CORE-002 · Version 1.0</w:t>
      </w:r>
    </w:p>
    <w:p w14:paraId="0B0C9A02" w14:textId="77777777" w:rsidR="00626153" w:rsidRDefault="00000000">
      <w:pPr>
        <w:spacing w:before="100" w:after="60"/>
      </w:pPr>
      <w:r>
        <w:rPr>
          <w:b/>
          <w:bCs/>
          <w:color w:val="44546A"/>
          <w:sz w:val="18"/>
          <w:szCs w:val="18"/>
        </w:rPr>
        <w:t>Disclaimer</w:t>
      </w:r>
    </w:p>
    <w:p w14:paraId="7D7CF439" w14:textId="77777777" w:rsidR="00626153" w:rsidRDefault="00000000">
      <w:pPr>
        <w:spacing w:after="200"/>
      </w:pPr>
      <w:r>
        <w:rPr>
          <w:i/>
          <w:iCs/>
          <w:color w:val="44546A"/>
          <w:sz w:val="16"/>
          <w:szCs w:val="16"/>
        </w:rPr>
        <w:t xml:space="preserve">This document is a portfolio artefact created for demonstration and educational purposes only. It does not represent the policies, systems, or practices of any real </w:t>
      </w:r>
      <w:proofErr w:type="spellStart"/>
      <w:r>
        <w:rPr>
          <w:i/>
          <w:iCs/>
          <w:color w:val="44546A"/>
          <w:sz w:val="16"/>
          <w:szCs w:val="16"/>
        </w:rPr>
        <w:t>organisation</w:t>
      </w:r>
      <w:proofErr w:type="spellEnd"/>
      <w:r>
        <w:rPr>
          <w:i/>
          <w:iCs/>
          <w:color w:val="44546A"/>
          <w:sz w:val="16"/>
          <w:szCs w:val="16"/>
        </w:rPr>
        <w:t xml:space="preserve">, and no </w:t>
      </w:r>
      <w:proofErr w:type="spellStart"/>
      <w:r>
        <w:rPr>
          <w:i/>
          <w:iCs/>
          <w:color w:val="44546A"/>
          <w:sz w:val="16"/>
          <w:szCs w:val="16"/>
        </w:rPr>
        <w:t>organisation</w:t>
      </w:r>
      <w:proofErr w:type="spellEnd"/>
      <w:r>
        <w:rPr>
          <w:i/>
          <w:iCs/>
          <w:color w:val="44546A"/>
          <w:sz w:val="16"/>
          <w:szCs w:val="16"/>
        </w:rPr>
        <w:t>, vendor, or individual named or implied within it refers to an actual entity. All identifiers (e.g. ORG-AI-0XX) are fictional and used solely to illustrate a coherent governance scenario. This template does not constitute legal advice and should not be relied upon for regulatory compliance without review by qualified counsel and subject-matter experts.</w:t>
      </w:r>
    </w:p>
    <w:p w14:paraId="3DB22312" w14:textId="248C0D28" w:rsidR="00626153" w:rsidRDefault="00755037">
      <w:pPr>
        <w:spacing w:before="100" w:after="300"/>
      </w:pPr>
      <w:r>
        <w:rPr>
          <w:b/>
          <w:bCs/>
          <w:color w:val="1F3864"/>
          <w:sz w:val="18"/>
          <w:szCs w:val="18"/>
        </w:rPr>
        <w:t xml:space="preserve">Karun </w:t>
      </w:r>
      <w:r w:rsidR="00000000">
        <w:rPr>
          <w:b/>
          <w:bCs/>
          <w:color w:val="1F3864"/>
          <w:sz w:val="18"/>
          <w:szCs w:val="18"/>
        </w:rPr>
        <w:t xml:space="preserve"> · AIGP (AI Governance Professional)</w:t>
      </w:r>
    </w:p>
    <w:p w14:paraId="75F846D2" w14:textId="77777777" w:rsidR="00626153" w:rsidRDefault="00000000">
      <w:pPr>
        <w:pStyle w:val="Heading1"/>
        <w:spacing w:before="360" w:after="160"/>
      </w:pPr>
      <w:r>
        <w:t>1. Policy Statement</w:t>
      </w:r>
    </w:p>
    <w:p w14:paraId="50C1EBF6" w14:textId="77777777" w:rsidR="00626153" w:rsidRDefault="00000000">
      <w:pPr>
        <w:spacing w:after="160"/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 xml:space="preserve"> is committed to developing, procuring, and deploying artificial intelligence responsibly. This Policy sets mandatory requirements for anyone who designs, builds, procures, configures, or operates an AI or automated decision-making (ADM) system on behalf of the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 xml:space="preserve">. It </w:t>
      </w:r>
      <w:proofErr w:type="spellStart"/>
      <w:r>
        <w:rPr>
          <w:sz w:val="22"/>
          <w:szCs w:val="22"/>
        </w:rPr>
        <w:t>operationalises</w:t>
      </w:r>
      <w:proofErr w:type="spellEnd"/>
      <w:r>
        <w:rPr>
          <w:sz w:val="22"/>
          <w:szCs w:val="22"/>
        </w:rPr>
        <w:t xml:space="preserve"> the principles set out in the AI Governance Framework (AIGV-CORE-001).</w:t>
      </w:r>
    </w:p>
    <w:p w14:paraId="3A861801" w14:textId="77777777" w:rsidR="00626153" w:rsidRDefault="00000000">
      <w:pPr>
        <w:pStyle w:val="Heading1"/>
        <w:spacing w:before="360" w:after="160"/>
      </w:pPr>
      <w:r>
        <w:t>2. Scope and Applicability</w:t>
      </w:r>
    </w:p>
    <w:p w14:paraId="4553BDD2" w14:textId="77777777" w:rsidR="00626153" w:rsidRDefault="00000000">
      <w:pPr>
        <w:spacing w:after="160"/>
      </w:pPr>
      <w:r>
        <w:rPr>
          <w:sz w:val="22"/>
          <w:szCs w:val="22"/>
        </w:rPr>
        <w:t>This Policy applies to:</w:t>
      </w:r>
    </w:p>
    <w:p w14:paraId="38A60ADD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AI systems developed in-house, including models built on top of third-party foundation models.</w:t>
      </w:r>
    </w:p>
    <w:p w14:paraId="54FB9780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AI capabilities embedded in procured software (Vendor A, Vendor B, Vendor C) or delivered as a managed service.</w:t>
      </w:r>
    </w:p>
    <w:p w14:paraId="52EFF3D3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Generative AI tools used by employees for internal productivity, content drafting, or code generation.</w:t>
      </w:r>
    </w:p>
    <w:p w14:paraId="5A69B5D3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Pilots, proofs-of-concept, and shadow-IT AI usage discovered outside formal procurement.</w:t>
      </w:r>
    </w:p>
    <w:p w14:paraId="24714721" w14:textId="77777777" w:rsidR="00626153" w:rsidRDefault="00000000">
      <w:pPr>
        <w:spacing w:after="160"/>
      </w:pPr>
      <w:r>
        <w:rPr>
          <w:sz w:val="22"/>
          <w:szCs w:val="22"/>
        </w:rPr>
        <w:t>It does not apply to simple rule-based automation with no learned or probabilistic component (e.g. static if/then business logic), though such systems should still be logged if they materially affect individuals.</w:t>
      </w:r>
    </w:p>
    <w:p w14:paraId="28C290E9" w14:textId="77777777" w:rsidR="00626153" w:rsidRDefault="00000000">
      <w:pPr>
        <w:pStyle w:val="Heading1"/>
        <w:spacing w:before="360" w:after="160"/>
      </w:pPr>
      <w:r>
        <w:t>3. Mandatory Requirements</w:t>
      </w:r>
    </w:p>
    <w:p w14:paraId="4B3DFEE7" w14:textId="77777777" w:rsidR="00626153" w:rsidRDefault="00000000">
      <w:pPr>
        <w:pStyle w:val="Heading2"/>
        <w:spacing w:before="260" w:after="120"/>
      </w:pPr>
      <w:r>
        <w:t>3.1 Prohibited Uses</w:t>
      </w:r>
    </w:p>
    <w:p w14:paraId="2468CFF7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Systems performing social scoring of individuals for unrelated purposes.</w:t>
      </w:r>
    </w:p>
    <w:p w14:paraId="63FF0DB8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Real-time remote biometric identification in public spaces for law enforcement purposes, except narrow exemptions defined in applicable law and pre-approved by Legal.</w:t>
      </w:r>
    </w:p>
    <w:p w14:paraId="4ABE47A0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Subliminal or manipulative techniques </w:t>
      </w:r>
      <w:proofErr w:type="gramStart"/>
      <w:r>
        <w:rPr>
          <w:sz w:val="22"/>
          <w:szCs w:val="22"/>
        </w:rPr>
        <w:t>designed</w:t>
      </w:r>
      <w:proofErr w:type="gramEnd"/>
      <w:r>
        <w:rPr>
          <w:sz w:val="22"/>
          <w:szCs w:val="22"/>
        </w:rPr>
        <w:t xml:space="preserve"> to materially distort a person's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 xml:space="preserve"> in a way that causes harm.</w:t>
      </w:r>
    </w:p>
    <w:p w14:paraId="00CEA1AA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Inferring emotion in the workplace or education settings, except for safety or medical purposes with documented legal basis.</w:t>
      </w:r>
    </w:p>
    <w:p w14:paraId="121CB6C0" w14:textId="77777777" w:rsidR="00626153" w:rsidRDefault="00000000">
      <w:pPr>
        <w:pStyle w:val="Heading2"/>
        <w:spacing w:before="260" w:after="120"/>
      </w:pPr>
      <w:r>
        <w:t>3.2 Intake Before Use</w:t>
      </w:r>
    </w:p>
    <w:p w14:paraId="729B9BDF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lastRenderedPageBreak/>
        <w:t>No AI system may be used in a business process, or to make or support a decision about an individual, until it is logged in the AI System Inventory and has a completed AI Use Case Assessment Form.</w:t>
      </w:r>
    </w:p>
    <w:p w14:paraId="56B7A139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Procurement of any product with embedded AI capability requires the AI Governance Office to be notified before contract signature.</w:t>
      </w:r>
    </w:p>
    <w:p w14:paraId="5DB0FCD2" w14:textId="77777777" w:rsidR="00626153" w:rsidRDefault="00000000">
      <w:pPr>
        <w:pStyle w:val="Heading2"/>
        <w:spacing w:before="260" w:after="120"/>
      </w:pPr>
      <w:r>
        <w:t>3.3 Human Oversight</w:t>
      </w:r>
    </w:p>
    <w:p w14:paraId="69DFDA74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High-risk systems must have a named individual empowered and able to override, pause, or stop the system's output before it takes effect on an individual, or promptly thereafter where real-time override is not feasible.</w:t>
      </w:r>
    </w:p>
    <w:p w14:paraId="4BCC8FFF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Automated decisions producing legal or similarly significant effects on an individual must offer a route to request human review, except where an applicable legal exemption is documented.</w:t>
      </w:r>
    </w:p>
    <w:p w14:paraId="01BD0D25" w14:textId="77777777" w:rsidR="00626153" w:rsidRDefault="00000000">
      <w:pPr>
        <w:pStyle w:val="Heading2"/>
        <w:spacing w:before="260" w:after="120"/>
      </w:pPr>
      <w:r>
        <w:t>3.4 Data Governance</w:t>
      </w:r>
    </w:p>
    <w:p w14:paraId="4CAE004F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Training and fine-tuning data must have a documented lawful basis and provenance record.</w:t>
      </w:r>
    </w:p>
    <w:p w14:paraId="4A4EB58F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Personal data used in AI systems is subject to the </w:t>
      </w:r>
      <w:proofErr w:type="spellStart"/>
      <w:r>
        <w:rPr>
          <w:sz w:val="22"/>
          <w:szCs w:val="22"/>
        </w:rPr>
        <w:t>organisation's</w:t>
      </w:r>
      <w:proofErr w:type="spellEnd"/>
      <w:r>
        <w:rPr>
          <w:sz w:val="22"/>
          <w:szCs w:val="22"/>
        </w:rPr>
        <w:t xml:space="preserve"> data protection policy and, where required, a Data Protection Impact Assessment or Fundamental Rights Impact Assessment.</w:t>
      </w:r>
    </w:p>
    <w:p w14:paraId="48981E25" w14:textId="77777777" w:rsidR="00626153" w:rsidRDefault="00000000">
      <w:pPr>
        <w:pStyle w:val="Heading2"/>
        <w:spacing w:before="260" w:after="120"/>
      </w:pPr>
      <w:r>
        <w:t>3.5 Transparency</w:t>
      </w:r>
    </w:p>
    <w:p w14:paraId="0EC93A33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Individuals interacting with a limited-risk system (e.g. chatbot, AI-generated content) must be informed they are interacting with or receiving output from an AI system, unless obviously apparent from context.</w:t>
      </w:r>
    </w:p>
    <w:p w14:paraId="58CA7850" w14:textId="77777777" w:rsidR="00626153" w:rsidRDefault="00000000">
      <w:pPr>
        <w:pStyle w:val="Heading2"/>
        <w:spacing w:before="260" w:after="120"/>
      </w:pPr>
      <w:r>
        <w:t>3.6 Third-Party and Vendor AI</w:t>
      </w:r>
    </w:p>
    <w:p w14:paraId="6A768155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Vendor AI capabilities are assessed using the Vendor AI Risk Assessment before onboarding, covering the vendor's own risk classification, sub-processing of data, and evidence of the vendor's own governance controls.</w:t>
      </w:r>
    </w:p>
    <w:p w14:paraId="5F4C85C6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Contracts with AI vendors must include audit rights, incident notification obligations, and change-notification requirements for material model updates.</w:t>
      </w:r>
    </w:p>
    <w:p w14:paraId="15B4EC5A" w14:textId="77777777" w:rsidR="00626153" w:rsidRDefault="00000000">
      <w:pPr>
        <w:pStyle w:val="Heading2"/>
        <w:spacing w:before="260" w:after="120"/>
      </w:pPr>
      <w:r>
        <w:t>3.7 Monitoring and Incident Reporting</w:t>
      </w:r>
    </w:p>
    <w:p w14:paraId="58DBEFFE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Any suspected AI-related incident — bias, safety failure, security compromise, or unexpected rights-impacting </w:t>
      </w:r>
      <w:proofErr w:type="spellStart"/>
      <w:r>
        <w:rPr>
          <w:sz w:val="22"/>
          <w:szCs w:val="22"/>
        </w:rPr>
        <w:t>behaviour</w:t>
      </w:r>
      <w:proofErr w:type="spellEnd"/>
      <w:r>
        <w:rPr>
          <w:sz w:val="22"/>
          <w:szCs w:val="22"/>
        </w:rPr>
        <w:t xml:space="preserve"> — is reported to the AI Governance Office within 24 hours of discovery.</w:t>
      </w:r>
    </w:p>
    <w:p w14:paraId="0892BF10" w14:textId="77777777" w:rsidR="00626153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High- and limited-risk systems are subject to quarterly performance and compliance review.</w:t>
      </w:r>
    </w:p>
    <w:p w14:paraId="00B88FD9" w14:textId="77777777" w:rsidR="00626153" w:rsidRDefault="00000000">
      <w:pPr>
        <w:pStyle w:val="Heading1"/>
        <w:spacing w:before="360" w:after="160"/>
      </w:pPr>
      <w:r>
        <w:t>4. Employee Use of Generative AI Tools</w:t>
      </w:r>
    </w:p>
    <w:p w14:paraId="437332CD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</w:t>
      </w:r>
      <w:proofErr w:type="spellStart"/>
      <w:r>
        <w:rPr>
          <w:sz w:val="22"/>
          <w:szCs w:val="22"/>
        </w:rPr>
        <w:t>organisation</w:t>
      </w:r>
      <w:proofErr w:type="spellEnd"/>
      <w:r>
        <w:rPr>
          <w:sz w:val="22"/>
          <w:szCs w:val="22"/>
        </w:rPr>
        <w:t>-approved generative AI tools may be used with confidential, proprietary, or personal data.</w:t>
      </w:r>
    </w:p>
    <w:p w14:paraId="3570BA71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Outputs from generative AI must be reviewed by a human before being relied upon for a business decision, publication, or communication to a third party.</w:t>
      </w:r>
    </w:p>
    <w:p w14:paraId="40AD496F" w14:textId="77777777" w:rsidR="00626153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Employees must not input client-identifiable data, trade secrets, or regulated data categories into public/consumer-grade generative AI tools.</w:t>
      </w:r>
    </w:p>
    <w:p w14:paraId="52E6ECA2" w14:textId="77777777" w:rsidR="00626153" w:rsidRDefault="00000000">
      <w:pPr>
        <w:pStyle w:val="Heading1"/>
        <w:spacing w:before="360" w:after="160"/>
      </w:pPr>
      <w:r>
        <w:t>5. Non-Compliance</w:t>
      </w:r>
    </w:p>
    <w:p w14:paraId="0010DD5F" w14:textId="77777777" w:rsidR="00626153" w:rsidRDefault="00000000">
      <w:pPr>
        <w:spacing w:after="160"/>
      </w:pPr>
      <w:r>
        <w:rPr>
          <w:sz w:val="22"/>
          <w:szCs w:val="22"/>
        </w:rPr>
        <w:lastRenderedPageBreak/>
        <w:t xml:space="preserve">Failure to comply with this Policy may result in suspension of system access, escalation to the AI Governance Committee, and disciplinary action in line with the </w:t>
      </w:r>
      <w:proofErr w:type="spellStart"/>
      <w:r>
        <w:rPr>
          <w:sz w:val="22"/>
          <w:szCs w:val="22"/>
        </w:rPr>
        <w:t>organisation's</w:t>
      </w:r>
      <w:proofErr w:type="spellEnd"/>
      <w:r>
        <w:rPr>
          <w:sz w:val="22"/>
          <w:szCs w:val="22"/>
        </w:rPr>
        <w:t xml:space="preserve"> standard conduct policies. Deliberate circumvention of intake or classification requirements is treated as a governance </w:t>
      </w:r>
      <w:proofErr w:type="gramStart"/>
      <w:r>
        <w:rPr>
          <w:sz w:val="22"/>
          <w:szCs w:val="22"/>
        </w:rPr>
        <w:t>incident in its own right</w:t>
      </w:r>
      <w:proofErr w:type="gramEnd"/>
      <w:r>
        <w:rPr>
          <w:sz w:val="22"/>
          <w:szCs w:val="22"/>
        </w:rPr>
        <w:t>.</w:t>
      </w:r>
    </w:p>
    <w:p w14:paraId="220922D0" w14:textId="77777777" w:rsidR="00626153" w:rsidRDefault="00000000">
      <w:pPr>
        <w:pStyle w:val="Heading1"/>
        <w:spacing w:before="360" w:after="160"/>
      </w:pPr>
      <w:r>
        <w:t>6. Related Documents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3000"/>
      </w:tblGrid>
      <w:tr w:rsidR="00626153" w14:paraId="3B366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39DD" w14:textId="77777777" w:rsidR="00626153" w:rsidRDefault="00000000">
            <w:r>
              <w:rPr>
                <w:b/>
                <w:bCs/>
                <w:color w:val="FFFFFF"/>
              </w:rPr>
              <w:t>Document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B285" w14:textId="77777777" w:rsidR="00626153" w:rsidRDefault="00000000">
            <w:r>
              <w:rPr>
                <w:b/>
                <w:bCs/>
                <w:color w:val="FFFFFF"/>
              </w:rPr>
              <w:t>Doc ID</w:t>
            </w:r>
          </w:p>
        </w:tc>
      </w:tr>
      <w:tr w:rsidR="00626153" w14:paraId="1AD31865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E321" w14:textId="77777777" w:rsidR="00626153" w:rsidRDefault="00000000">
            <w:r>
              <w:t>AI Governance Framework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2BD3" w14:textId="77777777" w:rsidR="00626153" w:rsidRDefault="00000000">
            <w:r>
              <w:t>AIGV-CORE-001</w:t>
            </w:r>
          </w:p>
        </w:tc>
      </w:tr>
      <w:tr w:rsidR="00626153" w14:paraId="3314E37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8CE5" w14:textId="77777777" w:rsidR="00626153" w:rsidRDefault="00000000">
            <w:r>
              <w:t>AI Governance Committee Charter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8FB7D" w14:textId="77777777" w:rsidR="00626153" w:rsidRDefault="00000000">
            <w:r>
              <w:t>AIGV-CORE-003</w:t>
            </w:r>
          </w:p>
        </w:tc>
      </w:tr>
      <w:tr w:rsidR="00626153" w14:paraId="2EF5B56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846FE" w14:textId="77777777" w:rsidR="00626153" w:rsidRDefault="00000000">
            <w:r>
              <w:t>AI System Inventory Template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5F89" w14:textId="77777777" w:rsidR="00626153" w:rsidRDefault="00000000">
            <w:r>
              <w:t>AIGV-CORE-004</w:t>
            </w:r>
          </w:p>
        </w:tc>
      </w:tr>
      <w:tr w:rsidR="00626153" w14:paraId="7A5B32E7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17D2" w14:textId="77777777" w:rsidR="00626153" w:rsidRDefault="00000000">
            <w:r>
              <w:t>AI Use Case Assessment Form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A03D" w14:textId="77777777" w:rsidR="00626153" w:rsidRDefault="00000000">
            <w:r>
              <w:t>AIGV-CORE-005</w:t>
            </w:r>
          </w:p>
        </w:tc>
      </w:tr>
      <w:tr w:rsidR="00626153" w14:paraId="181FEDD4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B3BE" w14:textId="77777777" w:rsidR="00626153" w:rsidRDefault="00000000">
            <w:r>
              <w:t>AI Incident Response and Regulatory Escalation Procedure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4230" w14:textId="77777777" w:rsidR="00626153" w:rsidRDefault="00000000">
            <w:r>
              <w:t>See Project 4</w:t>
            </w:r>
          </w:p>
        </w:tc>
      </w:tr>
    </w:tbl>
    <w:p w14:paraId="1BF38EF2" w14:textId="77777777" w:rsidR="00626153" w:rsidRDefault="00000000">
      <w:pPr>
        <w:pStyle w:val="Heading1"/>
        <w:spacing w:before="360" w:after="160"/>
      </w:pPr>
      <w:r>
        <w:t>7. Policy Ownership and Review</w:t>
      </w:r>
    </w:p>
    <w:p w14:paraId="69BFA4D7" w14:textId="77777777" w:rsidR="00626153" w:rsidRDefault="00000000">
      <w:pPr>
        <w:spacing w:after="160"/>
      </w:pPr>
      <w:r>
        <w:rPr>
          <w:sz w:val="22"/>
          <w:szCs w:val="22"/>
        </w:rPr>
        <w:t xml:space="preserve">Owner: AI Governance Committee, delegated to the AI Governance Office for maintenance. Reviewed at least annually and upon material regulatory or </w:t>
      </w:r>
      <w:proofErr w:type="spellStart"/>
      <w:r>
        <w:rPr>
          <w:sz w:val="22"/>
          <w:szCs w:val="22"/>
        </w:rPr>
        <w:t>organisational</w:t>
      </w:r>
      <w:proofErr w:type="spellEnd"/>
      <w:r>
        <w:rPr>
          <w:sz w:val="22"/>
          <w:szCs w:val="22"/>
        </w:rPr>
        <w:t xml:space="preserve"> change. Exceptions to this Policy require documented AI Governance Committee approval, time-bound, with a remediation plan.</w:t>
      </w:r>
    </w:p>
    <w:sectPr w:rsidR="00626153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C316" w14:textId="77777777" w:rsidR="00794D99" w:rsidRDefault="00794D99">
      <w:r>
        <w:separator/>
      </w:r>
    </w:p>
  </w:endnote>
  <w:endnote w:type="continuationSeparator" w:id="0">
    <w:p w14:paraId="19AA9BE1" w14:textId="77777777" w:rsidR="00794D99" w:rsidRDefault="00794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161A0" w14:textId="77777777" w:rsidR="00626153" w:rsidRDefault="00000000">
    <w:pPr>
      <w:jc w:val="center"/>
    </w:pPr>
    <w:r>
      <w:rPr>
        <w:color w:val="44546A"/>
        <w:sz w:val="16"/>
        <w:szCs w:val="16"/>
      </w:rPr>
      <w:t xml:space="preserve">AI Governance Toolkit — Portfolio Artefact — 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755037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40F7" w14:textId="77777777" w:rsidR="00794D99" w:rsidRDefault="00794D99">
      <w:r>
        <w:separator/>
      </w:r>
    </w:p>
  </w:footnote>
  <w:footnote w:type="continuationSeparator" w:id="0">
    <w:p w14:paraId="0609E39B" w14:textId="77777777" w:rsidR="00794D99" w:rsidRDefault="00794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1239"/>
    <w:multiLevelType w:val="hybridMultilevel"/>
    <w:tmpl w:val="9EA81AD8"/>
    <w:lvl w:ilvl="0" w:tplc="1C182672">
      <w:start w:val="1"/>
      <w:numFmt w:val="bullet"/>
      <w:lvlText w:val="•"/>
      <w:lvlJc w:val="left"/>
      <w:pPr>
        <w:ind w:left="360" w:hanging="200"/>
      </w:pPr>
    </w:lvl>
    <w:lvl w:ilvl="1" w:tplc="2DCC4D3A">
      <w:start w:val="1"/>
      <w:numFmt w:val="bullet"/>
      <w:lvlText w:val="◦"/>
      <w:lvlJc w:val="left"/>
      <w:pPr>
        <w:ind w:left="720" w:hanging="200"/>
      </w:pPr>
    </w:lvl>
    <w:lvl w:ilvl="2" w:tplc="01D6DC4C">
      <w:numFmt w:val="decimal"/>
      <w:lvlText w:val=""/>
      <w:lvlJc w:val="left"/>
    </w:lvl>
    <w:lvl w:ilvl="3" w:tplc="E98E7926">
      <w:numFmt w:val="decimal"/>
      <w:lvlText w:val=""/>
      <w:lvlJc w:val="left"/>
    </w:lvl>
    <w:lvl w:ilvl="4" w:tplc="02BC3CC6">
      <w:numFmt w:val="decimal"/>
      <w:lvlText w:val=""/>
      <w:lvlJc w:val="left"/>
    </w:lvl>
    <w:lvl w:ilvl="5" w:tplc="CA0CA45C">
      <w:numFmt w:val="decimal"/>
      <w:lvlText w:val=""/>
      <w:lvlJc w:val="left"/>
    </w:lvl>
    <w:lvl w:ilvl="6" w:tplc="F754188E">
      <w:numFmt w:val="decimal"/>
      <w:lvlText w:val=""/>
      <w:lvlJc w:val="left"/>
    </w:lvl>
    <w:lvl w:ilvl="7" w:tplc="66926638">
      <w:numFmt w:val="decimal"/>
      <w:lvlText w:val=""/>
      <w:lvlJc w:val="left"/>
    </w:lvl>
    <w:lvl w:ilvl="8" w:tplc="FC8887A4">
      <w:numFmt w:val="decimal"/>
      <w:lvlText w:val=""/>
      <w:lvlJc w:val="left"/>
    </w:lvl>
  </w:abstractNum>
  <w:abstractNum w:abstractNumId="1" w15:restartNumberingAfterBreak="0">
    <w:nsid w:val="46167D21"/>
    <w:multiLevelType w:val="hybridMultilevel"/>
    <w:tmpl w:val="646AC248"/>
    <w:lvl w:ilvl="0" w:tplc="FB22EC9C">
      <w:start w:val="1"/>
      <w:numFmt w:val="bullet"/>
      <w:lvlText w:val="●"/>
      <w:lvlJc w:val="left"/>
      <w:pPr>
        <w:ind w:left="720" w:hanging="360"/>
      </w:pPr>
    </w:lvl>
    <w:lvl w:ilvl="1" w:tplc="D69C9C94">
      <w:start w:val="1"/>
      <w:numFmt w:val="bullet"/>
      <w:lvlText w:val="○"/>
      <w:lvlJc w:val="left"/>
      <w:pPr>
        <w:ind w:left="1440" w:hanging="360"/>
      </w:pPr>
    </w:lvl>
    <w:lvl w:ilvl="2" w:tplc="627A5C12">
      <w:start w:val="1"/>
      <w:numFmt w:val="bullet"/>
      <w:lvlText w:val="■"/>
      <w:lvlJc w:val="left"/>
      <w:pPr>
        <w:ind w:left="2160" w:hanging="360"/>
      </w:pPr>
    </w:lvl>
    <w:lvl w:ilvl="3" w:tplc="87C63576">
      <w:start w:val="1"/>
      <w:numFmt w:val="bullet"/>
      <w:lvlText w:val="●"/>
      <w:lvlJc w:val="left"/>
      <w:pPr>
        <w:ind w:left="2880" w:hanging="360"/>
      </w:pPr>
    </w:lvl>
    <w:lvl w:ilvl="4" w:tplc="405ED476">
      <w:start w:val="1"/>
      <w:numFmt w:val="bullet"/>
      <w:lvlText w:val="○"/>
      <w:lvlJc w:val="left"/>
      <w:pPr>
        <w:ind w:left="3600" w:hanging="360"/>
      </w:pPr>
    </w:lvl>
    <w:lvl w:ilvl="5" w:tplc="63BA4E00">
      <w:start w:val="1"/>
      <w:numFmt w:val="bullet"/>
      <w:lvlText w:val="■"/>
      <w:lvlJc w:val="left"/>
      <w:pPr>
        <w:ind w:left="4320" w:hanging="360"/>
      </w:pPr>
    </w:lvl>
    <w:lvl w:ilvl="6" w:tplc="DEDC28AA">
      <w:start w:val="1"/>
      <w:numFmt w:val="bullet"/>
      <w:lvlText w:val="●"/>
      <w:lvlJc w:val="left"/>
      <w:pPr>
        <w:ind w:left="5040" w:hanging="360"/>
      </w:pPr>
    </w:lvl>
    <w:lvl w:ilvl="7" w:tplc="5D7AA41E">
      <w:start w:val="1"/>
      <w:numFmt w:val="bullet"/>
      <w:lvlText w:val="●"/>
      <w:lvlJc w:val="left"/>
      <w:pPr>
        <w:ind w:left="5760" w:hanging="360"/>
      </w:pPr>
    </w:lvl>
    <w:lvl w:ilvl="8" w:tplc="8AFC5A7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6B3DD5"/>
    <w:multiLevelType w:val="hybridMultilevel"/>
    <w:tmpl w:val="BFD27756"/>
    <w:lvl w:ilvl="0" w:tplc="7A0E0ACC">
      <w:start w:val="1"/>
      <w:numFmt w:val="decimal"/>
      <w:lvlText w:val="%1."/>
      <w:lvlJc w:val="left"/>
      <w:pPr>
        <w:ind w:left="360" w:hanging="200"/>
      </w:pPr>
    </w:lvl>
    <w:lvl w:ilvl="1" w:tplc="7278FF36">
      <w:numFmt w:val="decimal"/>
      <w:lvlText w:val=""/>
      <w:lvlJc w:val="left"/>
    </w:lvl>
    <w:lvl w:ilvl="2" w:tplc="89ECAA64">
      <w:numFmt w:val="decimal"/>
      <w:lvlText w:val=""/>
      <w:lvlJc w:val="left"/>
    </w:lvl>
    <w:lvl w:ilvl="3" w:tplc="2EC24284">
      <w:numFmt w:val="decimal"/>
      <w:lvlText w:val=""/>
      <w:lvlJc w:val="left"/>
    </w:lvl>
    <w:lvl w:ilvl="4" w:tplc="2C1C7296">
      <w:numFmt w:val="decimal"/>
      <w:lvlText w:val=""/>
      <w:lvlJc w:val="left"/>
    </w:lvl>
    <w:lvl w:ilvl="5" w:tplc="49521B02">
      <w:numFmt w:val="decimal"/>
      <w:lvlText w:val=""/>
      <w:lvlJc w:val="left"/>
    </w:lvl>
    <w:lvl w:ilvl="6" w:tplc="69C8B60A">
      <w:numFmt w:val="decimal"/>
      <w:lvlText w:val=""/>
      <w:lvlJc w:val="left"/>
    </w:lvl>
    <w:lvl w:ilvl="7" w:tplc="506A782A">
      <w:numFmt w:val="decimal"/>
      <w:lvlText w:val=""/>
      <w:lvlJc w:val="left"/>
    </w:lvl>
    <w:lvl w:ilvl="8" w:tplc="42B46C6C">
      <w:numFmt w:val="decimal"/>
      <w:lvlText w:val=""/>
      <w:lvlJc w:val="left"/>
    </w:lvl>
  </w:abstractNum>
  <w:num w:numId="1" w16cid:durableId="495270620">
    <w:abstractNumId w:val="1"/>
    <w:lvlOverride w:ilvl="0">
      <w:startOverride w:val="1"/>
    </w:lvlOverride>
  </w:num>
  <w:num w:numId="2" w16cid:durableId="1222907235">
    <w:abstractNumId w:val="0"/>
    <w:lvlOverride w:ilvl="0">
      <w:startOverride w:val="1"/>
    </w:lvlOverride>
  </w:num>
  <w:num w:numId="3" w16cid:durableId="5684250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153"/>
    <w:rsid w:val="00626153"/>
    <w:rsid w:val="00755037"/>
    <w:rsid w:val="00794D99"/>
    <w:rsid w:val="00D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4E5C"/>
  <w15:docId w15:val="{A4818844-23BC-47C8-9BD9-0EF455F0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karun mehta</cp:lastModifiedBy>
  <cp:revision>2</cp:revision>
  <dcterms:created xsi:type="dcterms:W3CDTF">2026-07-03T15:28:00Z</dcterms:created>
  <dcterms:modified xsi:type="dcterms:W3CDTF">2026-07-03T18:10:00Z</dcterms:modified>
</cp:coreProperties>
</file>