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3611F" w14:textId="77777777" w:rsidR="00FF7CDC" w:rsidRDefault="00000000">
      <w:pPr>
        <w:spacing w:after="200"/>
      </w:pPr>
      <w:r>
        <w:rPr>
          <w:b/>
          <w:bCs/>
          <w:color w:val="1F3864"/>
          <w:sz w:val="44"/>
          <w:szCs w:val="44"/>
        </w:rPr>
        <w:t>AI Governance Implementation Roadmap</w:t>
      </w:r>
    </w:p>
    <w:p w14:paraId="0FC1D08F" w14:textId="77777777" w:rsidR="00FF7CDC" w:rsidRDefault="00000000">
      <w:pPr>
        <w:spacing w:after="100"/>
      </w:pPr>
      <w:r>
        <w:rPr>
          <w:i/>
          <w:iCs/>
          <w:color w:val="44546A"/>
          <w:sz w:val="24"/>
          <w:szCs w:val="24"/>
        </w:rPr>
        <w:t>Core Toolkit — Foundational Document 7 of 8 (narrative companion to the roadmap workbook)</w:t>
      </w:r>
    </w:p>
    <w:p w14:paraId="196ABFD0" w14:textId="77777777" w:rsidR="00FF7CDC" w:rsidRDefault="00000000">
      <w:pPr>
        <w:pBdr>
          <w:bottom w:val="single" w:sz="6" w:space="8" w:color="D9D9D9"/>
        </w:pBdr>
        <w:spacing w:after="400"/>
      </w:pPr>
      <w:r>
        <w:rPr>
          <w:color w:val="44546A"/>
          <w:sz w:val="18"/>
          <w:szCs w:val="18"/>
        </w:rPr>
        <w:t>Doc ID: AIGV-CORE-007 · Version 1.0</w:t>
      </w:r>
    </w:p>
    <w:p w14:paraId="2F4D5B71" w14:textId="77777777" w:rsidR="00FF7CDC" w:rsidRDefault="00000000">
      <w:pPr>
        <w:spacing w:before="100" w:after="60"/>
      </w:pPr>
      <w:r>
        <w:rPr>
          <w:b/>
          <w:bCs/>
          <w:color w:val="44546A"/>
          <w:sz w:val="18"/>
          <w:szCs w:val="18"/>
        </w:rPr>
        <w:t>Disclaimer</w:t>
      </w:r>
    </w:p>
    <w:p w14:paraId="45B9BF77" w14:textId="77777777" w:rsidR="00FF7CDC" w:rsidRDefault="00000000">
      <w:pPr>
        <w:spacing w:after="200"/>
      </w:pPr>
      <w:r>
        <w:rPr>
          <w:i/>
          <w:iCs/>
          <w:color w:val="44546A"/>
          <w:sz w:val="16"/>
          <w:szCs w:val="16"/>
        </w:rPr>
        <w:t xml:space="preserve">This document is a portfolio artefact created for demonstration and educational purposes only. It does not represent the policies, systems, or practices of any real </w:t>
      </w:r>
      <w:proofErr w:type="spellStart"/>
      <w:r>
        <w:rPr>
          <w:i/>
          <w:iCs/>
          <w:color w:val="44546A"/>
          <w:sz w:val="16"/>
          <w:szCs w:val="16"/>
        </w:rPr>
        <w:t>organisation</w:t>
      </w:r>
      <w:proofErr w:type="spellEnd"/>
      <w:r>
        <w:rPr>
          <w:i/>
          <w:iCs/>
          <w:color w:val="44546A"/>
          <w:sz w:val="16"/>
          <w:szCs w:val="16"/>
        </w:rPr>
        <w:t xml:space="preserve">, and no </w:t>
      </w:r>
      <w:proofErr w:type="spellStart"/>
      <w:r>
        <w:rPr>
          <w:i/>
          <w:iCs/>
          <w:color w:val="44546A"/>
          <w:sz w:val="16"/>
          <w:szCs w:val="16"/>
        </w:rPr>
        <w:t>organisation</w:t>
      </w:r>
      <w:proofErr w:type="spellEnd"/>
      <w:r>
        <w:rPr>
          <w:i/>
          <w:iCs/>
          <w:color w:val="44546A"/>
          <w:sz w:val="16"/>
          <w:szCs w:val="16"/>
        </w:rPr>
        <w:t>, vendor, or individual named or implied within it refers to an actual entity. All identifiers (e.g. ORG-AI-0XX) are fictional and used solely to illustrate a coherent governance scenario. This template does not constitute legal advice and should not be relied upon for regulatory compliance without review by qualified counsel and subject-matter experts.</w:t>
      </w:r>
    </w:p>
    <w:p w14:paraId="01F301AA" w14:textId="5628E5FC" w:rsidR="00FF7CDC" w:rsidRDefault="00000000">
      <w:pPr>
        <w:spacing w:before="100" w:after="300"/>
      </w:pPr>
      <w:r>
        <w:rPr>
          <w:b/>
          <w:bCs/>
          <w:color w:val="1F3864"/>
          <w:sz w:val="18"/>
          <w:szCs w:val="18"/>
        </w:rPr>
        <w:t xml:space="preserve"> K</w:t>
      </w:r>
      <w:r w:rsidR="00517CFD">
        <w:rPr>
          <w:b/>
          <w:bCs/>
          <w:color w:val="1F3864"/>
          <w:sz w:val="18"/>
          <w:szCs w:val="18"/>
        </w:rPr>
        <w:t>arun</w:t>
      </w:r>
      <w:r>
        <w:rPr>
          <w:b/>
          <w:bCs/>
          <w:color w:val="1F3864"/>
          <w:sz w:val="18"/>
          <w:szCs w:val="18"/>
        </w:rPr>
        <w:t>· AIGP (AI Governance Professional)</w:t>
      </w:r>
    </w:p>
    <w:p w14:paraId="62938A88" w14:textId="77777777" w:rsidR="00FF7CDC" w:rsidRDefault="00000000">
      <w:pPr>
        <w:pStyle w:val="Heading1"/>
        <w:spacing w:before="360" w:after="160"/>
      </w:pPr>
      <w:r>
        <w:t>1. Purpose</w:t>
      </w:r>
    </w:p>
    <w:p w14:paraId="513670F4" w14:textId="77777777" w:rsidR="00FF7CDC" w:rsidRDefault="00000000">
      <w:pPr>
        <w:spacing w:after="160"/>
      </w:pPr>
      <w:r>
        <w:rPr>
          <w:sz w:val="22"/>
          <w:szCs w:val="22"/>
        </w:rPr>
        <w:t>This document describes a phased, four-quarter approach to standing up an AI governance program from a zero or low baseline. It is designed to be read alongside the companion workbook (AIGV-CORE-007-Roadmap.xlsx), which tracks phase tasks, owners, dates, and status.</w:t>
      </w:r>
    </w:p>
    <w:p w14:paraId="3098208D" w14:textId="77777777" w:rsidR="00FF7CDC" w:rsidRDefault="00000000">
      <w:pPr>
        <w:pStyle w:val="Heading1"/>
        <w:spacing w:before="360" w:after="160"/>
      </w:pPr>
      <w:r>
        <w:t>2. Phasing Overview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4500"/>
      </w:tblGrid>
      <w:tr w:rsidR="00FF7CDC" w14:paraId="2CED8F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587E1" w14:textId="77777777" w:rsidR="00FF7CDC" w:rsidRDefault="00000000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AA797" w14:textId="77777777" w:rsidR="00FF7CDC" w:rsidRDefault="00000000">
            <w:r>
              <w:rPr>
                <w:b/>
                <w:bCs/>
                <w:color w:val="FFFFFF"/>
              </w:rPr>
              <w:t>Timeframe</w:t>
            </w:r>
          </w:p>
        </w:tc>
        <w:tc>
          <w:tcPr>
            <w:tcW w:w="4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C386D" w14:textId="77777777" w:rsidR="00FF7CDC" w:rsidRDefault="00000000">
            <w:r>
              <w:rPr>
                <w:b/>
                <w:bCs/>
                <w:color w:val="FFFFFF"/>
              </w:rPr>
              <w:t>Primary objective</w:t>
            </w:r>
          </w:p>
        </w:tc>
      </w:tr>
      <w:tr w:rsidR="00FF7CDC" w14:paraId="2332E96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3F84C" w14:textId="77777777" w:rsidR="00FF7CDC" w:rsidRDefault="00000000">
            <w:r>
              <w:t>Phase 1 — Foundation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95AC5" w14:textId="77777777" w:rsidR="00FF7CDC" w:rsidRDefault="00000000">
            <w:r>
              <w:t>Weeks 1–6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C0544" w14:textId="77777777" w:rsidR="00FF7CDC" w:rsidRDefault="00000000">
            <w:r>
              <w:t>Establish governance structure, approve Framework and Policy, begin inventory build</w:t>
            </w:r>
          </w:p>
        </w:tc>
      </w:tr>
      <w:tr w:rsidR="00FF7CDC" w14:paraId="5C4FDB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0FD3D" w14:textId="77777777" w:rsidR="00FF7CDC" w:rsidRDefault="00000000">
            <w:r>
              <w:t>Phase 2 — Discovery &amp; Classification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011C9" w14:textId="77777777" w:rsidR="00FF7CDC" w:rsidRDefault="00000000">
            <w:r>
              <w:t>Weeks 5–12</w:t>
            </w:r>
          </w:p>
        </w:tc>
        <w:tc>
          <w:tcPr>
            <w:tcW w:w="4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712FB" w14:textId="77777777" w:rsidR="00FF7CDC" w:rsidRDefault="00000000">
            <w:r>
              <w:t>Complete AI system inventory, classify by risk tier, identify high-risk backlog</w:t>
            </w:r>
          </w:p>
        </w:tc>
      </w:tr>
      <w:tr w:rsidR="00FF7CDC" w14:paraId="4E85B5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87628" w14:textId="77777777" w:rsidR="00FF7CDC" w:rsidRDefault="00000000">
            <w:r>
              <w:t>Phase 3 — Controls Build-Out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9E5CD" w14:textId="77777777" w:rsidR="00FF7CDC" w:rsidRDefault="00000000">
            <w:r>
              <w:t>Weeks 10–20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1BA52" w14:textId="77777777" w:rsidR="00FF7CDC" w:rsidRDefault="00000000">
            <w:r>
              <w:t>Stand up conformity documentation process, human oversight procedures, incident response</w:t>
            </w:r>
          </w:p>
        </w:tc>
      </w:tr>
      <w:tr w:rsidR="00FF7CDC" w14:paraId="030D29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753CE" w14:textId="77777777" w:rsidR="00FF7CDC" w:rsidRDefault="00000000">
            <w:r>
              <w:t xml:space="preserve">Phase 4 — </w:t>
            </w:r>
            <w:proofErr w:type="spellStart"/>
            <w:r>
              <w:t>Operationalise</w:t>
            </w:r>
            <w:proofErr w:type="spellEnd"/>
            <w:r>
              <w:t xml:space="preserve"> &amp; Mature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6F3D5" w14:textId="77777777" w:rsidR="00FF7CDC" w:rsidRDefault="00000000">
            <w:r>
              <w:t>Weeks 18–26 and ongoing</w:t>
            </w:r>
          </w:p>
        </w:tc>
        <w:tc>
          <w:tcPr>
            <w:tcW w:w="4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4FEBC" w14:textId="77777777" w:rsidR="00FF7CDC" w:rsidRDefault="00000000">
            <w:r>
              <w:t>Quarterly review cadence, maturity assessment baseline, committee reporting rhythm</w:t>
            </w:r>
          </w:p>
        </w:tc>
      </w:tr>
    </w:tbl>
    <w:p w14:paraId="2AF60886" w14:textId="77777777" w:rsidR="00FF7CDC" w:rsidRDefault="00000000">
      <w:pPr>
        <w:pStyle w:val="Heading1"/>
        <w:spacing w:before="360" w:after="160"/>
      </w:pPr>
      <w:r>
        <w:t>3. Phase 1 — Foundation (Weeks 1–6)</w:t>
      </w:r>
    </w:p>
    <w:p w14:paraId="3BB1D433" w14:textId="77777777" w:rsidR="00FF7CD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Secure executive sponsor and confirm AI Governance Committee membership.</w:t>
      </w:r>
    </w:p>
    <w:p w14:paraId="30267900" w14:textId="77777777" w:rsidR="00FF7CD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Draft and approve the AI Governance Framework and AI Policy (Committee sign-off).</w:t>
      </w:r>
    </w:p>
    <w:p w14:paraId="4EFCD1FC" w14:textId="77777777" w:rsidR="00FF7CD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Stand up the AI Governance Office (may initially be a single accountable lead).</w:t>
      </w:r>
    </w:p>
    <w:p w14:paraId="54109A58" w14:textId="77777777" w:rsidR="00FF7CD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Communicate the Policy </w:t>
      </w:r>
      <w:proofErr w:type="spellStart"/>
      <w:r>
        <w:rPr>
          <w:sz w:val="22"/>
          <w:szCs w:val="22"/>
        </w:rPr>
        <w:t>organisation</w:t>
      </w:r>
      <w:proofErr w:type="spellEnd"/>
      <w:r>
        <w:rPr>
          <w:sz w:val="22"/>
          <w:szCs w:val="22"/>
        </w:rPr>
        <w:t>-wide and open the intake channel for new AI use cases.</w:t>
      </w:r>
    </w:p>
    <w:p w14:paraId="1BFE0E18" w14:textId="77777777" w:rsidR="00FF7CD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Begin populating the AI System Inventory from known systems and procurement records.</w:t>
      </w:r>
    </w:p>
    <w:p w14:paraId="7C6F6650" w14:textId="77777777" w:rsidR="00FF7CDC" w:rsidRDefault="00000000">
      <w:pPr>
        <w:pStyle w:val="Heading1"/>
        <w:spacing w:before="360" w:after="160"/>
      </w:pPr>
      <w:r>
        <w:t>4. Phase 2 — Discovery &amp; Classification (Weeks 5–12)</w:t>
      </w:r>
    </w:p>
    <w:p w14:paraId="58B502B9" w14:textId="77777777" w:rsidR="00FF7CD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Run a structured discovery exercise: procurement records, IT asset register, vendor contract review, and a business-unit self-declaration survey to surface shadow AI.</w:t>
      </w:r>
    </w:p>
    <w:p w14:paraId="33365032" w14:textId="77777777" w:rsidR="00FF7CD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Complete AI Use Case Assessment Forms for all discovered systems.</w:t>
      </w:r>
    </w:p>
    <w:p w14:paraId="45AF5199" w14:textId="77777777" w:rsidR="00FF7CD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Apply the risk classification model; flag unacceptable-risk use for immediate remediation.</w:t>
      </w:r>
    </w:p>
    <w:p w14:paraId="71DA46B3" w14:textId="77777777" w:rsidR="00FF7CD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lastRenderedPageBreak/>
        <w:t>Build the initial high-risk backlog and sequence it for Phase 3 conformity work.</w:t>
      </w:r>
    </w:p>
    <w:p w14:paraId="5DD74559" w14:textId="77777777" w:rsidR="00FF7CDC" w:rsidRDefault="00000000">
      <w:pPr>
        <w:pStyle w:val="Heading1"/>
        <w:spacing w:before="360" w:after="160"/>
      </w:pPr>
      <w:r>
        <w:t>5. Phase 3 — Controls Build-Out (Weeks 10–20)</w:t>
      </w:r>
    </w:p>
    <w:p w14:paraId="268C5F25" w14:textId="77777777" w:rsidR="00FF7CD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Develop conformity documentation templates (technical documentation, risk management file, human oversight procedure, instructions for use) for high-risk systems.</w:t>
      </w:r>
    </w:p>
    <w:p w14:paraId="722AD2EC" w14:textId="77777777" w:rsidR="00FF7CD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Stand up the incident response and regulatory escalation procedure, including severity definitions and escalation paths.</w:t>
      </w:r>
    </w:p>
    <w:p w14:paraId="6FEAA8AF" w14:textId="77777777" w:rsidR="00FF7CD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Define human oversight control points for each high-risk system and confirm named override authority.</w:t>
      </w:r>
    </w:p>
    <w:p w14:paraId="185632A5" w14:textId="77777777" w:rsidR="00FF7CD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Deliver initial training to business owners, technical owners, and the Committee on their governance responsibilities.</w:t>
      </w:r>
    </w:p>
    <w:p w14:paraId="3DE19B2A" w14:textId="77777777" w:rsidR="00FF7CDC" w:rsidRDefault="00000000">
      <w:pPr>
        <w:pStyle w:val="Heading1"/>
        <w:spacing w:before="360" w:after="160"/>
      </w:pPr>
      <w:r>
        <w:t xml:space="preserve">6. Phase 4 — </w:t>
      </w:r>
      <w:proofErr w:type="spellStart"/>
      <w:r>
        <w:t>Operationalise</w:t>
      </w:r>
      <w:proofErr w:type="spellEnd"/>
      <w:r>
        <w:t xml:space="preserve"> &amp; Mature (Weeks 18–26+)</w:t>
      </w:r>
    </w:p>
    <w:p w14:paraId="130A6F14" w14:textId="77777777" w:rsidR="00FF7CD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Launch the quarterly governance review cycle for high- and limited-risk systems.</w:t>
      </w:r>
    </w:p>
    <w:p w14:paraId="12541D6C" w14:textId="77777777" w:rsidR="00FF7CD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Run the first AI Governance Maturity Assessment to establish a baseline score across domains.</w:t>
      </w:r>
    </w:p>
    <w:p w14:paraId="3FF972D4" w14:textId="77777777" w:rsidR="00FF7CD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Establish the Committee's standing quarterly reporting package to executive leadership.</w:t>
      </w:r>
    </w:p>
    <w:p w14:paraId="5FB70A80" w14:textId="77777777" w:rsidR="00FF7CD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Set a 6–12 month re-assessment cycle to track maturity progression and refresh the roadmap for the next horizon.</w:t>
      </w:r>
    </w:p>
    <w:p w14:paraId="0C1AC864" w14:textId="77777777" w:rsidR="00FF7CDC" w:rsidRDefault="00000000">
      <w:pPr>
        <w:pStyle w:val="Heading1"/>
        <w:spacing w:before="360" w:after="160"/>
      </w:pPr>
      <w:r>
        <w:t>7. Critical Success Factors</w:t>
      </w:r>
    </w:p>
    <w:p w14:paraId="7A86496A" w14:textId="77777777" w:rsidR="00FF7CD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Executive sponsorship visible from Phase 1 — governance stalls without a mandate from the top.</w:t>
      </w:r>
    </w:p>
    <w:p w14:paraId="0CBB6458" w14:textId="77777777" w:rsidR="00FF7CD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Proportionate controls — over-engineering minimal-risk system requirements erodes business buy-in.</w:t>
      </w:r>
    </w:p>
    <w:p w14:paraId="0C0528C3" w14:textId="77777777" w:rsidR="00FF7CD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Single source of truth — the inventory must be the authoritative record referenced by procurement, legal, and audit.</w:t>
      </w:r>
    </w:p>
    <w:p w14:paraId="3CF97B6F" w14:textId="77777777" w:rsidR="00FF7CD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Iterative rollout — Phase 3 controls can be piloted on 1–2 high-risk systems before scaling </w:t>
      </w:r>
      <w:proofErr w:type="spellStart"/>
      <w:r>
        <w:rPr>
          <w:sz w:val="22"/>
          <w:szCs w:val="22"/>
        </w:rPr>
        <w:t>organisation</w:t>
      </w:r>
      <w:proofErr w:type="spellEnd"/>
      <w:r>
        <w:rPr>
          <w:sz w:val="22"/>
          <w:szCs w:val="22"/>
        </w:rPr>
        <w:t>-wide.</w:t>
      </w:r>
    </w:p>
    <w:p w14:paraId="4A012CD0" w14:textId="77777777" w:rsidR="00FF7CDC" w:rsidRDefault="00000000">
      <w:pPr>
        <w:pStyle w:val="Heading1"/>
        <w:spacing w:before="360" w:after="160"/>
      </w:pPr>
      <w:r>
        <w:t>8. How to Use the Companion Workbook</w:t>
      </w:r>
    </w:p>
    <w:p w14:paraId="2A20F916" w14:textId="77777777" w:rsidR="00FF7CDC" w:rsidRDefault="00000000">
      <w:pPr>
        <w:spacing w:after="160"/>
      </w:pPr>
      <w:r>
        <w:rPr>
          <w:sz w:val="22"/>
          <w:szCs w:val="22"/>
        </w:rPr>
        <w:t>The workbook (AIGV-CORE-007-Roadmap.xlsx) breaks each phase into discrete tasks with owner, target start/end dates, dependency notes, and a status field (Not Started / In Progress / Blocked / Complete). Progress percentage is calculated automatically from task status. Update the workbook at each Committee meeting to keep the roadmap current.</w:t>
      </w:r>
    </w:p>
    <w:sectPr w:rsidR="00FF7CDC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06485" w14:textId="77777777" w:rsidR="007731DF" w:rsidRDefault="007731DF">
      <w:r>
        <w:separator/>
      </w:r>
    </w:p>
  </w:endnote>
  <w:endnote w:type="continuationSeparator" w:id="0">
    <w:p w14:paraId="7C979EF9" w14:textId="77777777" w:rsidR="007731DF" w:rsidRDefault="007731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6E2C4" w14:textId="77777777" w:rsidR="00FF7CDC" w:rsidRDefault="00000000">
    <w:pPr>
      <w:jc w:val="center"/>
    </w:pPr>
    <w:r>
      <w:rPr>
        <w:color w:val="44546A"/>
        <w:sz w:val="16"/>
        <w:szCs w:val="16"/>
      </w:rPr>
      <w:t xml:space="preserve">AI Governance Toolkit — Portfolio Artefact — Page </w:t>
    </w:r>
    <w:r>
      <w:rPr>
        <w:color w:val="44546A"/>
        <w:sz w:val="16"/>
        <w:szCs w:val="16"/>
      </w:rPr>
      <w:fldChar w:fldCharType="begin"/>
    </w:r>
    <w:r>
      <w:rPr>
        <w:color w:val="44546A"/>
        <w:sz w:val="16"/>
        <w:szCs w:val="16"/>
      </w:rPr>
      <w:instrText>PAGE</w:instrText>
    </w:r>
    <w:r>
      <w:rPr>
        <w:color w:val="44546A"/>
        <w:sz w:val="16"/>
        <w:szCs w:val="16"/>
      </w:rPr>
      <w:fldChar w:fldCharType="separate"/>
    </w:r>
    <w:r w:rsidR="00517CFD">
      <w:rPr>
        <w:noProof/>
        <w:color w:val="44546A"/>
        <w:sz w:val="16"/>
        <w:szCs w:val="16"/>
      </w:rPr>
      <w:t>1</w:t>
    </w:r>
    <w:r>
      <w:rPr>
        <w:color w:val="44546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D4736" w14:textId="77777777" w:rsidR="007731DF" w:rsidRDefault="007731DF">
      <w:r>
        <w:separator/>
      </w:r>
    </w:p>
  </w:footnote>
  <w:footnote w:type="continuationSeparator" w:id="0">
    <w:p w14:paraId="434D047F" w14:textId="77777777" w:rsidR="007731DF" w:rsidRDefault="007731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56938"/>
    <w:multiLevelType w:val="hybridMultilevel"/>
    <w:tmpl w:val="C01A2420"/>
    <w:lvl w:ilvl="0" w:tplc="5560A4E6">
      <w:start w:val="1"/>
      <w:numFmt w:val="decimal"/>
      <w:lvlText w:val="%1."/>
      <w:lvlJc w:val="left"/>
      <w:pPr>
        <w:ind w:left="360" w:hanging="200"/>
      </w:pPr>
    </w:lvl>
    <w:lvl w:ilvl="1" w:tplc="8B9092D4">
      <w:numFmt w:val="decimal"/>
      <w:lvlText w:val=""/>
      <w:lvlJc w:val="left"/>
    </w:lvl>
    <w:lvl w:ilvl="2" w:tplc="42285022">
      <w:numFmt w:val="decimal"/>
      <w:lvlText w:val=""/>
      <w:lvlJc w:val="left"/>
    </w:lvl>
    <w:lvl w:ilvl="3" w:tplc="B7446212">
      <w:numFmt w:val="decimal"/>
      <w:lvlText w:val=""/>
      <w:lvlJc w:val="left"/>
    </w:lvl>
    <w:lvl w:ilvl="4" w:tplc="C4D01108">
      <w:numFmt w:val="decimal"/>
      <w:lvlText w:val=""/>
      <w:lvlJc w:val="left"/>
    </w:lvl>
    <w:lvl w:ilvl="5" w:tplc="C86E9FFC">
      <w:numFmt w:val="decimal"/>
      <w:lvlText w:val=""/>
      <w:lvlJc w:val="left"/>
    </w:lvl>
    <w:lvl w:ilvl="6" w:tplc="19F2A0BC">
      <w:numFmt w:val="decimal"/>
      <w:lvlText w:val=""/>
      <w:lvlJc w:val="left"/>
    </w:lvl>
    <w:lvl w:ilvl="7" w:tplc="C5C25952">
      <w:numFmt w:val="decimal"/>
      <w:lvlText w:val=""/>
      <w:lvlJc w:val="left"/>
    </w:lvl>
    <w:lvl w:ilvl="8" w:tplc="F7FC4A28">
      <w:numFmt w:val="decimal"/>
      <w:lvlText w:val=""/>
      <w:lvlJc w:val="left"/>
    </w:lvl>
  </w:abstractNum>
  <w:abstractNum w:abstractNumId="1" w15:restartNumberingAfterBreak="0">
    <w:nsid w:val="6D994568"/>
    <w:multiLevelType w:val="hybridMultilevel"/>
    <w:tmpl w:val="8D3A69C8"/>
    <w:lvl w:ilvl="0" w:tplc="88D83D12">
      <w:start w:val="1"/>
      <w:numFmt w:val="bullet"/>
      <w:lvlText w:val="●"/>
      <w:lvlJc w:val="left"/>
      <w:pPr>
        <w:ind w:left="720" w:hanging="360"/>
      </w:pPr>
    </w:lvl>
    <w:lvl w:ilvl="1" w:tplc="303A85C4">
      <w:start w:val="1"/>
      <w:numFmt w:val="bullet"/>
      <w:lvlText w:val="○"/>
      <w:lvlJc w:val="left"/>
      <w:pPr>
        <w:ind w:left="1440" w:hanging="360"/>
      </w:pPr>
    </w:lvl>
    <w:lvl w:ilvl="2" w:tplc="5316D58E">
      <w:start w:val="1"/>
      <w:numFmt w:val="bullet"/>
      <w:lvlText w:val="■"/>
      <w:lvlJc w:val="left"/>
      <w:pPr>
        <w:ind w:left="2160" w:hanging="360"/>
      </w:pPr>
    </w:lvl>
    <w:lvl w:ilvl="3" w:tplc="6350761C">
      <w:start w:val="1"/>
      <w:numFmt w:val="bullet"/>
      <w:lvlText w:val="●"/>
      <w:lvlJc w:val="left"/>
      <w:pPr>
        <w:ind w:left="2880" w:hanging="360"/>
      </w:pPr>
    </w:lvl>
    <w:lvl w:ilvl="4" w:tplc="958EE5F0">
      <w:start w:val="1"/>
      <w:numFmt w:val="bullet"/>
      <w:lvlText w:val="○"/>
      <w:lvlJc w:val="left"/>
      <w:pPr>
        <w:ind w:left="3600" w:hanging="360"/>
      </w:pPr>
    </w:lvl>
    <w:lvl w:ilvl="5" w:tplc="E3586692">
      <w:start w:val="1"/>
      <w:numFmt w:val="bullet"/>
      <w:lvlText w:val="■"/>
      <w:lvlJc w:val="left"/>
      <w:pPr>
        <w:ind w:left="4320" w:hanging="360"/>
      </w:pPr>
    </w:lvl>
    <w:lvl w:ilvl="6" w:tplc="6F6E7254">
      <w:start w:val="1"/>
      <w:numFmt w:val="bullet"/>
      <w:lvlText w:val="●"/>
      <w:lvlJc w:val="left"/>
      <w:pPr>
        <w:ind w:left="5040" w:hanging="360"/>
      </w:pPr>
    </w:lvl>
    <w:lvl w:ilvl="7" w:tplc="900468EA">
      <w:start w:val="1"/>
      <w:numFmt w:val="bullet"/>
      <w:lvlText w:val="●"/>
      <w:lvlJc w:val="left"/>
      <w:pPr>
        <w:ind w:left="5760" w:hanging="360"/>
      </w:pPr>
    </w:lvl>
    <w:lvl w:ilvl="8" w:tplc="40D69CC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F4C55DC"/>
    <w:multiLevelType w:val="hybridMultilevel"/>
    <w:tmpl w:val="2ECCB18A"/>
    <w:lvl w:ilvl="0" w:tplc="9D24F284">
      <w:start w:val="1"/>
      <w:numFmt w:val="bullet"/>
      <w:lvlText w:val="•"/>
      <w:lvlJc w:val="left"/>
      <w:pPr>
        <w:ind w:left="360" w:hanging="200"/>
      </w:pPr>
    </w:lvl>
    <w:lvl w:ilvl="1" w:tplc="4088F972">
      <w:start w:val="1"/>
      <w:numFmt w:val="bullet"/>
      <w:lvlText w:val="◦"/>
      <w:lvlJc w:val="left"/>
      <w:pPr>
        <w:ind w:left="720" w:hanging="200"/>
      </w:pPr>
    </w:lvl>
    <w:lvl w:ilvl="2" w:tplc="2FF643C8">
      <w:numFmt w:val="decimal"/>
      <w:lvlText w:val=""/>
      <w:lvlJc w:val="left"/>
    </w:lvl>
    <w:lvl w:ilvl="3" w:tplc="E618AA66">
      <w:numFmt w:val="decimal"/>
      <w:lvlText w:val=""/>
      <w:lvlJc w:val="left"/>
    </w:lvl>
    <w:lvl w:ilvl="4" w:tplc="7A42DAEE">
      <w:numFmt w:val="decimal"/>
      <w:lvlText w:val=""/>
      <w:lvlJc w:val="left"/>
    </w:lvl>
    <w:lvl w:ilvl="5" w:tplc="8AF43F96">
      <w:numFmt w:val="decimal"/>
      <w:lvlText w:val=""/>
      <w:lvlJc w:val="left"/>
    </w:lvl>
    <w:lvl w:ilvl="6" w:tplc="BF721EB4">
      <w:numFmt w:val="decimal"/>
      <w:lvlText w:val=""/>
      <w:lvlJc w:val="left"/>
    </w:lvl>
    <w:lvl w:ilvl="7" w:tplc="4B6019CC">
      <w:numFmt w:val="decimal"/>
      <w:lvlText w:val=""/>
      <w:lvlJc w:val="left"/>
    </w:lvl>
    <w:lvl w:ilvl="8" w:tplc="F5901C4E">
      <w:numFmt w:val="decimal"/>
      <w:lvlText w:val=""/>
      <w:lvlJc w:val="left"/>
    </w:lvl>
  </w:abstractNum>
  <w:num w:numId="1" w16cid:durableId="889220356">
    <w:abstractNumId w:val="1"/>
    <w:lvlOverride w:ilvl="0">
      <w:startOverride w:val="1"/>
    </w:lvlOverride>
  </w:num>
  <w:num w:numId="2" w16cid:durableId="24237530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CDC"/>
    <w:rsid w:val="00517CFD"/>
    <w:rsid w:val="007731DF"/>
    <w:rsid w:val="00DB36C1"/>
    <w:rsid w:val="00E56C69"/>
    <w:rsid w:val="00FF7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E7372"/>
  <w15:docId w15:val="{6089ADD7-D9A7-44A7-9B8F-38C61D233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647</Words>
  <Characters>3689</Characters>
  <Application>Microsoft Office Word</Application>
  <DocSecurity>0</DocSecurity>
  <Lines>30</Lines>
  <Paragraphs>8</Paragraphs>
  <ScaleCrop>false</ScaleCrop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karun mehta</cp:lastModifiedBy>
  <cp:revision>3</cp:revision>
  <dcterms:created xsi:type="dcterms:W3CDTF">2026-07-03T15:29:00Z</dcterms:created>
  <dcterms:modified xsi:type="dcterms:W3CDTF">2026-07-03T18:23:00Z</dcterms:modified>
</cp:coreProperties>
</file>