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74EF" w14:textId="71DE879E" w:rsidR="00D84B31" w:rsidRDefault="00D84B31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B25CF">
        <w:rPr>
          <w:sz w:val="28"/>
          <w:szCs w:val="28"/>
        </w:rPr>
        <w:t>Assignment</w:t>
      </w:r>
      <w:r w:rsidR="000725B8">
        <w:rPr>
          <w:sz w:val="28"/>
          <w:szCs w:val="28"/>
        </w:rPr>
        <w:t>-2</w:t>
      </w:r>
      <w:r w:rsidRPr="00CB0C68">
        <w:rPr>
          <w:sz w:val="28"/>
          <w:szCs w:val="28"/>
        </w:rPr>
        <w:tab/>
        <w:t>Date:_____</w:t>
      </w:r>
      <w:r w:rsidR="005204C3">
        <w:rPr>
          <w:sz w:val="28"/>
          <w:szCs w:val="28"/>
        </w:rPr>
        <w:t>9/28/2016</w:t>
      </w:r>
      <w:r w:rsidRPr="00CB0C68">
        <w:rPr>
          <w:sz w:val="28"/>
          <w:szCs w:val="28"/>
        </w:rPr>
        <w:t>____</w:t>
      </w:r>
      <w:r w:rsidRPr="00CB0C68">
        <w:rPr>
          <w:sz w:val="28"/>
          <w:szCs w:val="28"/>
        </w:rPr>
        <w:tab/>
        <w:t xml:space="preserve">Student: </w:t>
      </w:r>
      <w:r>
        <w:rPr>
          <w:sz w:val="28"/>
          <w:szCs w:val="28"/>
        </w:rPr>
        <w:t>_____</w:t>
      </w:r>
      <w:r w:rsidR="005204C3">
        <w:rPr>
          <w:sz w:val="28"/>
          <w:szCs w:val="28"/>
        </w:rPr>
        <w:t>Karun Joseph</w:t>
      </w:r>
      <w:r>
        <w:rPr>
          <w:sz w:val="28"/>
          <w:szCs w:val="28"/>
        </w:rPr>
        <w:t>_____________________</w:t>
      </w:r>
    </w:p>
    <w:p w14:paraId="1111D76F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6DE9DE04" w14:textId="77777777" w:rsidTr="00717931">
        <w:trPr>
          <w:cantSplit/>
          <w:tblHeader/>
        </w:trPr>
        <w:tc>
          <w:tcPr>
            <w:tcW w:w="1799" w:type="dxa"/>
            <w:vAlign w:val="center"/>
          </w:tcPr>
          <w:p w14:paraId="7482724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B67B78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4F9BC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BCC9B6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5372883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6BE0C95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29984E1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52F8B9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AF4017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6F044685" w14:textId="77777777" w:rsidTr="004B381B">
        <w:tc>
          <w:tcPr>
            <w:tcW w:w="1799" w:type="dxa"/>
          </w:tcPr>
          <w:p w14:paraId="3FF735D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09D952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7144601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727AF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87DA99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7DFE6A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3A0D54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3C24117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BECCEF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8C8CA5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1A07131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744EF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0746D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73361E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7E3F86C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623567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4B9E887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1B1A6B3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5F8F2338" w14:textId="5A91A849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147152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DEB9281" w14:textId="77777777" w:rsidTr="004B381B">
        <w:tc>
          <w:tcPr>
            <w:tcW w:w="1799" w:type="dxa"/>
          </w:tcPr>
          <w:p w14:paraId="1212611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662384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B8F9DA0" w14:textId="77777777" w:rsidR="00D84B31" w:rsidRDefault="00D84B31" w:rsidP="004B381B">
            <w:r w:rsidRPr="00BC4A94">
              <w:t>Absent, no evidence</w:t>
            </w:r>
          </w:p>
          <w:p w14:paraId="4F9F0E91" w14:textId="77777777" w:rsidR="00D84B31" w:rsidRDefault="00D84B31" w:rsidP="004B381B"/>
          <w:p w14:paraId="23FEABDE" w14:textId="77777777" w:rsidR="00D84B31" w:rsidRDefault="00D84B31" w:rsidP="004B381B"/>
          <w:p w14:paraId="7C14194B" w14:textId="77777777" w:rsidR="00D84B31" w:rsidRDefault="00D84B31" w:rsidP="004B381B"/>
          <w:p w14:paraId="2A1B548C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58753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63AAA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87DF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B9881D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74BAB9F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3A7E6D1D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1F2CC69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3CAFBD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D2BA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DFC278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D84207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0DE02D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0020DABD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7744135" w14:textId="20F1E205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F638B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D70D78E" w14:textId="77777777" w:rsidTr="004B381B">
        <w:tc>
          <w:tcPr>
            <w:tcW w:w="1799" w:type="dxa"/>
          </w:tcPr>
          <w:p w14:paraId="41602004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1FB8FDA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6E8AB4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76FF2C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65106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73AE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EFAA5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A67433E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268B87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1E2BB1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23151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1DFD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EA14082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B34ACA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4ED0F61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7E6FC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2A931C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68C4D9CF" w14:textId="7A78AA10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62E4C54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A29DC21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A6D9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41A9E82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FA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4243608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DDA1AD8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C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17BFFE7E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E5F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0D8D056F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187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48B650D8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5BC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3F62EC0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C3179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B2D1DC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5639427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EDDD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0C07020" w14:textId="68348CE4" w:rsidR="00D84B31" w:rsidRPr="008F5A56" w:rsidRDefault="00B508ED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Description of deployment environment and chosen data scanning/recording intervals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 xml:space="preserve"> (10)</w:t>
            </w:r>
          </w:p>
        </w:tc>
        <w:tc>
          <w:tcPr>
            <w:tcW w:w="901" w:type="dxa"/>
          </w:tcPr>
          <w:p w14:paraId="719A1CE4" w14:textId="02211643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053498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6ED89C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B7E1C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5DE750" w14:textId="00A8B05C" w:rsidR="00D84B31" w:rsidRPr="008F5A56" w:rsidRDefault="00B508ED" w:rsidP="00CE29C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Identification of the time support, spacing, and extent of the data you collected (1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77FB551" w14:textId="4A5FB1ED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695BA25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477E34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78DB0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578374C" w14:textId="41B9ADC6" w:rsidR="00D84B31" w:rsidRPr="008F5A56" w:rsidRDefault="005E0573" w:rsidP="005E057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Description and a</w:t>
            </w:r>
            <w:r w:rsidR="00B508ED">
              <w:rPr>
                <w:rFonts w:ascii="TimesNewRomanPSMT" w:hAnsi="TimesNewRomanPSMT" w:cs="TimesNewRomanPSMT"/>
                <w:sz w:val="20"/>
                <w:szCs w:val="20"/>
              </w:rPr>
              <w:t>nalysis of the data, including at least one original visualization of the data you collected (3</w:t>
            </w:r>
            <w:r w:rsidR="00D84B31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2FEE3394" w14:textId="5439A3AC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14:paraId="603D8D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DFB177D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56D0A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8FFA99" w14:textId="41A998F1" w:rsidR="00D84B31" w:rsidRPr="00B508ED" w:rsidRDefault="00B508ED" w:rsidP="00B508E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Submission of a working Arduino sketch as an electronic file to Canvas (2</w:t>
            </w:r>
            <w:r w:rsidRPr="00B508ED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5D8DAEB3" w14:textId="4248CE68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14:paraId="1F73F1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B5EAD9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0FE2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AE440D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01995EC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D632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BF423FD" w14:textId="77777777" w:rsidTr="00717931">
        <w:trPr>
          <w:cantSplit/>
        </w:trPr>
        <w:tc>
          <w:tcPr>
            <w:tcW w:w="1799" w:type="dxa"/>
          </w:tcPr>
          <w:p w14:paraId="454B77D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7B41FD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9A816A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FE0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532D68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02105E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DED3D6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715945E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8DB6C3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4D31D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2224E99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492DEDEB" w14:textId="6CBF206B" w:rsidR="00D84B31" w:rsidRPr="00BC4A94" w:rsidRDefault="005B20BA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020D1BE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3439329" w14:textId="77777777" w:rsidTr="004B381B">
        <w:tc>
          <w:tcPr>
            <w:tcW w:w="1799" w:type="dxa"/>
          </w:tcPr>
          <w:p w14:paraId="70158E2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5FB7EE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1C41479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F64C2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7ED845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483B8FC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3008A9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5752E1A8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1A7D43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E84B77E" w14:textId="2B2FAB0E" w:rsidR="00D84B31" w:rsidRPr="00BC4A94" w:rsidRDefault="009F2E5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048026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3DE1741" w14:textId="77777777" w:rsidTr="005B20BA">
        <w:trPr>
          <w:trHeight w:val="1214"/>
        </w:trPr>
        <w:tc>
          <w:tcPr>
            <w:tcW w:w="1799" w:type="dxa"/>
          </w:tcPr>
          <w:p w14:paraId="12715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12B080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0AE0FAB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73FE50E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73CB98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B56804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0083F99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620AC881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52BAF4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6954E047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2CEC3D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6E6FE84D" w14:textId="04639CD3" w:rsidR="00D84B31" w:rsidRPr="00BC4A94" w:rsidRDefault="005B20BA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62FD3D3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491C2EB5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7A2EC4AB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6F3BCCD4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642DD2D4" w14:textId="7B4BA52D" w:rsidR="00D84B31" w:rsidRPr="00A848C4" w:rsidRDefault="005B20BA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98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4CFE0BE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5938A4A7" w14:textId="77777777" w:rsidR="00D84B31" w:rsidRDefault="00D84B31" w:rsidP="00D84B31"/>
    <w:p w14:paraId="6D117EC5" w14:textId="77777777" w:rsidR="00D84B31" w:rsidRDefault="00D84B31" w:rsidP="00D84B31"/>
    <w:p w14:paraId="53393F2E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0725B8"/>
    <w:rsid w:val="00482471"/>
    <w:rsid w:val="004F2248"/>
    <w:rsid w:val="005204C3"/>
    <w:rsid w:val="00520B03"/>
    <w:rsid w:val="005B20BA"/>
    <w:rsid w:val="005E0573"/>
    <w:rsid w:val="00717931"/>
    <w:rsid w:val="009F2E58"/>
    <w:rsid w:val="00AB1BE4"/>
    <w:rsid w:val="00B508ED"/>
    <w:rsid w:val="00CB25CF"/>
    <w:rsid w:val="00CE29C9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9DD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699</Words>
  <Characters>3985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Microsoft Office User</cp:lastModifiedBy>
  <cp:revision>11</cp:revision>
  <dcterms:created xsi:type="dcterms:W3CDTF">2012-08-27T04:40:00Z</dcterms:created>
  <dcterms:modified xsi:type="dcterms:W3CDTF">2016-09-29T18:20:00Z</dcterms:modified>
</cp:coreProperties>
</file>