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38357E" w:rsidP="00E855B6">
      <w:pPr>
        <w:pStyle w:val="papertitle"/>
        <w:spacing w:before="100" w:beforeAutospacing="1" w:after="100" w:afterAutospacing="1"/>
      </w:pPr>
      <w:r>
        <w:t xml:space="preserve">Bayes’ Classifier for </w:t>
      </w:r>
      <w:r w:rsidR="00974BD1">
        <w:t>Gaussian distributions</w:t>
      </w:r>
    </w:p>
    <w:p w:rsidR="00D7522C" w:rsidRDefault="00D7522C" w:rsidP="0062304A">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6C3E62" w:rsidP="00BD670B">
      <w:pPr>
        <w:pStyle w:val="Author"/>
        <w:spacing w:before="100" w:beforeAutospacing="1"/>
        <w:rPr>
          <w:sz w:val="18"/>
          <w:szCs w:val="18"/>
        </w:rPr>
      </w:pPr>
      <w:r>
        <w:rPr>
          <w:sz w:val="18"/>
          <w:szCs w:val="18"/>
        </w:rPr>
        <w:lastRenderedPageBreak/>
        <w:t>Manoj Madabhushi</w:t>
      </w:r>
      <w:r w:rsidR="001A3B3D" w:rsidRPr="00F847A6">
        <w:rPr>
          <w:sz w:val="18"/>
          <w:szCs w:val="18"/>
        </w:rPr>
        <w:t xml:space="preserve"> </w:t>
      </w:r>
      <w:r w:rsidR="001A3B3D" w:rsidRPr="00F847A6">
        <w:rPr>
          <w:sz w:val="18"/>
          <w:szCs w:val="18"/>
        </w:rPr>
        <w:br/>
      </w:r>
      <w:r w:rsidRPr="006C3E62">
        <w:rPr>
          <w:i/>
          <w:sz w:val="18"/>
          <w:szCs w:val="18"/>
        </w:rPr>
        <w:t>School of Engineering and Applied Sciences</w:t>
      </w:r>
      <w:r w:rsidR="00D72D06" w:rsidRPr="00F847A6">
        <w:rPr>
          <w:sz w:val="18"/>
          <w:szCs w:val="18"/>
        </w:rPr>
        <w:br/>
      </w:r>
      <w:r>
        <w:rPr>
          <w:i/>
          <w:sz w:val="18"/>
          <w:szCs w:val="18"/>
        </w:rPr>
        <w:t>University at Buffalo</w:t>
      </w:r>
      <w:r w:rsidR="001A3B3D" w:rsidRPr="00F847A6">
        <w:rPr>
          <w:i/>
          <w:sz w:val="18"/>
          <w:szCs w:val="18"/>
        </w:rPr>
        <w:br/>
      </w:r>
      <w:r>
        <w:rPr>
          <w:sz w:val="18"/>
          <w:szCs w:val="18"/>
        </w:rPr>
        <w:t>New York, United States</w:t>
      </w:r>
      <w:r w:rsidR="001A3B3D" w:rsidRPr="00F847A6">
        <w:rPr>
          <w:sz w:val="18"/>
          <w:szCs w:val="18"/>
        </w:rPr>
        <w:br/>
      </w:r>
      <w:r>
        <w:rPr>
          <w:sz w:val="18"/>
          <w:szCs w:val="18"/>
        </w:rPr>
        <w:t>lmadabhu@buffalo.edu</w:t>
      </w:r>
    </w:p>
    <w:p w:rsidR="001A3B3D" w:rsidRPr="00F847A6" w:rsidRDefault="00BD670B" w:rsidP="0062304A">
      <w:pPr>
        <w:pStyle w:val="Author"/>
        <w:spacing w:before="100" w:beforeAutospacing="1"/>
        <w:rPr>
          <w:sz w:val="18"/>
          <w:szCs w:val="18"/>
        </w:rPr>
      </w:pPr>
      <w:r>
        <w:rPr>
          <w:sz w:val="18"/>
          <w:szCs w:val="18"/>
        </w:rPr>
        <w:br w:type="column"/>
      </w:r>
    </w:p>
    <w:p w:rsidR="001A3B3D" w:rsidRPr="00F847A6" w:rsidRDefault="00BD670B" w:rsidP="0062304A">
      <w:pPr>
        <w:pStyle w:val="Author"/>
        <w:spacing w:before="0"/>
        <w:rPr>
          <w:sz w:val="18"/>
          <w:szCs w:val="18"/>
        </w:rPr>
      </w:pPr>
      <w:r>
        <w:rPr>
          <w:sz w:val="18"/>
          <w:szCs w:val="18"/>
        </w:rPr>
        <w:br w:type="column"/>
      </w:r>
      <w:r w:rsidR="006C3E62">
        <w:rPr>
          <w:sz w:val="18"/>
          <w:szCs w:val="18"/>
        </w:rPr>
        <w:lastRenderedPageBreak/>
        <w:t>Karun Parashar</w:t>
      </w:r>
      <w:r w:rsidR="001A3B3D" w:rsidRPr="00F847A6">
        <w:rPr>
          <w:sz w:val="18"/>
          <w:szCs w:val="18"/>
        </w:rPr>
        <w:br/>
      </w:r>
      <w:r w:rsidR="006C3E62">
        <w:rPr>
          <w:i/>
          <w:sz w:val="18"/>
          <w:szCs w:val="18"/>
        </w:rPr>
        <w:t>School of Engineering and Applied Sciences</w:t>
      </w:r>
      <w:r w:rsidR="001A3B3D" w:rsidRPr="00F847A6">
        <w:rPr>
          <w:sz w:val="18"/>
          <w:szCs w:val="18"/>
        </w:rPr>
        <w:br/>
      </w:r>
      <w:r w:rsidR="006C3E62">
        <w:rPr>
          <w:i/>
          <w:sz w:val="18"/>
          <w:szCs w:val="18"/>
        </w:rPr>
        <w:t>University at Buffalo</w:t>
      </w:r>
      <w:r w:rsidR="001A3B3D" w:rsidRPr="00F847A6">
        <w:rPr>
          <w:i/>
          <w:sz w:val="18"/>
          <w:szCs w:val="18"/>
        </w:rPr>
        <w:br/>
      </w:r>
      <w:r w:rsidR="006C3E62">
        <w:rPr>
          <w:sz w:val="18"/>
          <w:szCs w:val="18"/>
        </w:rPr>
        <w:t>New York, United States</w:t>
      </w:r>
      <w:r w:rsidR="001A3B3D" w:rsidRPr="00F847A6">
        <w:rPr>
          <w:sz w:val="18"/>
          <w:szCs w:val="18"/>
        </w:rPr>
        <w:br/>
      </w:r>
      <w:r w:rsidR="003A3CC9">
        <w:rPr>
          <w:sz w:val="18"/>
          <w:szCs w:val="18"/>
        </w:rPr>
        <w:t>karunpar</w:t>
      </w:r>
      <w:r w:rsidR="006C3E62">
        <w:rPr>
          <w:sz w:val="18"/>
          <w:szCs w:val="18"/>
        </w:rPr>
        <w:t>@buffalo.edu</w:t>
      </w:r>
    </w:p>
    <w:p w:rsidR="00447BB9" w:rsidRDefault="00447BB9" w:rsidP="0062304A">
      <w:pPr>
        <w:pStyle w:val="Author"/>
        <w:spacing w:before="100" w:beforeAutospacing="1"/>
        <w:jc w:val="both"/>
      </w:pPr>
    </w:p>
    <w:p w:rsidR="009F1D79" w:rsidRDefault="009F1D79"/>
    <w:p w:rsidR="00383B6B" w:rsidRDefault="00383B6B" w:rsidP="00383B6B">
      <w:pPr>
        <w:jc w:val="both"/>
        <w:sectPr w:rsidR="00383B6B" w:rsidSect="003B4E04">
          <w:type w:val="continuous"/>
          <w:pgSz w:w="11906" w:h="16838" w:code="9"/>
          <w:pgMar w:top="450" w:right="893" w:bottom="1440" w:left="893" w:header="720" w:footer="720" w:gutter="0"/>
          <w:cols w:num="3" w:space="720"/>
          <w:docGrid w:linePitch="360"/>
        </w:sectPr>
      </w:pPr>
    </w:p>
    <w:p w:rsidR="009303D9" w:rsidRPr="005B520E" w:rsidRDefault="009303D9" w:rsidP="00383B6B">
      <w:pPr>
        <w:jc w:val="both"/>
        <w:sectPr w:rsidR="009303D9" w:rsidRPr="005B520E" w:rsidSect="003B4E04">
          <w:type w:val="continuous"/>
          <w:pgSz w:w="11906" w:h="16838" w:code="9"/>
          <w:pgMar w:top="450" w:right="893" w:bottom="1440" w:left="893" w:header="720" w:footer="720" w:gutter="0"/>
          <w:cols w:num="3" w:space="720"/>
          <w:docGrid w:linePitch="360"/>
        </w:sectPr>
      </w:pPr>
    </w:p>
    <w:p w:rsidR="00E855B6" w:rsidRDefault="00E855B6" w:rsidP="00E855B6">
      <w:pPr>
        <w:pStyle w:val="normal0"/>
        <w:pBdr>
          <w:top w:val="nil"/>
          <w:left w:val="nil"/>
          <w:bottom w:val="nil"/>
          <w:right w:val="nil"/>
          <w:between w:val="nil"/>
        </w:pBdr>
        <w:spacing w:after="200"/>
        <w:jc w:val="both"/>
        <w:rPr>
          <w:b/>
          <w:i/>
          <w:color w:val="000000"/>
          <w:sz w:val="18"/>
          <w:szCs w:val="18"/>
        </w:rPr>
      </w:pPr>
      <w:r>
        <w:rPr>
          <w:b/>
          <w:i/>
          <w:color w:val="000000"/>
          <w:sz w:val="18"/>
          <w:szCs w:val="18"/>
        </w:rPr>
        <w:lastRenderedPageBreak/>
        <w:t>Abstract</w:t>
      </w:r>
      <w:r>
        <w:rPr>
          <w:b/>
          <w:color w:val="000000"/>
          <w:sz w:val="18"/>
          <w:szCs w:val="18"/>
        </w:rPr>
        <w:t xml:space="preserve">— </w:t>
      </w:r>
      <w:proofErr w:type="gramStart"/>
      <w:r>
        <w:rPr>
          <w:b/>
          <w:color w:val="000000"/>
          <w:sz w:val="18"/>
          <w:szCs w:val="18"/>
        </w:rPr>
        <w:t>The</w:t>
      </w:r>
      <w:proofErr w:type="gramEnd"/>
      <w:r>
        <w:rPr>
          <w:b/>
          <w:color w:val="000000"/>
          <w:sz w:val="18"/>
          <w:szCs w:val="18"/>
        </w:rPr>
        <w:t xml:space="preserve"> aim of this project is to build a classifier which uses </w:t>
      </w:r>
      <w:proofErr w:type="spellStart"/>
      <w:r>
        <w:rPr>
          <w:b/>
          <w:color w:val="000000"/>
          <w:sz w:val="18"/>
          <w:szCs w:val="18"/>
        </w:rPr>
        <w:t>Bayes</w:t>
      </w:r>
      <w:proofErr w:type="spellEnd"/>
      <w:r>
        <w:rPr>
          <w:b/>
          <w:color w:val="000000"/>
          <w:sz w:val="18"/>
          <w:szCs w:val="18"/>
        </w:rPr>
        <w:t>’ theorem for predictions. In the real-world, we often encounter data that suffers from scaling issues. In this paper, we study ways to tackle this with normalization and its impact on classification accuracy.</w:t>
      </w:r>
      <w:r w:rsidRPr="00E855B6">
        <w:rPr>
          <w:b/>
          <w:i/>
          <w:color w:val="000000"/>
        </w:rPr>
        <w:t xml:space="preserve"> </w:t>
      </w:r>
    </w:p>
    <w:p w:rsidR="00E855B6" w:rsidRDefault="00E855B6" w:rsidP="00E855B6">
      <w:pPr>
        <w:pStyle w:val="Heading1"/>
        <w:numPr>
          <w:ilvl w:val="0"/>
          <w:numId w:val="25"/>
        </w:numPr>
      </w:pPr>
      <w:r>
        <w:t xml:space="preserve">Introduction </w:t>
      </w:r>
    </w:p>
    <w:p w:rsidR="00E855B6" w:rsidRPr="00F64BD5"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Pr>
          <w:color w:val="000000"/>
        </w:rPr>
        <w:t>In an experiment involving 1000 participants, two different measurements (F1 and F2) were recorded, each of which involved 5 different tasks (C1-C5) performed by all the participants. The task data for each participant is independent of each other and from the other measurement. The data is normally distributed across each task for both measurements as follows:</w:t>
      </w:r>
    </w:p>
    <w:p w:rsidR="00E855B6" w:rsidRDefault="00E855B6" w:rsidP="00E855B6">
      <w:pPr>
        <w:pStyle w:val="normal0"/>
        <w:pBdr>
          <w:top w:val="nil"/>
          <w:left w:val="nil"/>
          <w:bottom w:val="nil"/>
          <w:right w:val="nil"/>
          <w:between w:val="nil"/>
        </w:pBdr>
        <w:tabs>
          <w:tab w:val="left" w:pos="288"/>
        </w:tabs>
        <w:spacing w:after="120" w:line="228" w:lineRule="auto"/>
        <w:jc w:val="left"/>
        <w:rPr>
          <w:color w:val="000000"/>
        </w:rPr>
      </w:pPr>
      <w:r w:rsidRPr="00F64BD5">
        <w:rPr>
          <w:color w:val="000000"/>
        </w:rPr>
        <w:t>P(F1|Ci)=N(m</w:t>
      </w:r>
      <w:r w:rsidRPr="00D7545A">
        <w:rPr>
          <w:color w:val="000000"/>
          <w:vertAlign w:val="subscript"/>
        </w:rPr>
        <w:t>1i</w:t>
      </w:r>
      <w:r>
        <w:rPr>
          <w:color w:val="000000"/>
        </w:rPr>
        <w:t>σ</w:t>
      </w:r>
      <w:r w:rsidRPr="00D7545A">
        <w:rPr>
          <w:color w:val="000000"/>
          <w:vertAlign w:val="subscript"/>
        </w:rPr>
        <w:t>1i</w:t>
      </w:r>
      <w:r w:rsidRPr="00D7545A">
        <w:rPr>
          <w:color w:val="000000"/>
          <w:vertAlign w:val="superscript"/>
        </w:rPr>
        <w:t>2</w:t>
      </w:r>
      <w:r w:rsidRPr="00F64BD5">
        <w:rPr>
          <w:color w:val="000000"/>
        </w:rPr>
        <w:t>)</w:t>
      </w:r>
      <w:r>
        <w:rPr>
          <w:color w:val="000000"/>
        </w:rPr>
        <w:t xml:space="preserve">, </w:t>
      </w:r>
      <w:r w:rsidRPr="0051511B">
        <w:rPr>
          <w:color w:val="000000"/>
        </w:rPr>
        <w:t>P(</w:t>
      </w:r>
      <w:r>
        <w:rPr>
          <w:color w:val="000000"/>
        </w:rPr>
        <w:t>F</w:t>
      </w:r>
      <w:r w:rsidRPr="0051511B">
        <w:rPr>
          <w:color w:val="000000"/>
        </w:rPr>
        <w:t>2|C</w:t>
      </w:r>
      <w:r w:rsidRPr="0051511B">
        <w:rPr>
          <w:color w:val="000000"/>
          <w:vertAlign w:val="subscript"/>
        </w:rPr>
        <w:t>i</w:t>
      </w:r>
      <w:r w:rsidRPr="0051511B">
        <w:rPr>
          <w:color w:val="000000"/>
        </w:rPr>
        <w:t>)=N(m</w:t>
      </w:r>
      <w:r w:rsidRPr="00D7545A">
        <w:rPr>
          <w:color w:val="000000"/>
          <w:vertAlign w:val="subscript"/>
        </w:rPr>
        <w:t>2i</w:t>
      </w:r>
      <w:r w:rsidRPr="0051511B">
        <w:rPr>
          <w:color w:val="000000"/>
        </w:rPr>
        <w:t>,</w:t>
      </w:r>
      <w:r>
        <w:rPr>
          <w:color w:val="000000"/>
        </w:rPr>
        <w:t>σ</w:t>
      </w:r>
      <w:r w:rsidRPr="00D7545A">
        <w:rPr>
          <w:color w:val="000000"/>
          <w:vertAlign w:val="subscript"/>
        </w:rPr>
        <w:t>2i</w:t>
      </w:r>
      <w:r w:rsidRPr="00D7545A">
        <w:rPr>
          <w:color w:val="000000"/>
          <w:vertAlign w:val="superscript"/>
        </w:rPr>
        <w:t>2</w:t>
      </w:r>
      <w:r>
        <w:rPr>
          <w:color w:val="000000"/>
        </w:rPr>
        <w:t xml:space="preserve">) </w:t>
      </w:r>
      <w:r w:rsidRPr="0051511B">
        <w:rPr>
          <w:color w:val="000000"/>
        </w:rPr>
        <w:t xml:space="preserve">for </w:t>
      </w:r>
      <w:proofErr w:type="spellStart"/>
      <w:r w:rsidRPr="0051511B">
        <w:rPr>
          <w:color w:val="000000"/>
        </w:rPr>
        <w:t>i</w:t>
      </w:r>
      <w:proofErr w:type="spellEnd"/>
      <w:r w:rsidRPr="0051511B">
        <w:rPr>
          <w:color w:val="000000"/>
        </w:rPr>
        <w:t>=1,2,3,4,5</w:t>
      </w:r>
      <w:r>
        <w:rPr>
          <w:color w:val="000000"/>
        </w:rPr>
        <w:t xml:space="preserve">  (1)</w:t>
      </w:r>
    </w:p>
    <w:p w:rsidR="00E855B6" w:rsidRDefault="00E855B6" w:rsidP="00E855B6">
      <w:pPr>
        <w:pStyle w:val="normal0"/>
        <w:pBdr>
          <w:top w:val="nil"/>
          <w:left w:val="nil"/>
          <w:bottom w:val="nil"/>
          <w:right w:val="nil"/>
          <w:between w:val="nil"/>
        </w:pBdr>
        <w:tabs>
          <w:tab w:val="left" w:pos="288"/>
        </w:tabs>
        <w:spacing w:after="120" w:line="228" w:lineRule="auto"/>
        <w:jc w:val="both"/>
        <w:rPr>
          <w:color w:val="000000"/>
        </w:rPr>
      </w:pPr>
      <w:proofErr w:type="gramStart"/>
      <w:r w:rsidRPr="00D7545A">
        <w:rPr>
          <w:color w:val="000000"/>
        </w:rPr>
        <w:t>where</w:t>
      </w:r>
      <w:proofErr w:type="gramEnd"/>
      <w:r w:rsidRPr="00D7545A">
        <w:rPr>
          <w:color w:val="000000"/>
        </w:rPr>
        <w:t>, m</w:t>
      </w:r>
      <w:r w:rsidRPr="00D7545A">
        <w:rPr>
          <w:color w:val="000000"/>
          <w:vertAlign w:val="subscript"/>
        </w:rPr>
        <w:t>1i</w:t>
      </w:r>
      <w:r w:rsidRPr="00D7545A">
        <w:rPr>
          <w:color w:val="000000"/>
        </w:rPr>
        <w:t xml:space="preserve">, </w:t>
      </w:r>
      <w:r>
        <w:rPr>
          <w:color w:val="000000"/>
        </w:rPr>
        <w:t>σ</w:t>
      </w:r>
      <w:r w:rsidRPr="00D7545A">
        <w:rPr>
          <w:color w:val="000000"/>
          <w:vertAlign w:val="subscript"/>
        </w:rPr>
        <w:t>1i</w:t>
      </w:r>
      <w:r w:rsidRPr="00D7545A">
        <w:rPr>
          <w:color w:val="000000"/>
          <w:vertAlign w:val="superscript"/>
        </w:rPr>
        <w:t>2</w:t>
      </w:r>
      <w:r w:rsidRPr="00D7545A">
        <w:rPr>
          <w:color w:val="000000"/>
        </w:rPr>
        <w:t xml:space="preserve"> are the mean and variance of F1 for the </w:t>
      </w:r>
      <w:proofErr w:type="spellStart"/>
      <w:r w:rsidRPr="00D7545A">
        <w:rPr>
          <w:color w:val="000000"/>
        </w:rPr>
        <w:t>ith</w:t>
      </w:r>
      <w:proofErr w:type="spellEnd"/>
      <w:r w:rsidRPr="00D7545A">
        <w:rPr>
          <w:color w:val="000000"/>
        </w:rPr>
        <w:t xml:space="preserve"> class</w:t>
      </w:r>
      <w:r>
        <w:rPr>
          <w:color w:val="000000"/>
        </w:rPr>
        <w:t xml:space="preserve"> and</w:t>
      </w:r>
      <w:r w:rsidRPr="00D7545A">
        <w:rPr>
          <w:color w:val="000000"/>
        </w:rPr>
        <w:t xml:space="preserve"> m</w:t>
      </w:r>
      <w:r w:rsidRPr="00D7545A">
        <w:rPr>
          <w:color w:val="000000"/>
          <w:vertAlign w:val="subscript"/>
        </w:rPr>
        <w:t>2i</w:t>
      </w:r>
      <w:r w:rsidRPr="00D7545A">
        <w:rPr>
          <w:color w:val="000000"/>
        </w:rPr>
        <w:t xml:space="preserve">, </w:t>
      </w:r>
      <w:r>
        <w:rPr>
          <w:color w:val="000000"/>
        </w:rPr>
        <w:t>σ</w:t>
      </w:r>
      <w:r w:rsidRPr="00D7545A">
        <w:rPr>
          <w:color w:val="000000"/>
          <w:vertAlign w:val="subscript"/>
        </w:rPr>
        <w:t>2i</w:t>
      </w:r>
      <w:r w:rsidRPr="00D7545A">
        <w:rPr>
          <w:color w:val="000000"/>
          <w:vertAlign w:val="superscript"/>
        </w:rPr>
        <w:t>2</w:t>
      </w:r>
      <w:r w:rsidRPr="00D7545A">
        <w:rPr>
          <w:color w:val="000000"/>
        </w:rPr>
        <w:t xml:space="preserve"> are the mean and variance of F2 for the </w:t>
      </w:r>
      <w:proofErr w:type="spellStart"/>
      <w:r w:rsidRPr="00D7545A">
        <w:rPr>
          <w:color w:val="000000"/>
        </w:rPr>
        <w:t>ith</w:t>
      </w:r>
      <w:proofErr w:type="spellEnd"/>
      <w:r w:rsidRPr="00D7545A">
        <w:rPr>
          <w:color w:val="000000"/>
        </w:rPr>
        <w:t xml:space="preserve"> class. </w:t>
      </w:r>
      <w:r>
        <w:rPr>
          <w:color w:val="000000"/>
        </w:rPr>
        <w:t xml:space="preserve"> </w:t>
      </w: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Pr>
          <w:color w:val="000000"/>
        </w:rPr>
        <w:t xml:space="preserve">Our objective is to build a Bayesian classifier to predict the class of each participant given the measurement. </w:t>
      </w:r>
    </w:p>
    <w:p w:rsidR="00E855B6" w:rsidRDefault="00E855B6" w:rsidP="00E855B6">
      <w:pPr>
        <w:pStyle w:val="Heading1"/>
        <w:numPr>
          <w:ilvl w:val="0"/>
          <w:numId w:val="25"/>
        </w:numPr>
      </w:pPr>
      <w:r>
        <w:t>METHODS</w:t>
      </w:r>
    </w:p>
    <w:p w:rsidR="00E855B6" w:rsidRDefault="00E855B6" w:rsidP="00E855B6">
      <w:pPr>
        <w:pStyle w:val="Heading2"/>
        <w:numPr>
          <w:ilvl w:val="1"/>
          <w:numId w:val="25"/>
        </w:numPr>
      </w:pPr>
      <w:r>
        <w:t>Data Preparation</w:t>
      </w:r>
    </w:p>
    <w:p w:rsidR="00E855B6" w:rsidRDefault="00E855B6" w:rsidP="00E855B6">
      <w:pPr>
        <w:pStyle w:val="Default"/>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F1 measurement is assumed </w:t>
      </w:r>
      <w:r w:rsidRPr="006A6762">
        <w:rPr>
          <w:rFonts w:ascii="Times New Roman" w:hAnsi="Times New Roman" w:cs="Times New Roman"/>
          <w:sz w:val="20"/>
          <w:szCs w:val="20"/>
          <w:lang w:val="en-US"/>
        </w:rPr>
        <w:t>to be a subjective measu</w:t>
      </w:r>
      <w:r>
        <w:rPr>
          <w:rFonts w:ascii="Times New Roman" w:hAnsi="Times New Roman" w:cs="Times New Roman"/>
          <w:sz w:val="20"/>
          <w:szCs w:val="20"/>
          <w:lang w:val="en-US"/>
        </w:rPr>
        <w:t>re i.e., t</w:t>
      </w:r>
      <w:r w:rsidRPr="006A6762">
        <w:rPr>
          <w:rFonts w:ascii="Times New Roman" w:hAnsi="Times New Roman" w:cs="Times New Roman"/>
          <w:sz w:val="20"/>
          <w:szCs w:val="20"/>
          <w:lang w:val="en-US"/>
        </w:rPr>
        <w:t>he value</w:t>
      </w:r>
      <w:r>
        <w:rPr>
          <w:rFonts w:ascii="Times New Roman" w:hAnsi="Times New Roman" w:cs="Times New Roman"/>
          <w:sz w:val="20"/>
          <w:szCs w:val="20"/>
          <w:lang w:val="en-US"/>
        </w:rPr>
        <w:t>s</w:t>
      </w:r>
      <w:r w:rsidRPr="006A6762">
        <w:rPr>
          <w:rFonts w:ascii="Times New Roman" w:hAnsi="Times New Roman" w:cs="Times New Roman"/>
          <w:sz w:val="20"/>
          <w:szCs w:val="20"/>
          <w:lang w:val="en-US"/>
        </w:rPr>
        <w:t xml:space="preserve"> and the range of data rep</w:t>
      </w:r>
      <w:r>
        <w:rPr>
          <w:rFonts w:ascii="Times New Roman" w:hAnsi="Times New Roman" w:cs="Times New Roman"/>
          <w:sz w:val="20"/>
          <w:szCs w:val="20"/>
          <w:lang w:val="en-US"/>
        </w:rPr>
        <w:t>orted by one participant might not be in the same scale as others. These differences could impact the classification accuracy and hence</w:t>
      </w:r>
      <w:r w:rsidRPr="006A6762">
        <w:rPr>
          <w:rFonts w:ascii="Times New Roman" w:hAnsi="Times New Roman" w:cs="Times New Roman"/>
          <w:sz w:val="20"/>
          <w:szCs w:val="20"/>
          <w:lang w:val="en-US"/>
        </w:rPr>
        <w:t>,</w:t>
      </w:r>
      <w:r>
        <w:rPr>
          <w:rFonts w:ascii="Times New Roman" w:hAnsi="Times New Roman" w:cs="Times New Roman"/>
          <w:sz w:val="20"/>
          <w:szCs w:val="20"/>
          <w:lang w:val="en-US"/>
        </w:rPr>
        <w:t xml:space="preserve"> normalizing</w:t>
      </w:r>
      <w:r w:rsidRPr="006A6762">
        <w:rPr>
          <w:rFonts w:ascii="Times New Roman" w:hAnsi="Times New Roman" w:cs="Times New Roman"/>
          <w:sz w:val="20"/>
          <w:szCs w:val="20"/>
          <w:lang w:val="en-US"/>
        </w:rPr>
        <w:t xml:space="preserve"> the data of each subject </w:t>
      </w:r>
      <w:r>
        <w:rPr>
          <w:rFonts w:ascii="Times New Roman" w:hAnsi="Times New Roman" w:cs="Times New Roman"/>
          <w:sz w:val="20"/>
          <w:szCs w:val="20"/>
          <w:lang w:val="en-US"/>
        </w:rPr>
        <w:t xml:space="preserve">by </w:t>
      </w:r>
      <w:r w:rsidRPr="006A6762">
        <w:rPr>
          <w:rFonts w:ascii="Times New Roman" w:hAnsi="Times New Roman" w:cs="Times New Roman"/>
          <w:sz w:val="20"/>
          <w:szCs w:val="20"/>
          <w:lang w:val="en-US"/>
        </w:rPr>
        <w:t>using the standard normal formulation</w:t>
      </w:r>
      <w:r>
        <w:rPr>
          <w:rFonts w:ascii="Times New Roman" w:hAnsi="Times New Roman" w:cs="Times New Roman"/>
          <w:sz w:val="20"/>
          <w:szCs w:val="20"/>
          <w:lang w:val="en-US"/>
        </w:rPr>
        <w:t xml:space="preserve"> will alleviate this problem. To normalize the data, we remove the mean of all tasks of a participant data from that participant’s reported task values and divide it by the standard deviation of all tasks. This process will make sure that all the participant data is centered at zero with a standard deviation of one. The new transformed (Z-score) measure is named Z1.</w:t>
      </w:r>
      <w:r w:rsidRPr="00E855B6">
        <w:t xml:space="preserve"> </w:t>
      </w:r>
    </w:p>
    <w:p w:rsidR="00E855B6" w:rsidRDefault="00E855B6" w:rsidP="00E855B6">
      <w:pPr>
        <w:pStyle w:val="Default"/>
        <w:ind w:firstLine="284"/>
        <w:jc w:val="both"/>
        <w:rPr>
          <w:rFonts w:ascii="Times New Roman" w:hAnsi="Times New Roman" w:cs="Times New Roman"/>
          <w:sz w:val="20"/>
          <w:szCs w:val="20"/>
          <w:lang w:val="en-US"/>
        </w:rPr>
      </w:pPr>
    </w:p>
    <w:p w:rsidR="00383B6B" w:rsidRDefault="00383B6B" w:rsidP="00E855B6">
      <w:pPr>
        <w:pStyle w:val="Default"/>
        <w:ind w:firstLine="284"/>
        <w:jc w:val="both"/>
        <w:rPr>
          <w:rFonts w:ascii="Times New Roman" w:hAnsi="Times New Roman" w:cs="Times New Roman"/>
          <w:sz w:val="20"/>
          <w:szCs w:val="20"/>
          <w:lang w:val="en-US"/>
        </w:rPr>
      </w:pPr>
    </w:p>
    <w:p w:rsidR="00383B6B" w:rsidRDefault="00383B6B" w:rsidP="00E855B6">
      <w:pPr>
        <w:pStyle w:val="Default"/>
        <w:ind w:firstLine="284"/>
        <w:jc w:val="both"/>
        <w:rPr>
          <w:rFonts w:ascii="Times New Roman" w:hAnsi="Times New Roman" w:cs="Times New Roman"/>
          <w:sz w:val="20"/>
          <w:szCs w:val="20"/>
          <w:lang w:val="en-US"/>
        </w:rPr>
      </w:pPr>
    </w:p>
    <w:p w:rsidR="00E855B6" w:rsidRPr="00FA5914" w:rsidRDefault="00E855B6" w:rsidP="00E855B6">
      <w:pPr>
        <w:pStyle w:val="Default"/>
        <w:numPr>
          <w:ilvl w:val="1"/>
          <w:numId w:val="25"/>
        </w:numPr>
        <w:jc w:val="both"/>
        <w:rPr>
          <w:rFonts w:ascii="Times New Roman" w:hAnsi="Times New Roman" w:cs="Times New Roman"/>
          <w:sz w:val="20"/>
          <w:szCs w:val="20"/>
          <w:lang w:val="en-US"/>
        </w:rPr>
      </w:pPr>
      <w:r>
        <w:rPr>
          <w:rFonts w:ascii="Times New Roman" w:hAnsi="Times New Roman" w:cs="Times New Roman"/>
          <w:i/>
          <w:sz w:val="20"/>
          <w:szCs w:val="20"/>
          <w:lang w:val="en-US"/>
        </w:rPr>
        <w:t>Visualization</w:t>
      </w:r>
    </w:p>
    <w:p w:rsidR="00E855B6" w:rsidRDefault="00E855B6" w:rsidP="00E855B6">
      <w:pPr>
        <w:pStyle w:val="Default"/>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Prior to normalization of F1, we visualize the separation of classes in the following scatter plots with respect to F2 (see Fig. 1).</w:t>
      </w:r>
    </w:p>
    <w:p w:rsidR="00E855B6" w:rsidRDefault="00025B84" w:rsidP="00E855B6">
      <w:pPr>
        <w:pStyle w:val="Default"/>
        <w:ind w:firstLine="284"/>
        <w:jc w:val="center"/>
        <w:rPr>
          <w:rFonts w:ascii="Times New Roman" w:hAnsi="Times New Roman" w:cs="Times New Roman"/>
          <w:noProof/>
          <w:sz w:val="20"/>
          <w:szCs w:val="20"/>
        </w:rPr>
      </w:pPr>
      <w:r>
        <w:rPr>
          <w:rFonts w:ascii="Times New Roman" w:hAnsi="Times New Roman" w:cs="Times New Roman"/>
          <w:noProof/>
          <w:sz w:val="20"/>
          <w:szCs w:val="20"/>
        </w:rPr>
        <w:lastRenderedPageBreak/>
        <w:drawing>
          <wp:inline distT="0" distB="0" distL="0" distR="0">
            <wp:extent cx="2606675" cy="2005965"/>
            <wp:effectExtent l="19050" t="0" r="3175" b="0"/>
            <wp:docPr id="9" name="Picture 1" descr="F1v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vsF2.png"/>
                    <pic:cNvPicPr>
                      <a:picLocks noChangeAspect="1" noChangeArrowheads="1"/>
                    </pic:cNvPicPr>
                  </pic:nvPicPr>
                  <pic:blipFill>
                    <a:blip r:embed="rId9" cstate="print"/>
                    <a:srcRect l="4726" t="900"/>
                    <a:stretch>
                      <a:fillRect/>
                    </a:stretch>
                  </pic:blipFill>
                  <pic:spPr bwMode="auto">
                    <a:xfrm>
                      <a:off x="0" y="0"/>
                      <a:ext cx="2606675" cy="2005965"/>
                    </a:xfrm>
                    <a:prstGeom prst="rect">
                      <a:avLst/>
                    </a:prstGeom>
                    <a:noFill/>
                    <a:ln w="9525">
                      <a:noFill/>
                      <a:miter lim="800000"/>
                      <a:headEnd/>
                      <a:tailEnd/>
                    </a:ln>
                  </pic:spPr>
                </pic:pic>
              </a:graphicData>
            </a:graphic>
          </wp:inline>
        </w:drawing>
      </w:r>
    </w:p>
    <w:p w:rsidR="00E855B6" w:rsidRDefault="00E855B6" w:rsidP="00E855B6">
      <w:pPr>
        <w:pStyle w:val="normal0"/>
        <w:numPr>
          <w:ilvl w:val="0"/>
          <w:numId w:val="26"/>
        </w:numPr>
        <w:pBdr>
          <w:top w:val="nil"/>
          <w:left w:val="nil"/>
          <w:bottom w:val="nil"/>
          <w:right w:val="nil"/>
          <w:between w:val="nil"/>
        </w:pBdr>
        <w:tabs>
          <w:tab w:val="left" w:pos="533"/>
        </w:tabs>
        <w:spacing w:before="80" w:after="200"/>
      </w:pPr>
      <w:r>
        <w:rPr>
          <w:color w:val="000000"/>
          <w:sz w:val="16"/>
          <w:szCs w:val="16"/>
        </w:rPr>
        <w:t>F1 vs. F2 distribution plot by tasks</w:t>
      </w:r>
    </w:p>
    <w:p w:rsidR="00E855B6" w:rsidRDefault="00E855B6" w:rsidP="00E855B6">
      <w:pPr>
        <w:pStyle w:val="Default"/>
        <w:jc w:val="both"/>
        <w:rPr>
          <w:rFonts w:ascii="Times New Roman" w:hAnsi="Times New Roman" w:cs="Times New Roman"/>
          <w:sz w:val="20"/>
          <w:szCs w:val="20"/>
          <w:lang w:val="en-US"/>
        </w:rPr>
      </w:pPr>
      <w:r>
        <w:rPr>
          <w:rFonts w:ascii="Times New Roman" w:hAnsi="Times New Roman" w:cs="Times New Roman"/>
          <w:sz w:val="20"/>
          <w:szCs w:val="20"/>
          <w:lang w:val="en-US"/>
        </w:rPr>
        <w:t>We see that the classes are not well separated in the F1 vs. F2 distribution plot.</w:t>
      </w:r>
    </w:p>
    <w:p w:rsidR="00E855B6" w:rsidRDefault="00E855B6" w:rsidP="00E855B6">
      <w:pPr>
        <w:pStyle w:val="Default"/>
        <w:ind w:firstLine="360"/>
        <w:jc w:val="both"/>
      </w:pPr>
      <w:r>
        <w:rPr>
          <w:rFonts w:ascii="Times New Roman" w:hAnsi="Times New Roman" w:cs="Times New Roman"/>
          <w:sz w:val="20"/>
          <w:szCs w:val="20"/>
          <w:lang w:val="en-US"/>
        </w:rPr>
        <w:t>After normalization of F1 to Z1, we visualize the separation of classes in the following scatter plot with respect to F2 (see Fig. 2).</w:t>
      </w:r>
      <w:r w:rsidRPr="00E855B6">
        <w:t xml:space="preserve"> </w:t>
      </w:r>
    </w:p>
    <w:p w:rsidR="00383B6B" w:rsidRDefault="00383B6B" w:rsidP="00E855B6">
      <w:pPr>
        <w:pStyle w:val="Default"/>
        <w:ind w:firstLine="360"/>
        <w:jc w:val="both"/>
        <w:rPr>
          <w:rFonts w:ascii="Times New Roman" w:hAnsi="Times New Roman" w:cs="Times New Roman"/>
          <w:sz w:val="20"/>
          <w:szCs w:val="20"/>
          <w:lang w:val="en-US"/>
        </w:rPr>
      </w:pPr>
    </w:p>
    <w:p w:rsidR="00E855B6" w:rsidRDefault="00025B84" w:rsidP="00E855B6">
      <w:pPr>
        <w:pStyle w:val="Default"/>
        <w:ind w:firstLine="360"/>
        <w:jc w:val="center"/>
        <w:rPr>
          <w:rFonts w:ascii="Times New Roman" w:hAnsi="Times New Roman" w:cs="Times New Roman"/>
          <w:sz w:val="20"/>
          <w:szCs w:val="20"/>
          <w:lang w:val="en-US"/>
        </w:rPr>
      </w:pPr>
      <w:r>
        <w:rPr>
          <w:rFonts w:ascii="Times New Roman" w:hAnsi="Times New Roman" w:cs="Times New Roman"/>
          <w:noProof/>
          <w:sz w:val="20"/>
          <w:szCs w:val="20"/>
        </w:rPr>
        <w:drawing>
          <wp:inline distT="0" distB="0" distL="0" distR="0">
            <wp:extent cx="2914015" cy="2136140"/>
            <wp:effectExtent l="19050" t="0" r="635" b="0"/>
            <wp:docPr id="10" name="Picture 3" descr="Z1v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1vsF2.png"/>
                    <pic:cNvPicPr>
                      <a:picLocks noChangeAspect="1" noChangeArrowheads="1"/>
                    </pic:cNvPicPr>
                  </pic:nvPicPr>
                  <pic:blipFill>
                    <a:blip r:embed="rId10" cstate="print"/>
                    <a:srcRect/>
                    <a:stretch>
                      <a:fillRect/>
                    </a:stretch>
                  </pic:blipFill>
                  <pic:spPr bwMode="auto">
                    <a:xfrm>
                      <a:off x="0" y="0"/>
                      <a:ext cx="2914015" cy="2136140"/>
                    </a:xfrm>
                    <a:prstGeom prst="rect">
                      <a:avLst/>
                    </a:prstGeom>
                    <a:noFill/>
                    <a:ln w="9525">
                      <a:noFill/>
                      <a:miter lim="800000"/>
                      <a:headEnd/>
                      <a:tailEnd/>
                    </a:ln>
                  </pic:spPr>
                </pic:pic>
              </a:graphicData>
            </a:graphic>
          </wp:inline>
        </w:drawing>
      </w:r>
    </w:p>
    <w:p w:rsidR="00E855B6" w:rsidRDefault="00E855B6" w:rsidP="00E855B6">
      <w:pPr>
        <w:pStyle w:val="normal0"/>
        <w:numPr>
          <w:ilvl w:val="0"/>
          <w:numId w:val="26"/>
        </w:numPr>
        <w:pBdr>
          <w:top w:val="nil"/>
          <w:left w:val="nil"/>
          <w:bottom w:val="nil"/>
          <w:right w:val="nil"/>
          <w:between w:val="nil"/>
        </w:pBdr>
        <w:tabs>
          <w:tab w:val="left" w:pos="533"/>
        </w:tabs>
        <w:spacing w:before="80" w:after="200"/>
      </w:pPr>
      <w:r>
        <w:rPr>
          <w:color w:val="000000"/>
          <w:sz w:val="16"/>
          <w:szCs w:val="16"/>
        </w:rPr>
        <w:t>Z1 vs. F2 distribution plot by tasks</w:t>
      </w:r>
    </w:p>
    <w:p w:rsidR="00E855B6" w:rsidRPr="00337A2D" w:rsidRDefault="00E855B6" w:rsidP="00337A2D">
      <w:pPr>
        <w:pStyle w:val="Default"/>
        <w:jc w:val="both"/>
        <w:rPr>
          <w:rFonts w:ascii="Times New Roman" w:hAnsi="Times New Roman" w:cs="Times New Roman"/>
          <w:sz w:val="20"/>
          <w:szCs w:val="20"/>
          <w:lang w:val="en-US"/>
        </w:rPr>
      </w:pPr>
      <w:r>
        <w:rPr>
          <w:rFonts w:ascii="Times New Roman" w:hAnsi="Times New Roman" w:cs="Times New Roman"/>
          <w:sz w:val="20"/>
          <w:szCs w:val="20"/>
          <w:lang w:val="en-US"/>
        </w:rPr>
        <w:t>We see that classes are well separated in the Z1 vs. F2 distribution plot. This suggests that normalization of F1 has increased the separation between classes which could lead to better prediction accuracy.</w:t>
      </w:r>
    </w:p>
    <w:p w:rsidR="00E855B6" w:rsidRDefault="00E855B6" w:rsidP="00E855B6">
      <w:pPr>
        <w:pStyle w:val="Heading2"/>
        <w:numPr>
          <w:ilvl w:val="1"/>
          <w:numId w:val="25"/>
        </w:numPr>
      </w:pPr>
      <w:r>
        <w:t>Training</w:t>
      </w:r>
    </w:p>
    <w:p w:rsidR="00E855B6" w:rsidRPr="006A6762"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Pr>
          <w:color w:val="000000"/>
        </w:rPr>
        <w:t>The first 100 participant data was used to train the model on F1, F2, and Z1 measurements. For each measurement, the model was trained by computing means and variances using this data.</w:t>
      </w:r>
    </w:p>
    <w:p w:rsidR="00E855B6" w:rsidRDefault="00E855B6" w:rsidP="00E855B6">
      <w:pPr>
        <w:pStyle w:val="Heading2"/>
        <w:numPr>
          <w:ilvl w:val="1"/>
          <w:numId w:val="25"/>
        </w:numPr>
      </w:pPr>
      <w:r>
        <w:lastRenderedPageBreak/>
        <w:t>Testing</w:t>
      </w: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To test out the accuracy of the model, we use </w:t>
      </w:r>
      <w:proofErr w:type="spellStart"/>
      <w:r>
        <w:rPr>
          <w:color w:val="000000"/>
        </w:rPr>
        <w:t>Bayes</w:t>
      </w:r>
      <w:proofErr w:type="spellEnd"/>
      <w:r>
        <w:rPr>
          <w:color w:val="000000"/>
        </w:rPr>
        <w:t>’ theorem. The formulation is as follows:</w:t>
      </w: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Pr>
          <w:color w:val="000000"/>
        </w:rPr>
        <w:t xml:space="preserve">              </w:t>
      </w:r>
      <w:proofErr w:type="gramStart"/>
      <w:r>
        <w:rPr>
          <w:color w:val="000000"/>
        </w:rPr>
        <w:t>P(</w:t>
      </w:r>
      <w:proofErr w:type="spellStart"/>
      <w:proofErr w:type="gramEnd"/>
      <w:r>
        <w:rPr>
          <w:color w:val="000000"/>
        </w:rPr>
        <w:t>C</w:t>
      </w:r>
      <w:r w:rsidRPr="001A1471">
        <w:rPr>
          <w:color w:val="000000"/>
          <w:vertAlign w:val="subscript"/>
        </w:rPr>
        <w:t>i</w:t>
      </w:r>
      <w:r>
        <w:rPr>
          <w:color w:val="000000"/>
        </w:rPr>
        <w:t>|X</w:t>
      </w:r>
      <w:proofErr w:type="spellEnd"/>
      <w:r>
        <w:rPr>
          <w:color w:val="000000"/>
        </w:rPr>
        <w:t>) = P(</w:t>
      </w:r>
      <w:proofErr w:type="spellStart"/>
      <w:r>
        <w:rPr>
          <w:color w:val="000000"/>
        </w:rPr>
        <w:t>C</w:t>
      </w:r>
      <w:r w:rsidRPr="001A1471">
        <w:rPr>
          <w:color w:val="000000"/>
          <w:vertAlign w:val="subscript"/>
        </w:rPr>
        <w:t>i</w:t>
      </w:r>
      <w:proofErr w:type="spellEnd"/>
      <w:r>
        <w:rPr>
          <w:color w:val="000000"/>
        </w:rPr>
        <w:t>)*P(</w:t>
      </w:r>
      <w:proofErr w:type="spellStart"/>
      <w:r>
        <w:rPr>
          <w:color w:val="000000"/>
        </w:rPr>
        <w:t>X|C</w:t>
      </w:r>
      <w:r w:rsidRPr="001A1471">
        <w:rPr>
          <w:color w:val="000000"/>
          <w:vertAlign w:val="subscript"/>
        </w:rPr>
        <w:t>i</w:t>
      </w:r>
      <w:proofErr w:type="spellEnd"/>
      <w:r>
        <w:rPr>
          <w:color w:val="000000"/>
        </w:rPr>
        <w:t>)/P(X)         (2)</w:t>
      </w: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proofErr w:type="gramStart"/>
      <w:r>
        <w:rPr>
          <w:color w:val="000000"/>
        </w:rPr>
        <w:t>where</w:t>
      </w:r>
      <w:proofErr w:type="gramEnd"/>
      <w:r>
        <w:rPr>
          <w:color w:val="000000"/>
        </w:rPr>
        <w:t xml:space="preserve"> </w:t>
      </w:r>
      <w:proofErr w:type="spellStart"/>
      <w:r>
        <w:rPr>
          <w:color w:val="000000"/>
        </w:rPr>
        <w:t>C</w:t>
      </w:r>
      <w:r w:rsidRPr="001A1471">
        <w:rPr>
          <w:color w:val="000000"/>
          <w:vertAlign w:val="subscript"/>
        </w:rPr>
        <w:t>i</w:t>
      </w:r>
      <w:proofErr w:type="spellEnd"/>
      <w:r>
        <w:rPr>
          <w:color w:val="000000"/>
        </w:rPr>
        <w:t>-Class (</w:t>
      </w:r>
      <w:proofErr w:type="spellStart"/>
      <w:r>
        <w:rPr>
          <w:color w:val="000000"/>
        </w:rPr>
        <w:t>i</w:t>
      </w:r>
      <w:proofErr w:type="spellEnd"/>
      <w:r>
        <w:rPr>
          <w:color w:val="000000"/>
        </w:rPr>
        <w:t>=1,2,3,4,5), X- Measurement</w:t>
      </w: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proofErr w:type="gramStart"/>
      <w:r>
        <w:rPr>
          <w:color w:val="000000"/>
        </w:rPr>
        <w:t>P(</w:t>
      </w:r>
      <w:proofErr w:type="spellStart"/>
      <w:proofErr w:type="gramEnd"/>
      <w:r>
        <w:rPr>
          <w:color w:val="000000"/>
        </w:rPr>
        <w:t>C</w:t>
      </w:r>
      <w:r w:rsidRPr="00F64BD5">
        <w:rPr>
          <w:color w:val="000000"/>
          <w:vertAlign w:val="subscript"/>
        </w:rPr>
        <w:t>i</w:t>
      </w:r>
      <w:proofErr w:type="spellEnd"/>
      <w:r>
        <w:rPr>
          <w:color w:val="000000"/>
        </w:rPr>
        <w:t xml:space="preserve">) is called </w:t>
      </w:r>
      <w:r w:rsidRPr="00F64BD5">
        <w:rPr>
          <w:i/>
          <w:color w:val="000000"/>
        </w:rPr>
        <w:t>a priori</w:t>
      </w:r>
      <w:r>
        <w:rPr>
          <w:color w:val="000000"/>
        </w:rPr>
        <w:t xml:space="preserve"> probability. This probability is same for all classes. The denominator P(X) is common for all </w:t>
      </w:r>
      <w:proofErr w:type="gramStart"/>
      <w:r>
        <w:rPr>
          <w:color w:val="000000"/>
        </w:rPr>
        <w:t>P(</w:t>
      </w:r>
      <w:proofErr w:type="spellStart"/>
      <w:proofErr w:type="gramEnd"/>
      <w:r>
        <w:rPr>
          <w:color w:val="000000"/>
        </w:rPr>
        <w:t>C</w:t>
      </w:r>
      <w:r w:rsidRPr="00F64BD5">
        <w:rPr>
          <w:color w:val="000000"/>
          <w:vertAlign w:val="subscript"/>
        </w:rPr>
        <w:t>i</w:t>
      </w:r>
      <w:r>
        <w:rPr>
          <w:color w:val="000000"/>
        </w:rPr>
        <w:t>|X</w:t>
      </w:r>
      <w:proofErr w:type="spellEnd"/>
      <w:r>
        <w:rPr>
          <w:color w:val="000000"/>
        </w:rPr>
        <w:t>). Hence, we can simplify the formulation (2) to the following proportionality:</w:t>
      </w: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iCs/>
          <w:spacing w:val="-1"/>
          <w:sz w:val="22"/>
          <w:szCs w:val="22"/>
        </w:rPr>
      </w:pPr>
      <w:r>
        <w:rPr>
          <w:color w:val="000000"/>
        </w:rPr>
        <w:t xml:space="preserve">               </w:t>
      </w:r>
      <w:proofErr w:type="gramStart"/>
      <w:r>
        <w:rPr>
          <w:color w:val="000000"/>
        </w:rPr>
        <w:t>P(</w:t>
      </w:r>
      <w:proofErr w:type="spellStart"/>
      <w:proofErr w:type="gramEnd"/>
      <w:r>
        <w:rPr>
          <w:color w:val="000000"/>
        </w:rPr>
        <w:t>C</w:t>
      </w:r>
      <w:r w:rsidRPr="00F64BD5">
        <w:rPr>
          <w:color w:val="000000"/>
          <w:vertAlign w:val="subscript"/>
        </w:rPr>
        <w:t>i</w:t>
      </w:r>
      <w:r>
        <w:rPr>
          <w:color w:val="000000"/>
        </w:rPr>
        <w:t>|X</w:t>
      </w:r>
      <w:proofErr w:type="spellEnd"/>
      <w:r>
        <w:rPr>
          <w:color w:val="000000"/>
        </w:rPr>
        <w:t>)</w:t>
      </w:r>
      <w:r w:rsidRPr="00F64BD5">
        <w:rPr>
          <w:i/>
          <w:iCs/>
          <w:spacing w:val="-1"/>
          <w:sz w:val="22"/>
          <w:szCs w:val="22"/>
          <w:lang w:val="el-GR"/>
        </w:rPr>
        <w:t xml:space="preserve"> </w:t>
      </w:r>
      <w:r>
        <w:rPr>
          <w:i/>
          <w:iCs/>
          <w:spacing w:val="-1"/>
          <w:sz w:val="22"/>
          <w:szCs w:val="22"/>
          <w:lang w:val="el-GR"/>
        </w:rPr>
        <w:t>α</w:t>
      </w:r>
      <w:r>
        <w:rPr>
          <w:i/>
          <w:iCs/>
          <w:spacing w:val="-1"/>
          <w:sz w:val="22"/>
          <w:szCs w:val="22"/>
        </w:rPr>
        <w:t xml:space="preserve"> </w:t>
      </w:r>
      <w:r>
        <w:rPr>
          <w:iCs/>
          <w:spacing w:val="-1"/>
          <w:sz w:val="22"/>
          <w:szCs w:val="22"/>
        </w:rPr>
        <w:t>P(</w:t>
      </w:r>
      <w:proofErr w:type="spellStart"/>
      <w:r>
        <w:rPr>
          <w:iCs/>
          <w:spacing w:val="-1"/>
          <w:sz w:val="22"/>
          <w:szCs w:val="22"/>
        </w:rPr>
        <w:t>X|C</w:t>
      </w:r>
      <w:r w:rsidRPr="00F64BD5">
        <w:rPr>
          <w:iCs/>
          <w:spacing w:val="-1"/>
          <w:sz w:val="22"/>
          <w:szCs w:val="22"/>
          <w:vertAlign w:val="subscript"/>
        </w:rPr>
        <w:t>i</w:t>
      </w:r>
      <w:proofErr w:type="spellEnd"/>
      <w:r>
        <w:rPr>
          <w:iCs/>
          <w:spacing w:val="-1"/>
          <w:sz w:val="22"/>
          <w:szCs w:val="22"/>
        </w:rPr>
        <w:t>)             (3)</w:t>
      </w:r>
    </w:p>
    <w:p w:rsidR="00E855B6" w:rsidRPr="00F64BD5"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sidRPr="00320503">
        <w:rPr>
          <w:color w:val="000000"/>
        </w:rPr>
        <w:t xml:space="preserve">For </w:t>
      </w:r>
      <w:r>
        <w:rPr>
          <w:color w:val="000000"/>
        </w:rPr>
        <w:t>a given measurement,</w:t>
      </w:r>
      <w:r w:rsidRPr="00320503">
        <w:rPr>
          <w:color w:val="000000"/>
        </w:rPr>
        <w:t xml:space="preserve"> </w:t>
      </w:r>
      <w:r>
        <w:rPr>
          <w:color w:val="000000"/>
        </w:rPr>
        <w:t xml:space="preserve">we simply calculate the normal probabilities of each data point with means and standard deviations of all the five tasks and assign the task with highest probability as the prediction for that data point. This is performed on three </w:t>
      </w:r>
      <w:proofErr w:type="spellStart"/>
      <w:r>
        <w:rPr>
          <w:color w:val="000000"/>
        </w:rPr>
        <w:t>univariate</w:t>
      </w:r>
      <w:proofErr w:type="spellEnd"/>
      <w:r>
        <w:rPr>
          <w:color w:val="000000"/>
        </w:rPr>
        <w:t xml:space="preserve"> measurements F1, F2 and Z1, and on one multivariate measurement [Z1 F2]. For the multivariate case, we assume independence between the measurements. This means we calculate the probability for each task of a participant in both measurements (Z1 and F2) and multiply the two probabilities. The task with the highest probability thus achieved is assigned as the prediction of that data point.</w:t>
      </w:r>
    </w:p>
    <w:p w:rsidR="00E855B6" w:rsidRDefault="00E855B6" w:rsidP="00E855B6">
      <w:pPr>
        <w:pStyle w:val="Heading2"/>
        <w:numPr>
          <w:ilvl w:val="1"/>
          <w:numId w:val="25"/>
        </w:numPr>
      </w:pPr>
      <w:r>
        <w:t>Classification Performance Metrics</w:t>
      </w:r>
    </w:p>
    <w:p w:rsidR="00E855B6" w:rsidRDefault="00E855B6" w:rsidP="00E855B6">
      <w:pPr>
        <w:pStyle w:val="normal0"/>
        <w:pBdr>
          <w:top w:val="nil"/>
          <w:left w:val="nil"/>
          <w:bottom w:val="nil"/>
          <w:right w:val="nil"/>
          <w:between w:val="nil"/>
        </w:pBdr>
        <w:tabs>
          <w:tab w:val="left" w:pos="288"/>
        </w:tabs>
        <w:spacing w:after="120" w:line="228" w:lineRule="auto"/>
        <w:jc w:val="both"/>
      </w:pPr>
      <w:r>
        <w:tab/>
        <w:t>As a metric to study the performance of each measurement in classifying the tasks of participants, we look at accuracy and error rate which are defined as follows:</w:t>
      </w:r>
    </w:p>
    <w:p w:rsidR="00E855B6" w:rsidRDefault="00E855B6" w:rsidP="00E855B6">
      <w:pPr>
        <w:pStyle w:val="normal0"/>
        <w:pBdr>
          <w:top w:val="nil"/>
          <w:left w:val="nil"/>
          <w:bottom w:val="nil"/>
          <w:right w:val="nil"/>
          <w:between w:val="nil"/>
        </w:pBdr>
        <w:tabs>
          <w:tab w:val="left" w:pos="288"/>
        </w:tabs>
        <w:spacing w:after="120" w:line="228" w:lineRule="auto"/>
        <w:jc w:val="left"/>
      </w:pPr>
      <w:r>
        <w:t>Accuracy=Correct predictions/Total predictions               (4)</w:t>
      </w:r>
    </w:p>
    <w:p w:rsidR="00E855B6" w:rsidRDefault="00E855B6" w:rsidP="00E855B6">
      <w:pPr>
        <w:pStyle w:val="normal0"/>
        <w:pBdr>
          <w:top w:val="nil"/>
          <w:left w:val="nil"/>
          <w:bottom w:val="nil"/>
          <w:right w:val="nil"/>
          <w:between w:val="nil"/>
        </w:pBdr>
        <w:tabs>
          <w:tab w:val="left" w:pos="288"/>
        </w:tabs>
        <w:spacing w:after="120" w:line="228" w:lineRule="auto"/>
        <w:jc w:val="left"/>
      </w:pPr>
      <w:r>
        <w:t>Error rate=Incorrect predictions/Total predictions             (5)</w:t>
      </w:r>
    </w:p>
    <w:p w:rsidR="00E855B6" w:rsidRDefault="00E855B6" w:rsidP="00E855B6">
      <w:pPr>
        <w:pStyle w:val="normal0"/>
        <w:numPr>
          <w:ilvl w:val="0"/>
          <w:numId w:val="25"/>
        </w:numPr>
        <w:pBdr>
          <w:top w:val="nil"/>
          <w:left w:val="nil"/>
          <w:bottom w:val="nil"/>
          <w:right w:val="nil"/>
          <w:between w:val="nil"/>
        </w:pBdr>
        <w:tabs>
          <w:tab w:val="left" w:pos="288"/>
        </w:tabs>
        <w:spacing w:after="120" w:line="228" w:lineRule="auto"/>
      </w:pPr>
      <w:r>
        <w:t>RESULTS</w:t>
      </w:r>
    </w:p>
    <w:p w:rsidR="0038357E" w:rsidRPr="00597115" w:rsidRDefault="00E855B6" w:rsidP="00E855B6">
      <w:pPr>
        <w:pStyle w:val="normal0"/>
        <w:pBdr>
          <w:top w:val="nil"/>
          <w:left w:val="nil"/>
          <w:bottom w:val="nil"/>
          <w:right w:val="nil"/>
          <w:between w:val="nil"/>
        </w:pBdr>
        <w:tabs>
          <w:tab w:val="left" w:pos="288"/>
        </w:tabs>
        <w:spacing w:after="120" w:line="228" w:lineRule="auto"/>
        <w:jc w:val="both"/>
      </w:pPr>
      <w:r>
        <w:t>After testing out the four different cases listed above, we calculate the accuracy and error rates of each case using formulae (4) and (5). Table 1 summarizes the results of different measurements. The results reveal that models F1 and F2 performed poorly on task classification as they suffer from scaling issues. After normalization of F1, we see that Z1 alone has produced a high classification accuracy rate of 88.31%. This further corroborates the assumption that the original data was inconsistent across participants. Finally, we observe that the multivariate case has performed the best among all suggesting that F2 is also a significant predictor that provides additional information in successful classification of tasks.</w:t>
      </w:r>
    </w:p>
    <w:p w:rsidR="00E855B6" w:rsidRPr="002703DB" w:rsidRDefault="00E855B6" w:rsidP="00E855B6">
      <w:pPr>
        <w:pStyle w:val="normal0"/>
        <w:numPr>
          <w:ilvl w:val="0"/>
          <w:numId w:val="27"/>
        </w:numPr>
        <w:pBdr>
          <w:top w:val="nil"/>
          <w:left w:val="nil"/>
          <w:bottom w:val="nil"/>
          <w:right w:val="nil"/>
          <w:between w:val="nil"/>
        </w:pBdr>
        <w:spacing w:before="240" w:after="120" w:line="216" w:lineRule="auto"/>
      </w:pPr>
      <w:r>
        <w:rPr>
          <w:smallCaps/>
          <w:color w:val="000000"/>
          <w:sz w:val="16"/>
          <w:szCs w:val="16"/>
        </w:rPr>
        <w:t>CLASSIFICATION ACCURACY AND ERROR RATES OF DIFFERENT MEASUREMENTS</w:t>
      </w:r>
    </w:p>
    <w:tbl>
      <w:tblPr>
        <w:tblW w:w="0" w:type="auto"/>
        <w:jc w:val="center"/>
        <w:tblLayout w:type="fixed"/>
        <w:tblCellMar>
          <w:left w:w="0" w:type="dxa"/>
          <w:right w:w="0" w:type="dxa"/>
        </w:tblCellMar>
        <w:tblLook w:val="0000"/>
      </w:tblPr>
      <w:tblGrid>
        <w:gridCol w:w="987"/>
        <w:gridCol w:w="1260"/>
        <w:gridCol w:w="1170"/>
      </w:tblGrid>
      <w:tr w:rsidR="00E855B6" w:rsidTr="00F227DC">
        <w:tblPrEx>
          <w:tblCellMar>
            <w:top w:w="0" w:type="dxa"/>
            <w:left w:w="0" w:type="dxa"/>
            <w:bottom w:w="0" w:type="dxa"/>
            <w:right w:w="0" w:type="dxa"/>
          </w:tblCellMar>
        </w:tblPrEx>
        <w:trPr>
          <w:trHeight w:val="240"/>
          <w:jc w:val="center"/>
        </w:trPr>
        <w:tc>
          <w:tcPr>
            <w:tcW w:w="987"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rPr>
                <w:rFonts w:ascii="Calibri" w:hAnsi="Calibri" w:cs="Calibri"/>
                <w:sz w:val="22"/>
                <w:szCs w:val="22"/>
                <w:lang/>
              </w:rPr>
            </w:pPr>
            <w:r>
              <w:rPr>
                <w:b/>
                <w:bCs/>
                <w:sz w:val="16"/>
                <w:szCs w:val="16"/>
                <w:lang/>
              </w:rPr>
              <w:t>Case</w:t>
            </w:r>
          </w:p>
        </w:tc>
        <w:tc>
          <w:tcPr>
            <w:tcW w:w="126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rPr>
                <w:rFonts w:ascii="Calibri" w:hAnsi="Calibri" w:cs="Calibri"/>
                <w:sz w:val="22"/>
                <w:szCs w:val="22"/>
                <w:lang/>
              </w:rPr>
            </w:pPr>
            <w:r>
              <w:rPr>
                <w:b/>
                <w:bCs/>
                <w:sz w:val="16"/>
                <w:szCs w:val="16"/>
                <w:lang/>
              </w:rPr>
              <w:t>Classification Accuracy (%)</w:t>
            </w:r>
          </w:p>
        </w:tc>
        <w:tc>
          <w:tcPr>
            <w:tcW w:w="117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rPr>
                <w:rFonts w:ascii="Calibri" w:hAnsi="Calibri" w:cs="Calibri"/>
                <w:sz w:val="22"/>
                <w:szCs w:val="22"/>
                <w:lang/>
              </w:rPr>
            </w:pPr>
            <w:r>
              <w:rPr>
                <w:b/>
                <w:bCs/>
                <w:sz w:val="16"/>
                <w:szCs w:val="16"/>
                <w:lang/>
              </w:rPr>
              <w:t>Classification Error (%)</w:t>
            </w:r>
          </w:p>
        </w:tc>
      </w:tr>
      <w:tr w:rsidR="00E855B6" w:rsidTr="00F227DC">
        <w:tblPrEx>
          <w:tblCellMar>
            <w:top w:w="0" w:type="dxa"/>
            <w:left w:w="0" w:type="dxa"/>
            <w:bottom w:w="0" w:type="dxa"/>
            <w:right w:w="0" w:type="dxa"/>
          </w:tblCellMar>
        </w:tblPrEx>
        <w:trPr>
          <w:trHeight w:val="320"/>
          <w:jc w:val="center"/>
        </w:trPr>
        <w:tc>
          <w:tcPr>
            <w:tcW w:w="987"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X = F1</w:t>
            </w:r>
          </w:p>
        </w:tc>
        <w:tc>
          <w:tcPr>
            <w:tcW w:w="126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53%</w:t>
            </w:r>
          </w:p>
        </w:tc>
        <w:tc>
          <w:tcPr>
            <w:tcW w:w="117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47%</w:t>
            </w:r>
          </w:p>
        </w:tc>
      </w:tr>
      <w:tr w:rsidR="00E855B6" w:rsidTr="00F227DC">
        <w:tblPrEx>
          <w:tblCellMar>
            <w:top w:w="0" w:type="dxa"/>
            <w:left w:w="0" w:type="dxa"/>
            <w:bottom w:w="0" w:type="dxa"/>
            <w:right w:w="0" w:type="dxa"/>
          </w:tblCellMar>
        </w:tblPrEx>
        <w:trPr>
          <w:trHeight w:val="320"/>
          <w:jc w:val="center"/>
        </w:trPr>
        <w:tc>
          <w:tcPr>
            <w:tcW w:w="987"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X = F2</w:t>
            </w:r>
          </w:p>
        </w:tc>
        <w:tc>
          <w:tcPr>
            <w:tcW w:w="126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55.09%</w:t>
            </w:r>
          </w:p>
        </w:tc>
        <w:tc>
          <w:tcPr>
            <w:tcW w:w="117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44.91%</w:t>
            </w:r>
          </w:p>
        </w:tc>
      </w:tr>
      <w:tr w:rsidR="00E855B6" w:rsidTr="00F227DC">
        <w:tblPrEx>
          <w:tblCellMar>
            <w:top w:w="0" w:type="dxa"/>
            <w:left w:w="0" w:type="dxa"/>
            <w:bottom w:w="0" w:type="dxa"/>
            <w:right w:w="0" w:type="dxa"/>
          </w:tblCellMar>
        </w:tblPrEx>
        <w:trPr>
          <w:trHeight w:val="320"/>
          <w:jc w:val="center"/>
        </w:trPr>
        <w:tc>
          <w:tcPr>
            <w:tcW w:w="987"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X = Z1</w:t>
            </w:r>
          </w:p>
        </w:tc>
        <w:tc>
          <w:tcPr>
            <w:tcW w:w="126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88.31%</w:t>
            </w:r>
          </w:p>
        </w:tc>
        <w:tc>
          <w:tcPr>
            <w:tcW w:w="117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11.69%</w:t>
            </w:r>
          </w:p>
        </w:tc>
      </w:tr>
      <w:tr w:rsidR="00E855B6" w:rsidTr="00F227DC">
        <w:tblPrEx>
          <w:tblCellMar>
            <w:top w:w="0" w:type="dxa"/>
            <w:left w:w="0" w:type="dxa"/>
            <w:bottom w:w="0" w:type="dxa"/>
            <w:right w:w="0" w:type="dxa"/>
          </w:tblCellMar>
        </w:tblPrEx>
        <w:trPr>
          <w:trHeight w:val="320"/>
          <w:jc w:val="center"/>
        </w:trPr>
        <w:tc>
          <w:tcPr>
            <w:tcW w:w="987"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X = [Z1 F2]</w:t>
            </w:r>
          </w:p>
        </w:tc>
        <w:tc>
          <w:tcPr>
            <w:tcW w:w="126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97.98%</w:t>
            </w:r>
          </w:p>
        </w:tc>
        <w:tc>
          <w:tcPr>
            <w:tcW w:w="1170" w:type="dxa"/>
            <w:tcBorders>
              <w:top w:val="single" w:sz="2" w:space="0" w:color="000000"/>
              <w:left w:val="single" w:sz="4" w:space="0" w:color="auto"/>
              <w:bottom w:val="single" w:sz="2" w:space="0" w:color="000000"/>
              <w:right w:val="single" w:sz="4" w:space="0" w:color="auto"/>
            </w:tcBorders>
            <w:shd w:val="clear" w:color="000000" w:fill="FFFFFF"/>
            <w:vAlign w:val="center"/>
          </w:tcPr>
          <w:p w:rsidR="00E855B6" w:rsidRDefault="00E855B6" w:rsidP="00F227DC">
            <w:pPr>
              <w:autoSpaceDE w:val="0"/>
              <w:autoSpaceDN w:val="0"/>
              <w:adjustRightInd w:val="0"/>
              <w:jc w:val="both"/>
              <w:rPr>
                <w:rFonts w:ascii="Calibri" w:hAnsi="Calibri" w:cs="Calibri"/>
                <w:sz w:val="22"/>
                <w:szCs w:val="22"/>
                <w:lang/>
              </w:rPr>
            </w:pPr>
            <w:r>
              <w:rPr>
                <w:sz w:val="16"/>
                <w:szCs w:val="16"/>
                <w:lang/>
              </w:rPr>
              <w:t xml:space="preserve">         2.02%</w:t>
            </w:r>
          </w:p>
        </w:tc>
      </w:tr>
    </w:tbl>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sz w:val="12"/>
          <w:szCs w:val="12"/>
        </w:rPr>
      </w:pPr>
    </w:p>
    <w:p w:rsidR="008C67A4" w:rsidRDefault="008C67A4" w:rsidP="00E855B6">
      <w:pPr>
        <w:pStyle w:val="normal0"/>
        <w:pBdr>
          <w:top w:val="nil"/>
          <w:left w:val="nil"/>
          <w:bottom w:val="nil"/>
          <w:right w:val="nil"/>
          <w:between w:val="nil"/>
        </w:pBdr>
        <w:tabs>
          <w:tab w:val="left" w:pos="288"/>
        </w:tabs>
        <w:spacing w:after="120" w:line="228" w:lineRule="auto"/>
        <w:ind w:firstLine="288"/>
        <w:jc w:val="both"/>
        <w:rPr>
          <w:color w:val="000000"/>
          <w:sz w:val="12"/>
          <w:szCs w:val="12"/>
        </w:rPr>
      </w:pPr>
    </w:p>
    <w:p w:rsidR="008C67A4" w:rsidRDefault="008C67A4" w:rsidP="00E855B6">
      <w:pPr>
        <w:pStyle w:val="normal0"/>
        <w:pBdr>
          <w:top w:val="nil"/>
          <w:left w:val="nil"/>
          <w:bottom w:val="nil"/>
          <w:right w:val="nil"/>
          <w:between w:val="nil"/>
        </w:pBdr>
        <w:tabs>
          <w:tab w:val="left" w:pos="288"/>
        </w:tabs>
        <w:spacing w:after="120" w:line="228" w:lineRule="auto"/>
        <w:ind w:firstLine="288"/>
        <w:jc w:val="both"/>
        <w:rPr>
          <w:color w:val="000000"/>
          <w:sz w:val="12"/>
          <w:szCs w:val="12"/>
        </w:rPr>
      </w:pPr>
    </w:p>
    <w:p w:rsidR="008C67A4" w:rsidRDefault="008C67A4" w:rsidP="00E855B6">
      <w:pPr>
        <w:pStyle w:val="normal0"/>
        <w:pBdr>
          <w:top w:val="nil"/>
          <w:left w:val="nil"/>
          <w:bottom w:val="nil"/>
          <w:right w:val="nil"/>
          <w:between w:val="nil"/>
        </w:pBdr>
        <w:tabs>
          <w:tab w:val="left" w:pos="288"/>
        </w:tabs>
        <w:spacing w:after="120" w:line="228" w:lineRule="auto"/>
        <w:ind w:firstLine="288"/>
        <w:jc w:val="both"/>
        <w:rPr>
          <w:color w:val="000000"/>
          <w:sz w:val="12"/>
          <w:szCs w:val="12"/>
        </w:rPr>
      </w:pPr>
    </w:p>
    <w:p w:rsidR="008C67A4" w:rsidRDefault="008C67A4" w:rsidP="00E855B6">
      <w:pPr>
        <w:pStyle w:val="normal0"/>
        <w:pBdr>
          <w:top w:val="nil"/>
          <w:left w:val="nil"/>
          <w:bottom w:val="nil"/>
          <w:right w:val="nil"/>
          <w:between w:val="nil"/>
        </w:pBdr>
        <w:tabs>
          <w:tab w:val="left" w:pos="288"/>
        </w:tabs>
        <w:spacing w:after="120" w:line="228" w:lineRule="auto"/>
        <w:ind w:firstLine="288"/>
        <w:jc w:val="both"/>
        <w:rPr>
          <w:color w:val="000000"/>
          <w:sz w:val="12"/>
          <w:szCs w:val="12"/>
        </w:rPr>
      </w:pPr>
    </w:p>
    <w:p w:rsidR="00E855B6" w:rsidRDefault="00E855B6" w:rsidP="00E855B6">
      <w:pPr>
        <w:pStyle w:val="Heading5"/>
        <w:numPr>
          <w:ilvl w:val="0"/>
          <w:numId w:val="25"/>
        </w:numPr>
      </w:pPr>
      <w:r>
        <w:lastRenderedPageBreak/>
        <w:t>CONCLUSION</w:t>
      </w:r>
    </w:p>
    <w:p w:rsidR="00E855B6" w:rsidRPr="00EB7272"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r>
        <w:rPr>
          <w:color w:val="000000"/>
        </w:rPr>
        <w:t>In</w:t>
      </w:r>
      <w:r w:rsidRPr="00EB7272">
        <w:rPr>
          <w:color w:val="000000"/>
        </w:rPr>
        <w:t xml:space="preserve"> this study, we call attention to the significance of </w:t>
      </w:r>
      <w:proofErr w:type="spellStart"/>
      <w:r w:rsidRPr="00EB7272">
        <w:rPr>
          <w:color w:val="000000"/>
        </w:rPr>
        <w:t>Bayes</w:t>
      </w:r>
      <w:proofErr w:type="spellEnd"/>
      <w:r w:rsidRPr="00EB7272">
        <w:rPr>
          <w:color w:val="000000"/>
        </w:rPr>
        <w:t xml:space="preserve"> inference in statistics. </w:t>
      </w:r>
      <w:r>
        <w:rPr>
          <w:color w:val="000000"/>
        </w:rPr>
        <w:t xml:space="preserve">The accuracy of the </w:t>
      </w:r>
      <w:proofErr w:type="spellStart"/>
      <w:r>
        <w:rPr>
          <w:color w:val="000000"/>
        </w:rPr>
        <w:t>Bayes</w:t>
      </w:r>
      <w:proofErr w:type="spellEnd"/>
      <w:r>
        <w:rPr>
          <w:color w:val="000000"/>
        </w:rPr>
        <w:t xml:space="preserve"> classifier is highly dependent on consistency of data and we see the significant impact of normalization in separation of tasks. This in turn led to high accuracy levels in classification of tasks. Finally, we conclude that both measurements play a significant role in predicting the tasks of participants.</w:t>
      </w:r>
    </w:p>
    <w:p w:rsidR="00E855B6" w:rsidRPr="00322419" w:rsidRDefault="00E855B6" w:rsidP="00E855B6">
      <w:pPr>
        <w:pStyle w:val="Heading5"/>
      </w:pPr>
      <w:r>
        <w:t>References</w:t>
      </w:r>
    </w:p>
    <w:p w:rsidR="00E855B6" w:rsidRDefault="00E855B6" w:rsidP="00E855B6">
      <w:pPr>
        <w:pStyle w:val="normal0"/>
        <w:pBdr>
          <w:top w:val="nil"/>
          <w:left w:val="nil"/>
          <w:bottom w:val="nil"/>
          <w:right w:val="nil"/>
          <w:between w:val="nil"/>
        </w:pBdr>
        <w:tabs>
          <w:tab w:val="left" w:pos="288"/>
        </w:tabs>
        <w:spacing w:after="120" w:line="228" w:lineRule="auto"/>
        <w:jc w:val="both"/>
      </w:pPr>
      <w:proofErr w:type="spellStart"/>
      <w:r>
        <w:rPr>
          <w:sz w:val="16"/>
          <w:szCs w:val="16"/>
          <w:lang/>
        </w:rPr>
        <w:t>Dimitri</w:t>
      </w:r>
      <w:proofErr w:type="spellEnd"/>
      <w:r>
        <w:rPr>
          <w:sz w:val="16"/>
          <w:szCs w:val="16"/>
          <w:lang/>
        </w:rPr>
        <w:t xml:space="preserve"> P. </w:t>
      </w:r>
      <w:proofErr w:type="spellStart"/>
      <w:r>
        <w:rPr>
          <w:sz w:val="16"/>
          <w:szCs w:val="16"/>
          <w:lang/>
        </w:rPr>
        <w:t>Bertsekas</w:t>
      </w:r>
      <w:proofErr w:type="spellEnd"/>
      <w:r>
        <w:rPr>
          <w:sz w:val="16"/>
          <w:szCs w:val="16"/>
          <w:lang/>
        </w:rPr>
        <w:t xml:space="preserve"> and John N. </w:t>
      </w:r>
      <w:proofErr w:type="spellStart"/>
      <w:r>
        <w:rPr>
          <w:sz w:val="16"/>
          <w:szCs w:val="16"/>
          <w:lang/>
        </w:rPr>
        <w:t>Tsitsiklis</w:t>
      </w:r>
      <w:proofErr w:type="spellEnd"/>
      <w:r>
        <w:rPr>
          <w:sz w:val="16"/>
          <w:szCs w:val="16"/>
          <w:lang/>
        </w:rPr>
        <w:t>, Massachusetts Institute of Technology</w:t>
      </w:r>
    </w:p>
    <w:p w:rsidR="00E855B6" w:rsidRDefault="00E855B6" w:rsidP="00E855B6">
      <w:pPr>
        <w:pStyle w:val="Default"/>
        <w:ind w:firstLine="360"/>
        <w:jc w:val="both"/>
        <w:rPr>
          <w:rFonts w:ascii="Times New Roman" w:hAnsi="Times New Roman" w:cs="Times New Roman"/>
          <w:sz w:val="20"/>
          <w:szCs w:val="20"/>
          <w:lang w:val="en-US"/>
        </w:rPr>
      </w:pPr>
    </w:p>
    <w:p w:rsidR="00E855B6" w:rsidRDefault="00E855B6" w:rsidP="00E855B6">
      <w:pPr>
        <w:pStyle w:val="Default"/>
        <w:ind w:firstLine="284"/>
        <w:jc w:val="both"/>
        <w:rPr>
          <w:rFonts w:ascii="Times New Roman" w:hAnsi="Times New Roman" w:cs="Times New Roman"/>
          <w:sz w:val="20"/>
          <w:szCs w:val="20"/>
          <w:lang w:val="en-US"/>
        </w:rPr>
      </w:pPr>
    </w:p>
    <w:p w:rsidR="00E855B6" w:rsidRDefault="00E855B6" w:rsidP="00E855B6">
      <w:pPr>
        <w:pStyle w:val="normal0"/>
        <w:pBdr>
          <w:top w:val="nil"/>
          <w:left w:val="nil"/>
          <w:bottom w:val="nil"/>
          <w:right w:val="nil"/>
          <w:between w:val="nil"/>
        </w:pBdr>
        <w:tabs>
          <w:tab w:val="left" w:pos="288"/>
        </w:tabs>
        <w:spacing w:after="120" w:line="228" w:lineRule="auto"/>
        <w:ind w:firstLine="288"/>
        <w:jc w:val="both"/>
        <w:rPr>
          <w:color w:val="000000"/>
        </w:rPr>
      </w:pPr>
    </w:p>
    <w:p w:rsidR="00E855B6" w:rsidRDefault="00E855B6" w:rsidP="00E855B6">
      <w:pPr>
        <w:pStyle w:val="normal0"/>
        <w:pBdr>
          <w:top w:val="nil"/>
          <w:left w:val="nil"/>
          <w:bottom w:val="nil"/>
          <w:right w:val="nil"/>
          <w:between w:val="nil"/>
        </w:pBdr>
        <w:spacing w:after="200"/>
        <w:jc w:val="both"/>
        <w:rPr>
          <w:b/>
          <w:i/>
          <w:color w:val="000000"/>
          <w:sz w:val="18"/>
          <w:szCs w:val="18"/>
        </w:rPr>
      </w:pPr>
    </w:p>
    <w:p w:rsidR="009303D9" w:rsidRDefault="009303D9" w:rsidP="00E855B6">
      <w:pPr>
        <w:pStyle w:val="Abstract"/>
      </w:pPr>
    </w:p>
    <w:sectPr w:rsidR="009303D9" w:rsidSect="00E855B6">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A87" w:rsidRDefault="00200A87" w:rsidP="001A3B3D">
      <w:r>
        <w:separator/>
      </w:r>
    </w:p>
  </w:endnote>
  <w:endnote w:type="continuationSeparator" w:id="0">
    <w:p w:rsidR="00200A87" w:rsidRDefault="00200A87"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A87" w:rsidRDefault="00200A87" w:rsidP="001A3B3D">
      <w:r>
        <w:separator/>
      </w:r>
    </w:p>
  </w:footnote>
  <w:footnote w:type="continuationSeparator" w:id="0">
    <w:p w:rsidR="00200A87" w:rsidRDefault="00200A87"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A646D87"/>
    <w:multiLevelType w:val="multilevel"/>
    <w:tmpl w:val="2576954E"/>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89124C1"/>
    <w:multiLevelType w:val="multilevel"/>
    <w:tmpl w:val="547EF35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31A7D54"/>
    <w:multiLevelType w:val="multilevel"/>
    <w:tmpl w:val="B52858BA"/>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23"/>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MjQ0MDU2NzMwNbIwNTJU0lEKTi0uzszPAykwrAUAgexyhCwAAAA="/>
  </w:docVars>
  <w:rsids>
    <w:rsidRoot w:val="009303D9"/>
    <w:rsid w:val="00025B84"/>
    <w:rsid w:val="0004781E"/>
    <w:rsid w:val="0008758A"/>
    <w:rsid w:val="000C1E68"/>
    <w:rsid w:val="001A2EFD"/>
    <w:rsid w:val="001A3B3D"/>
    <w:rsid w:val="001B67DC"/>
    <w:rsid w:val="00200A87"/>
    <w:rsid w:val="002254A9"/>
    <w:rsid w:val="00233D97"/>
    <w:rsid w:val="002347A2"/>
    <w:rsid w:val="002850E3"/>
    <w:rsid w:val="0031135F"/>
    <w:rsid w:val="00337A2D"/>
    <w:rsid w:val="00354FCF"/>
    <w:rsid w:val="0038357E"/>
    <w:rsid w:val="00383B6B"/>
    <w:rsid w:val="003A19E2"/>
    <w:rsid w:val="003A3CC9"/>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2304A"/>
    <w:rsid w:val="00645D22"/>
    <w:rsid w:val="00651A08"/>
    <w:rsid w:val="00654204"/>
    <w:rsid w:val="00670434"/>
    <w:rsid w:val="006B6B66"/>
    <w:rsid w:val="006C3E62"/>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74308"/>
    <w:rsid w:val="008A2C7D"/>
    <w:rsid w:val="008C4B23"/>
    <w:rsid w:val="008C67A4"/>
    <w:rsid w:val="008F6E2C"/>
    <w:rsid w:val="009303D9"/>
    <w:rsid w:val="00933C64"/>
    <w:rsid w:val="00972203"/>
    <w:rsid w:val="00974BD1"/>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55B6"/>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normal0">
    <w:name w:val="normal"/>
    <w:rsid w:val="00E855B6"/>
    <w:pPr>
      <w:jc w:val="center"/>
    </w:pPr>
    <w:rPr>
      <w:rFonts w:eastAsia="Times New Roman"/>
      <w:lang w:val="en-US"/>
    </w:rPr>
  </w:style>
  <w:style w:type="paragraph" w:customStyle="1" w:styleId="Default">
    <w:name w:val="Default"/>
    <w:rsid w:val="00E855B6"/>
    <w:pPr>
      <w:autoSpaceDE w:val="0"/>
      <w:autoSpaceDN w:val="0"/>
      <w:adjustRightInd w:val="0"/>
    </w:pPr>
    <w:rPr>
      <w:rFonts w:ascii="Calibri" w:eastAsia="Times New Roman" w:hAnsi="Calibri" w:cs="Calibri"/>
      <w:color w:val="000000"/>
      <w:sz w:val="24"/>
      <w:szCs w:val="24"/>
    </w:rPr>
  </w:style>
  <w:style w:type="paragraph" w:styleId="BalloonText">
    <w:name w:val="Balloon Text"/>
    <w:basedOn w:val="Normal"/>
    <w:link w:val="BalloonTextChar"/>
    <w:rsid w:val="00337A2D"/>
    <w:rPr>
      <w:rFonts w:ascii="Tahoma" w:hAnsi="Tahoma" w:cs="Tahoma"/>
      <w:sz w:val="16"/>
      <w:szCs w:val="16"/>
    </w:rPr>
  </w:style>
  <w:style w:type="character" w:customStyle="1" w:styleId="BalloonTextChar">
    <w:name w:val="Balloon Text Char"/>
    <w:basedOn w:val="DefaultParagraphFont"/>
    <w:link w:val="BalloonText"/>
    <w:rsid w:val="00337A2D"/>
    <w:rPr>
      <w:rFonts w:ascii="Tahoma" w:hAnsi="Tahoma" w:cs="Tahoma"/>
      <w:sz w:val="16"/>
      <w:szCs w:val="16"/>
      <w:lang w:val="en-US" w:eastAsia="en-US"/>
    </w:rPr>
  </w:style>
  <w:style w:type="character" w:styleId="Hyperlink">
    <w:name w:val="Hyperlink"/>
    <w:basedOn w:val="DefaultParagraphFont"/>
    <w:rsid w:val="003113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3F161-4B22-40BE-B2AA-FF1ACB31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Manoj Madabhushi</cp:lastModifiedBy>
  <cp:revision>6</cp:revision>
  <dcterms:created xsi:type="dcterms:W3CDTF">2019-12-18T01:37:00Z</dcterms:created>
  <dcterms:modified xsi:type="dcterms:W3CDTF">2019-12-18T01:48:00Z</dcterms:modified>
</cp:coreProperties>
</file>