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1F5C3A"/>
          <w:spacing w:val="60"/>
          <w:sz w:val="22"/>
          <w:szCs w:val="22"/>
        </w:rPr>
        <w:t xml:space="preserve">LITERATURE SURVEY  ·  DELIVERABLE 2</w:t>
      </w:r>
    </w:p>
    <w:p>
      <w:pPr>
        <w:pBdr>
          <w:bottom w:val="single" w:color="1F5C3A" w:sz="12" w:space="10"/>
        </w:pBdr>
        <w:spacing w:after="0" w:before="40"/>
      </w:pPr>
      <w:r>
        <w:t xml:space="preserve"/>
      </w:r>
    </w:p>
    <w:p>
      <w:pPr>
        <w:spacing w:after="120" w:before="420"/>
      </w:pPr>
      <w:r>
        <w:rPr>
          <w:rFonts w:ascii="Calibri" w:cs="Calibri" w:eastAsia="Calibri" w:hAnsi="Calibri"/>
          <w:b/>
          <w:bCs/>
          <w:color w:val="1B2019"/>
          <w:sz w:val="52"/>
          <w:szCs w:val="52"/>
        </w:rPr>
        <w:t xml:space="preserve">AgriSense</w:t>
      </w:r>
    </w:p>
    <w:p>
      <w:pPr>
        <w:spacing w:after="60"/>
      </w:pPr>
      <w:r>
        <w:rPr>
          <w:rFonts w:ascii="Calibri" w:cs="Calibri" w:eastAsia="Calibri" w:hAnsi="Calibri"/>
          <w:color w:val="1B2019"/>
          <w:sz w:val="28"/>
          <w:szCs w:val="28"/>
        </w:rPr>
        <w:t xml:space="preserve">AI-Powered Plant Disease Detection and Smart Irrigation</w:t>
      </w:r>
    </w:p>
    <w:p>
      <w:pPr>
        <w:spacing w:after="700"/>
      </w:pPr>
      <w:r>
        <w:rPr>
          <w:i/>
          <w:iCs/>
          <w:color w:val="5C6659"/>
          <w:sz w:val="22"/>
          <w:szCs w:val="22"/>
        </w:rPr>
        <w:t xml:space="preserve">Prior art, comparative analysis and identification of the research gap</w:t>
      </w:r>
    </w:p>
    <w:tbl>
      <w:tblPr>
        <w:tblW w:type="dxa" w:w="9360"/>
        <w:tblBorders>
          <w:top w:val="single" w:color="D8DED3" w:sz="4"/>
          <w:left w:val="none" w:color="FFFFFF" w:sz="0"/>
          <w:bottom w:val="single" w:color="D8DED3" w:sz="4"/>
          <w:right w:val="none" w:color="FFFFFF" w:sz="0"/>
          <w:insideH w:val="single" w:color="D8DED3" w:sz="2"/>
          <w:insideV w:val="none" w:color="FFFFFF" w:sz="0"/>
        </w:tblBorders>
      </w:tblPr>
      <w:tblGrid>
        <w:gridCol w:w="2679"/>
        <w:gridCol w:w="6681"/>
      </w:tblGrid>
      <w:tr>
        <w:trPr>
          <w:tblHeader/>
        </w:trPr>
        <w:tc>
          <w:tcPr>
            <w:tcW w:type="dxa" w:w="2679"/>
            <w:shd w:fill="E4EDE6" w:val="clear"/>
            <w:tcMar>
              <w:top w:type="dxa" w:w="70"/>
              <w:left w:type="dxa" w:w="110"/>
              <w:bottom w:type="dxa" w:w="70"/>
              <w:right w:type="dxa" w:w="110"/>
            </w:tcMar>
          </w:tcPr>
          <w:p>
            <w:pPr>
              <w:spacing w:after="0" w:line="250"/>
            </w:pPr>
            <w:r>
              <w:rPr>
                <w:b/>
                <w:bCs/>
                <w:sz w:val="18"/>
                <w:szCs w:val="18"/>
              </w:rPr>
              <w:t xml:space="preserve">Field</w:t>
            </w:r>
          </w:p>
        </w:tc>
        <w:tc>
          <w:tcPr>
            <w:tcW w:type="dxa" w:w="6681"/>
            <w:shd w:fill="E4EDE6" w:val="clear"/>
            <w:tcMar>
              <w:top w:type="dxa" w:w="70"/>
              <w:left w:type="dxa" w:w="110"/>
              <w:bottom w:type="dxa" w:w="70"/>
              <w:right w:type="dxa" w:w="110"/>
            </w:tcMar>
          </w:tcPr>
          <w:p>
            <w:pPr>
              <w:spacing w:after="0" w:line="250"/>
            </w:pPr>
            <w:r>
              <w:rPr>
                <w:b/>
                <w:bCs/>
                <w:sz w:val="18"/>
                <w:szCs w:val="18"/>
              </w:rPr>
              <w:t xml:space="preserve">Value</w:t>
            </w:r>
          </w:p>
        </w:tc>
      </w:tr>
      <w:tr>
        <w:trPr>
          <w:tblHeader w:val="false"/>
        </w:trPr>
        <w:tc>
          <w:tcPr>
            <w:tcW w:type="dxa" w:w="2679"/>
            <w:tcMar>
              <w:top w:type="dxa" w:w="70"/>
              <w:left w:type="dxa" w:w="110"/>
              <w:bottom w:type="dxa" w:w="70"/>
              <w:right w:type="dxa" w:w="110"/>
            </w:tcMar>
          </w:tcPr>
          <w:p>
            <w:pPr>
              <w:spacing w:after="0" w:line="250"/>
            </w:pPr>
            <w:r>
              <w:rPr>
                <w:sz w:val="18"/>
                <w:szCs w:val="18"/>
              </w:rPr>
              <w:t xml:space="preserve">Project</w:t>
            </w:r>
          </w:p>
        </w:tc>
        <w:tc>
          <w:tcPr>
            <w:tcW w:type="dxa" w:w="6681"/>
            <w:tcMar>
              <w:top w:type="dxa" w:w="70"/>
              <w:left w:type="dxa" w:w="110"/>
              <w:bottom w:type="dxa" w:w="70"/>
              <w:right w:type="dxa" w:w="110"/>
            </w:tcMar>
          </w:tcPr>
          <w:p>
            <w:pPr>
              <w:spacing w:after="0" w:line="250"/>
            </w:pPr>
            <w:r>
              <w:rPr>
                <w:sz w:val="18"/>
                <w:szCs w:val="18"/>
              </w:rPr>
              <w:t xml:space="preserve">AgriSense — AGRISENSE-2026</w:t>
            </w:r>
          </w:p>
        </w:tc>
      </w:tr>
      <w:tr>
        <w:trPr>
          <w:tblHeader w:val="false"/>
        </w:trPr>
        <w:tc>
          <w:tcPr>
            <w:tcW w:type="dxa" w:w="2679"/>
            <w:tcMar>
              <w:top w:type="dxa" w:w="70"/>
              <w:left w:type="dxa" w:w="110"/>
              <w:bottom w:type="dxa" w:w="70"/>
              <w:right w:type="dxa" w:w="110"/>
            </w:tcMar>
          </w:tcPr>
          <w:p>
            <w:pPr>
              <w:spacing w:after="0" w:line="250"/>
            </w:pPr>
            <w:r>
              <w:rPr>
                <w:sz w:val="18"/>
                <w:szCs w:val="18"/>
              </w:rPr>
              <w:t xml:space="preserve">Domain</w:t>
            </w:r>
          </w:p>
        </w:tc>
        <w:tc>
          <w:tcPr>
            <w:tcW w:type="dxa" w:w="6681"/>
            <w:tcMar>
              <w:top w:type="dxa" w:w="70"/>
              <w:left w:type="dxa" w:w="110"/>
              <w:bottom w:type="dxa" w:w="70"/>
              <w:right w:type="dxa" w:w="110"/>
            </w:tcMar>
          </w:tcPr>
          <w:p>
            <w:pPr>
              <w:spacing w:after="0" w:line="250"/>
            </w:pPr>
            <w:r>
              <w:rPr>
                <w:sz w:val="18"/>
                <w:szCs w:val="18"/>
              </w:rPr>
              <w:t xml:space="preserve">Machine Learning · Computer Vision · Precision Agriculture</w:t>
            </w:r>
          </w:p>
        </w:tc>
      </w:tr>
      <w:tr>
        <w:trPr>
          <w:tblHeader w:val="false"/>
        </w:trPr>
        <w:tc>
          <w:tcPr>
            <w:tcW w:type="dxa" w:w="2679"/>
            <w:tcMar>
              <w:top w:type="dxa" w:w="70"/>
              <w:left w:type="dxa" w:w="110"/>
              <w:bottom w:type="dxa" w:w="70"/>
              <w:right w:type="dxa" w:w="110"/>
            </w:tcMar>
          </w:tcPr>
          <w:p>
            <w:pPr>
              <w:spacing w:after="0" w:line="250"/>
            </w:pPr>
            <w:r>
              <w:rPr>
                <w:sz w:val="18"/>
                <w:szCs w:val="18"/>
              </w:rPr>
              <w:t xml:space="preserve">Category</w:t>
            </w:r>
          </w:p>
        </w:tc>
        <w:tc>
          <w:tcPr>
            <w:tcW w:type="dxa" w:w="6681"/>
            <w:tcMar>
              <w:top w:type="dxa" w:w="70"/>
              <w:left w:type="dxa" w:w="110"/>
              <w:bottom w:type="dxa" w:w="70"/>
              <w:right w:type="dxa" w:w="110"/>
            </w:tcMar>
          </w:tcPr>
          <w:p>
            <w:pPr>
              <w:spacing w:after="0" w:line="250"/>
            </w:pPr>
            <w:r>
              <w:rPr>
                <w:sz w:val="18"/>
                <w:szCs w:val="18"/>
              </w:rPr>
              <w:t xml:space="preserve">Software-only (no hardware dependency)</w:t>
            </w:r>
          </w:p>
        </w:tc>
      </w:tr>
      <w:tr>
        <w:trPr>
          <w:tblHeader w:val="false"/>
        </w:trPr>
        <w:tc>
          <w:tcPr>
            <w:tcW w:type="dxa" w:w="2679"/>
            <w:tcMar>
              <w:top w:type="dxa" w:w="70"/>
              <w:left w:type="dxa" w:w="110"/>
              <w:bottom w:type="dxa" w:w="70"/>
              <w:right w:type="dxa" w:w="110"/>
            </w:tcMar>
          </w:tcPr>
          <w:p>
            <w:pPr>
              <w:spacing w:after="0" w:line="250"/>
            </w:pPr>
            <w:r>
              <w:rPr>
                <w:sz w:val="18"/>
                <w:szCs w:val="18"/>
              </w:rPr>
              <w:t xml:space="preserve">Compute budget</w:t>
            </w:r>
          </w:p>
        </w:tc>
        <w:tc>
          <w:tcPr>
            <w:tcW w:type="dxa" w:w="6681"/>
            <w:tcMar>
              <w:top w:type="dxa" w:w="70"/>
              <w:left w:type="dxa" w:w="110"/>
              <w:bottom w:type="dxa" w:w="70"/>
              <w:right w:type="dxa" w:w="110"/>
            </w:tcMar>
          </w:tcPr>
          <w:p>
            <w:pPr>
              <w:spacing w:after="0" w:line="250"/>
            </w:pPr>
            <w:r>
              <w:rPr>
                <w:sz w:val="18"/>
                <w:szCs w:val="18"/>
              </w:rPr>
              <w:t xml:space="preserve">CPU-only, commodity laptop</w:t>
            </w:r>
          </w:p>
        </w:tc>
      </w:tr>
      <w:tr>
        <w:trPr>
          <w:tblHeader w:val="false"/>
        </w:trPr>
        <w:tc>
          <w:tcPr>
            <w:tcW w:type="dxa" w:w="2679"/>
            <w:tcMar>
              <w:top w:type="dxa" w:w="70"/>
              <w:left w:type="dxa" w:w="110"/>
              <w:bottom w:type="dxa" w:w="70"/>
              <w:right w:type="dxa" w:w="110"/>
            </w:tcMar>
          </w:tcPr>
          <w:p>
            <w:pPr>
              <w:spacing w:after="0" w:line="250"/>
            </w:pPr>
            <w:r>
              <w:rPr>
                <w:sz w:val="18"/>
                <w:szCs w:val="18"/>
              </w:rPr>
              <w:t xml:space="preserve">Deployment</w:t>
            </w:r>
          </w:p>
        </w:tc>
        <w:tc>
          <w:tcPr>
            <w:tcW w:type="dxa" w:w="6681"/>
            <w:tcMar>
              <w:top w:type="dxa" w:w="70"/>
              <w:left w:type="dxa" w:w="110"/>
              <w:bottom w:type="dxa" w:w="70"/>
              <w:right w:type="dxa" w:w="110"/>
            </w:tcMar>
          </w:tcPr>
          <w:p>
            <w:pPr>
              <w:spacing w:after="0" w:line="250"/>
            </w:pPr>
            <w:r>
              <w:rPr>
                <w:sz w:val="18"/>
                <w:szCs w:val="18"/>
              </w:rPr>
              <w:t xml:space="preserve">Fully client-side static web application</w:t>
            </w:r>
          </w:p>
        </w:tc>
      </w:tr>
      <w:tr>
        <w:trPr>
          <w:tblHeader w:val="false"/>
        </w:trPr>
        <w:tc>
          <w:tcPr>
            <w:tcW w:type="dxa" w:w="2679"/>
            <w:tcMar>
              <w:top w:type="dxa" w:w="70"/>
              <w:left w:type="dxa" w:w="110"/>
              <w:bottom w:type="dxa" w:w="70"/>
              <w:right w:type="dxa" w:w="110"/>
            </w:tcMar>
          </w:tcPr>
          <w:p>
            <w:pPr>
              <w:spacing w:after="0" w:line="250"/>
            </w:pPr>
            <w:r>
              <w:rPr>
                <w:sz w:val="18"/>
                <w:szCs w:val="18"/>
              </w:rPr>
              <w:t xml:space="preserve">Version</w:t>
            </w:r>
          </w:p>
        </w:tc>
        <w:tc>
          <w:tcPr>
            <w:tcW w:type="dxa" w:w="6681"/>
            <w:tcMar>
              <w:top w:type="dxa" w:w="70"/>
              <w:left w:type="dxa" w:w="110"/>
              <w:bottom w:type="dxa" w:w="70"/>
              <w:right w:type="dxa" w:w="110"/>
            </w:tcMar>
          </w:tcPr>
          <w:p>
            <w:pPr>
              <w:spacing w:after="0" w:line="250"/>
            </w:pPr>
            <w:r>
              <w:rPr>
                <w:sz w:val="18"/>
                <w:szCs w:val="18"/>
              </w:rPr>
              <w:t xml:space="preserve">1.0</w:t>
            </w:r>
          </w:p>
        </w:tc>
      </w:tr>
      <w:tr>
        <w:trPr>
          <w:tblHeader w:val="false"/>
        </w:trPr>
        <w:tc>
          <w:tcPr>
            <w:tcW w:type="dxa" w:w="2679"/>
            <w:tcMar>
              <w:top w:type="dxa" w:w="70"/>
              <w:left w:type="dxa" w:w="110"/>
              <w:bottom w:type="dxa" w:w="70"/>
              <w:right w:type="dxa" w:w="110"/>
            </w:tcMar>
          </w:tcPr>
          <w:p>
            <w:pPr>
              <w:spacing w:after="0" w:line="250"/>
            </w:pPr>
            <w:r>
              <w:rPr>
                <w:sz w:val="18"/>
                <w:szCs w:val="18"/>
              </w:rPr>
              <w:t xml:space="preserve">Date</w:t>
            </w:r>
          </w:p>
        </w:tc>
        <w:tc>
          <w:tcPr>
            <w:tcW w:type="dxa" w:w="6681"/>
            <w:tcMar>
              <w:top w:type="dxa" w:w="70"/>
              <w:left w:type="dxa" w:w="110"/>
              <w:bottom w:type="dxa" w:w="70"/>
              <w:right w:type="dxa" w:w="110"/>
            </w:tcMar>
          </w:tcPr>
          <w:p>
            <w:pPr>
              <w:spacing w:after="0" w:line="250"/>
            </w:pPr>
            <w:r>
              <w:rPr>
                <w:sz w:val="18"/>
                <w:szCs w:val="18"/>
              </w:rPr>
              <w:t xml:space="preserve">30 August 2026</w:t>
            </w:r>
          </w:p>
        </w:tc>
      </w:tr>
      <w:tr>
        <w:trPr>
          <w:tblHeader w:val="false"/>
        </w:trPr>
        <w:tc>
          <w:tcPr>
            <w:tcW w:type="dxa" w:w="2679"/>
            <w:tcMar>
              <w:top w:type="dxa" w:w="70"/>
              <w:left w:type="dxa" w:w="110"/>
              <w:bottom w:type="dxa" w:w="70"/>
              <w:right w:type="dxa" w:w="110"/>
            </w:tcMar>
          </w:tcPr>
          <w:p>
            <w:pPr>
              <w:spacing w:after="0" w:line="250"/>
            </w:pPr>
            <w:r>
              <w:rPr>
                <w:sz w:val="18"/>
                <w:szCs w:val="18"/>
              </w:rPr>
              <w:t xml:space="preserve">Papers reviewed in depth</w:t>
            </w:r>
          </w:p>
        </w:tc>
        <w:tc>
          <w:tcPr>
            <w:tcW w:type="dxa" w:w="6681"/>
            <w:tcMar>
              <w:top w:type="dxa" w:w="70"/>
              <w:left w:type="dxa" w:w="110"/>
              <w:bottom w:type="dxa" w:w="70"/>
              <w:right w:type="dxa" w:w="110"/>
            </w:tcMar>
          </w:tcPr>
          <w:p>
            <w:pPr>
              <w:spacing w:after="0" w:line="250"/>
            </w:pPr>
            <w:r>
              <w:rPr>
                <w:sz w:val="18"/>
                <w:szCs w:val="18"/>
              </w:rPr>
              <w:t xml:space="preserve">18</w:t>
            </w:r>
          </w:p>
        </w:tc>
      </w:tr>
    </w:tbl>
    <w:p>
      <w:pPr>
        <w:spacing w:before="900"/>
      </w:pPr>
      <w:r>
        <w:rPr>
          <w:i/>
          <w:iCs/>
          <w:color w:val="5C6659"/>
          <w:sz w:val="18"/>
          <w:szCs w:val="18"/>
        </w:rPr>
        <w:t xml:space="preserve">Eighteen papers reviewed across two research streams, with comparison tables, five identified research gaps and IEEE-style references.</w:t>
      </w:r>
    </w:p>
    <w:p>
      <w:r>
        <w:br w:type="page"/>
      </w:r>
    </w:p>
    <w:p>
      <w:pPr>
        <w:spacing w:after="220"/>
      </w:pPr>
      <w:r>
        <w:rPr>
          <w:rFonts w:ascii="Calibri" w:cs="Calibri" w:eastAsia="Calibri" w:hAnsi="Calibri"/>
          <w:b/>
          <w:bCs/>
          <w:color w:val="1F5C3A"/>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80"/>
      </w:pPr>
      <w:r>
        <w:rPr>
          <w:rFonts w:ascii="Calibri" w:cs="Calibri" w:eastAsia="Calibri" w:hAnsi="Calibri"/>
          <w:b/>
          <w:bCs/>
          <w:color w:val="1F5C3A"/>
          <w:sz w:val="30"/>
          <w:szCs w:val="30"/>
        </w:rPr>
        <w:t xml:space="preserve">1. Purpose and Scope of the Survey</w:t>
      </w:r>
    </w:p>
    <w:p>
      <w:pPr>
        <w:spacing w:after="140" w:line="276"/>
      </w:pPr>
      <w:r>
        <w:t xml:space="preserve">This survey establishes what is already known about two research streams — automated plant disease recognition from leaf imagery, and data-driven irrigation scheduling — and locates the gap that this project addresses. Three questions guide it:</w:t>
      </w:r>
    </w:p>
    <w:p>
      <w:pPr>
        <w:pStyle w:val="ListParagraph"/>
        <w:numPr>
          <w:ilvl w:val="0"/>
          <w:numId w:val="1"/>
        </w:numPr>
        <w:spacing w:after="70" w:line="276"/>
      </w:pPr>
      <w:r>
        <w:rPr>
          <w:b/>
          <w:bCs/>
        </w:rPr>
        <w:t xml:space="preserve">RQ1.</w:t>
      </w:r>
      <w:r>
        <w:t xml:space="preserve"> How far can </w:t>
      </w:r>
      <w:r>
        <w:rPr>
          <w:i/>
          <w:iCs/>
        </w:rPr>
        <w:t xml:space="preserve">classical</w:t>
      </w:r>
      <w:r>
        <w:t xml:space="preserve"> (hand-crafted feature + conventional classifier) pipelines go on leaf disease classification, and what exactly do they lose relative to deep learning?</w:t>
      </w:r>
    </w:p>
    <w:p>
      <w:pPr>
        <w:pStyle w:val="ListParagraph"/>
        <w:numPr>
          <w:ilvl w:val="0"/>
          <w:numId w:val="1"/>
        </w:numPr>
        <w:spacing w:after="70" w:line="276"/>
      </w:pPr>
      <w:r>
        <w:rPr>
          <w:b/>
          <w:bCs/>
        </w:rPr>
        <w:t xml:space="preserve">RQ2.</w:t>
      </w:r>
      <w:r>
        <w:t xml:space="preserve"> What is the state of practice in machine-learning-based irrigation decision support, and what data does that literature actually train on?</w:t>
      </w:r>
    </w:p>
    <w:p>
      <w:pPr>
        <w:pStyle w:val="ListParagraph"/>
        <w:numPr>
          <w:ilvl w:val="0"/>
          <w:numId w:val="1"/>
        </w:numPr>
        <w:spacing w:after="70" w:line="276"/>
      </w:pPr>
      <w:r>
        <w:rPr>
          <w:b/>
          <w:bCs/>
        </w:rPr>
        <w:t xml:space="preserve">RQ3.</w:t>
      </w:r>
      <w:r>
        <w:t xml:space="preserve"> Has anyone coupled the two — that is, allowed a detected disease state to alter the irrigation recommendation?</w:t>
      </w:r>
    </w:p>
    <w:p>
      <w:pPr>
        <w:pStyle w:val="Heading2"/>
        <w:spacing w:after="120" w:before="300"/>
      </w:pPr>
      <w:r>
        <w:rPr>
          <w:rFonts w:ascii="Calibri" w:cs="Calibri" w:eastAsia="Calibri" w:hAnsi="Calibri"/>
          <w:b/>
          <w:bCs/>
          <w:color w:val="1B2019"/>
          <w:sz w:val="25"/>
          <w:szCs w:val="25"/>
        </w:rPr>
        <w:t xml:space="preserve">1.1 Search methodology</w:t>
      </w:r>
    </w:p>
    <w:tbl>
      <w:tblPr>
        <w:tblW w:type="dxa" w:w="9360"/>
        <w:tblBorders>
          <w:top w:val="single" w:color="D8DED3" w:sz="4"/>
          <w:left w:val="none" w:color="FFFFFF" w:sz="0"/>
          <w:bottom w:val="single" w:color="D8DED3" w:sz="4"/>
          <w:right w:val="none" w:color="FFFFFF" w:sz="0"/>
          <w:insideH w:val="single" w:color="D8DED3" w:sz="2"/>
          <w:insideV w:val="none" w:color="FFFFFF" w:sz="0"/>
        </w:tblBorders>
      </w:tblPr>
      <w:tblGrid>
        <w:gridCol w:w="1260"/>
        <w:gridCol w:w="8100"/>
      </w:tblGrid>
      <w:tr>
        <w:trPr>
          <w:tblHeader/>
        </w:trPr>
        <w:tc>
          <w:tcPr>
            <w:tcW w:type="dxa" w:w="1260"/>
            <w:shd w:fill="E4EDE6" w:val="clear"/>
            <w:tcMar>
              <w:top w:type="dxa" w:w="70"/>
              <w:left w:type="dxa" w:w="110"/>
              <w:bottom w:type="dxa" w:w="70"/>
              <w:right w:type="dxa" w:w="110"/>
            </w:tcMar>
          </w:tcPr>
          <w:p>
            <w:pPr>
              <w:spacing w:after="0" w:line="250"/>
            </w:pPr>
            <w:r>
              <w:rPr>
                <w:b/>
                <w:bCs/>
                <w:sz w:val="18"/>
                <w:szCs w:val="18"/>
              </w:rPr>
              <w:t xml:space="preserve">Parameter</w:t>
            </w:r>
          </w:p>
        </w:tc>
        <w:tc>
          <w:tcPr>
            <w:tcW w:type="dxa" w:w="8100"/>
            <w:shd w:fill="E4EDE6" w:val="clear"/>
            <w:tcMar>
              <w:top w:type="dxa" w:w="70"/>
              <w:left w:type="dxa" w:w="110"/>
              <w:bottom w:type="dxa" w:w="70"/>
              <w:right w:type="dxa" w:w="110"/>
            </w:tcMar>
          </w:tcPr>
          <w:p>
            <w:pPr>
              <w:spacing w:after="0" w:line="250"/>
            </w:pPr>
            <w:r>
              <w:rPr>
                <w:b/>
                <w:bCs/>
                <w:sz w:val="18"/>
                <w:szCs w:val="18"/>
              </w:rPr>
              <w:t xml:space="preserve">Setting</w:t>
            </w:r>
          </w:p>
        </w:tc>
      </w:tr>
      <w:tr>
        <w:trPr>
          <w:tblHeader w:val="false"/>
        </w:trPr>
        <w:tc>
          <w:tcPr>
            <w:tcW w:type="dxa" w:w="1260"/>
            <w:tcMar>
              <w:top w:type="dxa" w:w="70"/>
              <w:left w:type="dxa" w:w="110"/>
              <w:bottom w:type="dxa" w:w="70"/>
              <w:right w:type="dxa" w:w="110"/>
            </w:tcMar>
          </w:tcPr>
          <w:p>
            <w:pPr>
              <w:spacing w:after="0" w:line="250"/>
            </w:pPr>
            <w:r>
              <w:rPr>
                <w:sz w:val="18"/>
                <w:szCs w:val="18"/>
              </w:rPr>
              <w:t xml:space="preserve">Sources</w:t>
            </w:r>
          </w:p>
        </w:tc>
        <w:tc>
          <w:tcPr>
            <w:tcW w:type="dxa" w:w="8100"/>
            <w:tcMar>
              <w:top w:type="dxa" w:w="70"/>
              <w:left w:type="dxa" w:w="110"/>
              <w:bottom w:type="dxa" w:w="70"/>
              <w:right w:type="dxa" w:w="110"/>
            </w:tcMar>
          </w:tcPr>
          <w:p>
            <w:pPr>
              <w:spacing w:after="0" w:line="250"/>
            </w:pPr>
            <w:r>
              <w:rPr>
                <w:sz w:val="18"/>
                <w:szCs w:val="18"/>
              </w:rPr>
              <w:t xml:space="preserve">IEEE Xplore, ScienceDirect (Elsevier), SpringerLink, MDPI, Frontiers, Nature Portfolio, ACM DL, arXiv</w:t>
            </w:r>
          </w:p>
        </w:tc>
      </w:tr>
      <w:tr>
        <w:trPr>
          <w:tblHeader w:val="false"/>
        </w:trPr>
        <w:tc>
          <w:tcPr>
            <w:tcW w:type="dxa" w:w="1260"/>
            <w:tcMar>
              <w:top w:type="dxa" w:w="70"/>
              <w:left w:type="dxa" w:w="110"/>
              <w:bottom w:type="dxa" w:w="70"/>
              <w:right w:type="dxa" w:w="110"/>
            </w:tcMar>
          </w:tcPr>
          <w:p>
            <w:pPr>
              <w:spacing w:after="0" w:line="250"/>
            </w:pPr>
            <w:r>
              <w:rPr>
                <w:sz w:val="18"/>
                <w:szCs w:val="18"/>
              </w:rPr>
              <w:t xml:space="preserve">Keyword clusters</w:t>
            </w:r>
          </w:p>
        </w:tc>
        <w:tc>
          <w:tcPr>
            <w:tcW w:type="dxa" w:w="8100"/>
            <w:tcMar>
              <w:top w:type="dxa" w:w="70"/>
              <w:left w:type="dxa" w:w="110"/>
              <w:bottom w:type="dxa" w:w="70"/>
              <w:right w:type="dxa" w:w="110"/>
            </w:tcMar>
          </w:tcPr>
          <w:p>
            <w:pPr>
              <w:spacing w:after="0" w:line="250"/>
            </w:pPr>
            <w:r>
              <w:rPr>
                <w:sz w:val="18"/>
                <w:szCs w:val="18"/>
              </w:rPr>
              <w:t xml:space="preserve">(</w:t>
            </w:r>
            <w:r>
              <w:rPr>
                <w:rFonts w:ascii="Consolas" w:cs="Consolas" w:eastAsia="Consolas" w:hAnsi="Consolas"/>
                <w:sz w:val="19"/>
                <w:szCs w:val="19"/>
                <w:shd w:fill="F2F4EF" w:val="clear"/>
              </w:rPr>
              <w:t xml:space="preserve">plant disease</w:t>
            </w:r>
            <w:r>
              <w:rPr>
                <w:sz w:val="18"/>
                <w:szCs w:val="18"/>
              </w:rPr>
              <w:t xml:space="preserve"> OR </w:t>
            </w:r>
            <w:r>
              <w:rPr>
                <w:rFonts w:ascii="Consolas" w:cs="Consolas" w:eastAsia="Consolas" w:hAnsi="Consolas"/>
                <w:sz w:val="19"/>
                <w:szCs w:val="19"/>
                <w:shd w:fill="F2F4EF" w:val="clear"/>
              </w:rPr>
              <w:t xml:space="preserve">leaf disease</w:t>
            </w:r>
            <w:r>
              <w:rPr>
                <w:sz w:val="18"/>
                <w:szCs w:val="18"/>
              </w:rPr>
              <w:t xml:space="preserve">) × (</w:t>
            </w:r>
            <w:r>
              <w:rPr>
                <w:rFonts w:ascii="Consolas" w:cs="Consolas" w:eastAsia="Consolas" w:hAnsi="Consolas"/>
                <w:sz w:val="19"/>
                <w:szCs w:val="19"/>
                <w:shd w:fill="F2F4EF" w:val="clear"/>
              </w:rPr>
              <w:t xml:space="preserve">SVM</w:t>
            </w:r>
            <w:r>
              <w:rPr>
                <w:sz w:val="18"/>
                <w:szCs w:val="18"/>
              </w:rPr>
              <w:t xml:space="preserve"> OR </w:t>
            </w:r>
            <w:r>
              <w:rPr>
                <w:rFonts w:ascii="Consolas" w:cs="Consolas" w:eastAsia="Consolas" w:hAnsi="Consolas"/>
                <w:sz w:val="19"/>
                <w:szCs w:val="19"/>
                <w:shd w:fill="F2F4EF" w:val="clear"/>
              </w:rPr>
              <w:t xml:space="preserve">random forest</w:t>
            </w:r>
            <w:r>
              <w:rPr>
                <w:sz w:val="18"/>
                <w:szCs w:val="18"/>
              </w:rPr>
              <w:t xml:space="preserve"> OR </w:t>
            </w:r>
            <w:r>
              <w:rPr>
                <w:rFonts w:ascii="Consolas" w:cs="Consolas" w:eastAsia="Consolas" w:hAnsi="Consolas"/>
                <w:sz w:val="19"/>
                <w:szCs w:val="19"/>
                <w:shd w:fill="F2F4EF" w:val="clear"/>
              </w:rPr>
              <w:t xml:space="preserve">GLCM</w:t>
            </w:r>
            <w:r>
              <w:rPr>
                <w:sz w:val="18"/>
                <w:szCs w:val="18"/>
              </w:rPr>
              <w:t xml:space="preserve"> OR </w:t>
            </w:r>
            <w:r>
              <w:rPr>
                <w:rFonts w:ascii="Consolas" w:cs="Consolas" w:eastAsia="Consolas" w:hAnsi="Consolas"/>
                <w:sz w:val="19"/>
                <w:szCs w:val="19"/>
                <w:shd w:fill="F2F4EF" w:val="clear"/>
              </w:rPr>
              <w:t xml:space="preserve">texture features</w:t>
            </w:r>
            <w:r>
              <w:rPr>
                <w:sz w:val="18"/>
                <w:szCs w:val="18"/>
              </w:rPr>
              <w:t xml:space="preserve"> OR </w:t>
            </w:r>
            <w:r>
              <w:rPr>
                <w:rFonts w:ascii="Consolas" w:cs="Consolas" w:eastAsia="Consolas" w:hAnsi="Consolas"/>
                <w:sz w:val="19"/>
                <w:szCs w:val="19"/>
                <w:shd w:fill="F2F4EF" w:val="clear"/>
              </w:rPr>
              <w:t xml:space="preserve">CNN</w:t>
            </w:r>
            <w:r>
              <w:rPr>
                <w:sz w:val="18"/>
                <w:szCs w:val="18"/>
              </w:rPr>
              <w:t xml:space="preserve"> OR </w:t>
            </w:r>
            <w:r>
              <w:rPr>
                <w:rFonts w:ascii="Consolas" w:cs="Consolas" w:eastAsia="Consolas" w:hAnsi="Consolas"/>
                <w:sz w:val="19"/>
                <w:szCs w:val="19"/>
                <w:shd w:fill="F2F4EF" w:val="clear"/>
              </w:rPr>
              <w:t xml:space="preserve">deep learning</w:t>
            </w:r>
            <w:r>
              <w:rPr>
                <w:sz w:val="18"/>
                <w:szCs w:val="18"/>
              </w:rPr>
              <w:t xml:space="preserve">); (</w:t>
            </w:r>
            <w:r>
              <w:rPr>
                <w:rFonts w:ascii="Consolas" w:cs="Consolas" w:eastAsia="Consolas" w:hAnsi="Consolas"/>
                <w:sz w:val="19"/>
                <w:szCs w:val="19"/>
                <w:shd w:fill="F2F4EF" w:val="clear"/>
              </w:rPr>
              <w:t xml:space="preserve">irrigation scheduling</w:t>
            </w:r>
            <w:r>
              <w:rPr>
                <w:sz w:val="18"/>
                <w:szCs w:val="18"/>
              </w:rPr>
              <w:t xml:space="preserve"> OR </w:t>
            </w:r>
            <w:r>
              <w:rPr>
                <w:rFonts w:ascii="Consolas" w:cs="Consolas" w:eastAsia="Consolas" w:hAnsi="Consolas"/>
                <w:sz w:val="19"/>
                <w:szCs w:val="19"/>
                <w:shd w:fill="F2F4EF" w:val="clear"/>
              </w:rPr>
              <w:t xml:space="preserve">smart irrigation</w:t>
            </w:r>
            <w:r>
              <w:rPr>
                <w:sz w:val="18"/>
                <w:szCs w:val="18"/>
              </w:rPr>
              <w:t xml:space="preserve">) × (</w:t>
            </w:r>
            <w:r>
              <w:rPr>
                <w:rFonts w:ascii="Consolas" w:cs="Consolas" w:eastAsia="Consolas" w:hAnsi="Consolas"/>
                <w:sz w:val="19"/>
                <w:szCs w:val="19"/>
                <w:shd w:fill="F2F4EF" w:val="clear"/>
              </w:rPr>
              <w:t xml:space="preserve">machine learning</w:t>
            </w:r>
            <w:r>
              <w:rPr>
                <w:sz w:val="18"/>
                <w:szCs w:val="18"/>
              </w:rPr>
              <w:t xml:space="preserve"> OR </w:t>
            </w:r>
            <w:r>
              <w:rPr>
                <w:rFonts w:ascii="Consolas" w:cs="Consolas" w:eastAsia="Consolas" w:hAnsi="Consolas"/>
                <w:sz w:val="19"/>
                <w:szCs w:val="19"/>
                <w:shd w:fill="F2F4EF" w:val="clear"/>
              </w:rPr>
              <w:t xml:space="preserve">soil moisture</w:t>
            </w:r>
            <w:r>
              <w:rPr>
                <w:sz w:val="18"/>
                <w:szCs w:val="18"/>
              </w:rPr>
              <w:t xml:space="preserve"> OR </w:t>
            </w:r>
            <w:r>
              <w:rPr>
                <w:rFonts w:ascii="Consolas" w:cs="Consolas" w:eastAsia="Consolas" w:hAnsi="Consolas"/>
                <w:sz w:val="19"/>
                <w:szCs w:val="19"/>
                <w:shd w:fill="F2F4EF" w:val="clear"/>
              </w:rPr>
              <w:t xml:space="preserve">IoT</w:t>
            </w:r>
            <w:r>
              <w:rPr>
                <w:sz w:val="18"/>
                <w:szCs w:val="18"/>
              </w:rPr>
              <w:t xml:space="preserve"> OR </w:t>
            </w:r>
            <w:r>
              <w:rPr>
                <w:rFonts w:ascii="Consolas" w:cs="Consolas" w:eastAsia="Consolas" w:hAnsi="Consolas"/>
                <w:sz w:val="19"/>
                <w:szCs w:val="19"/>
                <w:shd w:fill="F2F4EF" w:val="clear"/>
              </w:rPr>
              <w:t xml:space="preserve">evapotranspiration</w:t>
            </w:r>
            <w:r>
              <w:rPr>
                <w:sz w:val="18"/>
                <w:szCs w:val="18"/>
              </w:rPr>
              <w:t xml:space="preserve">)</w:t>
            </w:r>
          </w:p>
        </w:tc>
      </w:tr>
      <w:tr>
        <w:trPr>
          <w:tblHeader w:val="false"/>
        </w:trPr>
        <w:tc>
          <w:tcPr>
            <w:tcW w:type="dxa" w:w="1260"/>
            <w:tcMar>
              <w:top w:type="dxa" w:w="70"/>
              <w:left w:type="dxa" w:w="110"/>
              <w:bottom w:type="dxa" w:w="70"/>
              <w:right w:type="dxa" w:w="110"/>
            </w:tcMar>
          </w:tcPr>
          <w:p>
            <w:pPr>
              <w:spacing w:after="0" w:line="250"/>
            </w:pPr>
            <w:r>
              <w:rPr>
                <w:sz w:val="18"/>
                <w:szCs w:val="18"/>
              </w:rPr>
              <w:t xml:space="preserve">Period</w:t>
            </w:r>
          </w:p>
        </w:tc>
        <w:tc>
          <w:tcPr>
            <w:tcW w:type="dxa" w:w="8100"/>
            <w:tcMar>
              <w:top w:type="dxa" w:w="70"/>
              <w:left w:type="dxa" w:w="110"/>
              <w:bottom w:type="dxa" w:w="70"/>
              <w:right w:type="dxa" w:w="110"/>
            </w:tcMar>
          </w:tcPr>
          <w:p>
            <w:pPr>
              <w:spacing w:after="0" w:line="250"/>
            </w:pPr>
            <w:r>
              <w:rPr>
                <w:sz w:val="18"/>
                <w:szCs w:val="18"/>
              </w:rPr>
              <w:t xml:space="preserve">2010 – 2026, with priority to 2016 – 2026</w:t>
            </w:r>
          </w:p>
        </w:tc>
      </w:tr>
      <w:tr>
        <w:trPr>
          <w:tblHeader w:val="false"/>
        </w:trPr>
        <w:tc>
          <w:tcPr>
            <w:tcW w:type="dxa" w:w="1260"/>
            <w:tcMar>
              <w:top w:type="dxa" w:w="70"/>
              <w:left w:type="dxa" w:w="110"/>
              <w:bottom w:type="dxa" w:w="70"/>
              <w:right w:type="dxa" w:w="110"/>
            </w:tcMar>
          </w:tcPr>
          <w:p>
            <w:pPr>
              <w:spacing w:after="0" w:line="250"/>
            </w:pPr>
            <w:r>
              <w:rPr>
                <w:sz w:val="18"/>
                <w:szCs w:val="18"/>
              </w:rPr>
              <w:t xml:space="preserve">Inclusion</w:t>
            </w:r>
          </w:p>
        </w:tc>
        <w:tc>
          <w:tcPr>
            <w:tcW w:type="dxa" w:w="8100"/>
            <w:tcMar>
              <w:top w:type="dxa" w:w="70"/>
              <w:left w:type="dxa" w:w="110"/>
              <w:bottom w:type="dxa" w:w="70"/>
              <w:right w:type="dxa" w:w="110"/>
            </w:tcMar>
          </w:tcPr>
          <w:p>
            <w:pPr>
              <w:spacing w:after="0" w:line="250"/>
            </w:pPr>
            <w:r>
              <w:rPr>
                <w:sz w:val="18"/>
                <w:szCs w:val="18"/>
              </w:rPr>
              <w:t xml:space="preserve">Peer-reviewed; reports a quantitative result on a stated dataset; method reproducible from the text</w:t>
            </w:r>
          </w:p>
        </w:tc>
      </w:tr>
      <w:tr>
        <w:trPr>
          <w:tblHeader w:val="false"/>
        </w:trPr>
        <w:tc>
          <w:tcPr>
            <w:tcW w:type="dxa" w:w="1260"/>
            <w:tcMar>
              <w:top w:type="dxa" w:w="70"/>
              <w:left w:type="dxa" w:w="110"/>
              <w:bottom w:type="dxa" w:w="70"/>
              <w:right w:type="dxa" w:w="110"/>
            </w:tcMar>
          </w:tcPr>
          <w:p>
            <w:pPr>
              <w:spacing w:after="0" w:line="250"/>
            </w:pPr>
            <w:r>
              <w:rPr>
                <w:sz w:val="18"/>
                <w:szCs w:val="18"/>
              </w:rPr>
              <w:t xml:space="preserve">Exclusion</w:t>
            </w:r>
          </w:p>
        </w:tc>
        <w:tc>
          <w:tcPr>
            <w:tcW w:type="dxa" w:w="8100"/>
            <w:tcMar>
              <w:top w:type="dxa" w:w="70"/>
              <w:left w:type="dxa" w:w="110"/>
              <w:bottom w:type="dxa" w:w="70"/>
              <w:right w:type="dxa" w:w="110"/>
            </w:tcMar>
          </w:tcPr>
          <w:p>
            <w:pPr>
              <w:spacing w:after="0" w:line="250"/>
            </w:pPr>
            <w:r>
              <w:rPr>
                <w:sz w:val="18"/>
                <w:szCs w:val="18"/>
              </w:rPr>
              <w:t xml:space="preserve">No quantitative evaluation; proprietary dataset with no description; predatory venues</w:t>
            </w:r>
          </w:p>
        </w:tc>
      </w:tr>
    </w:tbl>
    <w:p>
      <w:pPr>
        <w:spacing w:after="200"/>
      </w:pPr>
      <w:r>
        <w:t xml:space="preserve"/>
      </w:r>
    </w:p>
    <w:p>
      <w:pPr>
        <w:pBdr>
          <w:bottom w:val="single" w:color="D8DED3" w:sz="6" w:space="1"/>
        </w:pBdr>
        <w:spacing w:after="180" w:before="180"/>
      </w:pPr>
      <w:r>
        <w:t xml:space="preserve"/>
      </w:r>
    </w:p>
    <w:p>
      <w:pPr>
        <w:pStyle w:val="Heading1"/>
        <w:spacing w:after="160" w:before="380"/>
      </w:pPr>
      <w:r>
        <w:rPr>
          <w:rFonts w:ascii="Calibri" w:cs="Calibri" w:eastAsia="Calibri" w:hAnsi="Calibri"/>
          <w:b/>
          <w:bCs/>
          <w:color w:val="1F5C3A"/>
          <w:sz w:val="30"/>
          <w:szCs w:val="30"/>
        </w:rPr>
        <w:t xml:space="preserve">2. Taxonomy of Approaches</w:t>
      </w:r>
    </w:p>
    <w:p>
      <w:pPr>
        <w:pBdr>
          <w:top w:val="single" w:color="F2F4EF" w:sz="2" w:space="4"/>
          <w:left w:val="single" w:color="C7D2C4" w:sz="12" w:space="8"/>
        </w:pBdr>
        <w:shd w:fill="F2F4EF" w:val="clear"/>
        <w:spacing w:after="0" w:before="100" w:line="230"/>
        <w:ind w:left="220" w:right="220"/>
      </w:pPr>
      <w:r>
        <w:rPr>
          <w:rFonts w:ascii="Consolas" w:cs="Consolas" w:eastAsia="Consolas" w:hAnsi="Consolas"/>
          <w:color w:val="2B3327"/>
          <w:sz w:val="16"/>
          <w:szCs w:val="16"/>
        </w:rPr>
        <w:t xml:space="preserve">Automated crop health / water management</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A. Disease recognition from imagery</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 A1. Spectral / hyperspectral + classical ML        (Rumpf 2010)</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 A2. RGB leaf image + segmentation + hand-crafted features + classical ML</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        colour moments · HSV histograms · GLCM · LBP · wavelets</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        classifiers: SVM · RF · LGBM · ANN · k-NN</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 A3. End-to-end deep CNNs                            (Mohanty 2016 → present)</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 A4. Dataset &amp; generalisation critiques              (Barbedo 2018; PlantDoc 2020)</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B. Irrigation decision support</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 B1. Agronomic reference models (soil water balance)  (FAO-56)</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 B2. Threshold / rule-based sensor controllers</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 B3. Supervised ML on sensor + weather data           (Goldstein 2018; Glória 2021)</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 B4. IoT + deep learning irrigation controllers       (Kashyap 2021)</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w:t>
      </w:r>
    </w:p>
    <w:p>
      <w:pPr>
        <w:pBdr>
          <w:left w:val="single" w:color="C7D2C4" w:sz="12" w:space="8"/>
        </w:pBdr>
        <w:shd w:fill="F2F4EF" w:val="clear"/>
        <w:spacing w:after="0" w:before="0" w:line="230"/>
        <w:ind w:left="220" w:right="220"/>
      </w:pPr>
      <w:r>
        <w:rPr>
          <w:rFonts w:ascii="Consolas" w:cs="Consolas" w:eastAsia="Consolas" w:hAnsi="Consolas"/>
          <w:color w:val="2B3327"/>
          <w:sz w:val="16"/>
          <w:szCs w:val="16"/>
        </w:rPr>
        <w:t xml:space="preserve">    ✗ C. Coupled disease-aware irrigation  ← essentially unoccupied</w:t>
      </w:r>
    </w:p>
    <w:p>
      <w:pPr>
        <w:spacing w:after="120"/>
      </w:pPr>
      <w:r>
        <w:t xml:space="preserve"/>
      </w:r>
    </w:p>
    <w:p>
      <w:pPr>
        <w:pBdr>
          <w:bottom w:val="single" w:color="D8DED3" w:sz="6" w:space="1"/>
        </w:pBdr>
        <w:spacing w:after="180" w:before="180"/>
      </w:pPr>
      <w:r>
        <w:t xml:space="preserve"/>
      </w:r>
    </w:p>
    <w:p>
      <w:pPr>
        <w:pStyle w:val="Heading1"/>
        <w:spacing w:after="160" w:before="380"/>
      </w:pPr>
      <w:r>
        <w:rPr>
          <w:rFonts w:ascii="Calibri" w:cs="Calibri" w:eastAsia="Calibri" w:hAnsi="Calibri"/>
          <w:b/>
          <w:bCs/>
          <w:color w:val="1F5C3A"/>
          <w:sz w:val="30"/>
          <w:szCs w:val="30"/>
        </w:rPr>
        <w:t xml:space="preserve">3. Stream A2 — Classical Feature Engineering for Leaf Disease Classification</w:t>
      </w:r>
    </w:p>
    <w:p>
      <w:pPr>
        <w:spacing w:after="140" w:line="276"/>
      </w:pPr>
      <w:r>
        <w:t xml:space="preserve">This is the stream the present project extends, so it is reviewed in the most detail.</w:t>
      </w:r>
    </w:p>
    <w:p>
      <w:pPr>
        <w:pStyle w:val="Heading2"/>
        <w:spacing w:after="120" w:before="300"/>
      </w:pPr>
      <w:r>
        <w:rPr>
          <w:rFonts w:ascii="Calibri" w:cs="Calibri" w:eastAsia="Calibri" w:hAnsi="Calibri"/>
          <w:b/>
          <w:bCs/>
          <w:color w:val="1B2019"/>
          <w:sz w:val="25"/>
          <w:szCs w:val="25"/>
        </w:rPr>
        <w:t xml:space="preserve">3.1 Rumpf et al. (2010) — the spectral origin</w:t>
      </w:r>
    </w:p>
    <w:p>
      <w:pPr>
        <w:spacing w:after="140" w:line="276"/>
      </w:pPr>
      <w:r>
        <w:t xml:space="preserve">Rumpf and colleagues established the template for the whole classical stream: derive vegetation indices from hyperspectral reflectance of sugar beet leaves, feed them to a Support Vector Machine, and classify </w:t>
      </w:r>
      <w:r>
        <w:rPr>
          <w:i/>
          <w:iCs/>
        </w:rPr>
        <w:t xml:space="preserve">Cercospora</w:t>
      </w:r>
      <w:r>
        <w:t xml:space="preserve"> leaf spot, leaf rust and powdery mildew — crucially, </w:t>
      </w:r>
      <w:r>
        <w:rPr>
          <w:b/>
          <w:bCs/>
        </w:rPr>
        <w:t xml:space="preserve">before visible symptoms appear</w:t>
      </w:r>
      <w:r>
        <w:t xml:space="preserve">. Classification accuracy reached up to 97% for discriminating diseased from healthy, and above 86% among the three diseases. The lesson carried forward is that a small number of physically meaningful features, well chosen, is sufficient for an SVM to separate pathologies. The limitation is instrumental: hyperspectral sensing is not available on a farmer's phone.</w:t>
      </w:r>
    </w:p>
    <w:p>
      <w:pPr>
        <w:pStyle w:val="Heading2"/>
        <w:spacing w:after="120" w:before="300"/>
      </w:pPr>
      <w:r>
        <w:rPr>
          <w:rFonts w:ascii="Calibri" w:cs="Calibri" w:eastAsia="Calibri" w:hAnsi="Calibri"/>
          <w:b/>
          <w:bCs/>
          <w:color w:val="1B2019"/>
          <w:sz w:val="25"/>
          <w:szCs w:val="25"/>
        </w:rPr>
        <w:t xml:space="preserve">3.2 Singh and Misra (2017) — segmentation-first RGB pipeline</w:t>
      </w:r>
    </w:p>
    <w:p>
      <w:pPr>
        <w:spacing w:after="140" w:line="276"/>
      </w:pPr>
      <w:r>
        <w:t xml:space="preserve">Singh and Misra defined what became the canonical RGB pipeline: colour-space conversion, </w:t>
      </w:r>
      <w:r>
        <w:rPr>
          <w:b/>
          <w:bCs/>
        </w:rPr>
        <w:t xml:space="preserve">genetic-algorithm-optimised image segmentation</w:t>
      </w:r>
      <w:r>
        <w:t xml:space="preserve"> to isolate the lesion region, extraction of colour and texture descriptors from the segmented region only, and classification with a minimum-distance criterion and SVM. Reported accuracy is in the mid-90s across banana, beans, jackfruit, lemon, mango, potato, tomato and sapota leaves (the exact figure is widely re-quoted at second hand — confirm it against the published paper before citing a number). Their central methodological claim — that segmenting the diseased region </w:t>
      </w:r>
      <w:r>
        <w:rPr>
          <w:i/>
          <w:iCs/>
        </w:rPr>
        <w:t xml:space="preserve">before</w:t>
      </w:r>
      <w:r>
        <w:t xml:space="preserve"> extracting features materially improves accuracy — is adopted directly in this project's M2 module, though with a cheaper deterministic segmenter (Otsu on an excess-green index) rather than a genetic algorithm, to preserve CPU-time and JavaScript portability.</w:t>
      </w:r>
    </w:p>
    <w:p>
      <w:pPr>
        <w:pStyle w:val="Heading2"/>
        <w:spacing w:after="120" w:before="300"/>
      </w:pPr>
      <w:r>
        <w:rPr>
          <w:rFonts w:ascii="Calibri" w:cs="Calibri" w:eastAsia="Calibri" w:hAnsi="Calibri"/>
          <w:b/>
          <w:bCs/>
          <w:color w:val="1B2019"/>
          <w:sz w:val="25"/>
          <w:szCs w:val="25"/>
        </w:rPr>
        <w:t xml:space="preserve">3.3 Ahmed, Asif and Saleem (2021) — the colour + GLCM reference point</w:t>
      </w:r>
    </w:p>
    <w:p>
      <w:pPr>
        <w:spacing w:after="140" w:line="276"/>
      </w:pPr>
      <w:r>
        <w:t xml:space="preserve">This is the closest published analogue to the present project's feature design. The authors combine </w:t>
      </w:r>
      <w:r>
        <w:rPr>
          <w:b/>
          <w:bCs/>
        </w:rPr>
        <w:t xml:space="preserve">6 colour features with 22 GLCM-derived texture features</w:t>
      </w:r>
      <w:r>
        <w:t xml:space="preserve"> and classify with an SVM. On a laboratory-condition dataset they report </w:t>
      </w:r>
      <w:r>
        <w:rPr>
          <w:b/>
          <w:bCs/>
        </w:rPr>
        <w:t xml:space="preserve">98.79% ± 0.57 accuracy under 10-fold cross-validation</w:t>
      </w:r>
      <w:r>
        <w:t xml:space="preserve">. The important number, however, is what happens off-benchmark: on their own self-collected images the same model achieves only </w:t>
      </w:r>
      <w:r>
        <w:rPr>
          <w:b/>
          <w:bCs/>
        </w:rPr>
        <w:t xml:space="preserve">82.47%</w:t>
      </w:r>
      <w:r>
        <w:t xml:space="preserve"> for disease identification and </w:t>
      </w:r>
      <w:r>
        <w:rPr>
          <w:b/>
          <w:bCs/>
        </w:rPr>
        <w:t xml:space="preserve">91.40%</w:t>
      </w:r>
      <w:r>
        <w:t xml:space="preserve"> for the simpler healthy-versus-diseased decision. That ~16-point collapse between benchmark and field is the single most instructive result in the classical literature, and it is why the present project treats an out-of-distribution stress test as a mandatory deliverable rather than an optional extra (Project Outline §9).</w:t>
      </w:r>
    </w:p>
    <w:p>
      <w:pPr>
        <w:pStyle w:val="Heading2"/>
        <w:spacing w:after="120" w:before="300"/>
      </w:pPr>
      <w:r>
        <w:rPr>
          <w:rFonts w:ascii="Calibri" w:cs="Calibri" w:eastAsia="Calibri" w:hAnsi="Calibri"/>
          <w:b/>
          <w:bCs/>
          <w:color w:val="1B2019"/>
          <w:sz w:val="25"/>
          <w:szCs w:val="25"/>
        </w:rPr>
        <w:t xml:space="preserve">3.4 Tabbakh and Barpanda (2022) — systematic classifier comparison</w:t>
      </w:r>
    </w:p>
    <w:p>
      <w:pPr>
        <w:spacing w:after="140" w:line="276"/>
      </w:pPr>
      <w:r>
        <w:t xml:space="preserve">Tabbakh and Barpanda evaluate six classifiers (LightGBM, SVM, Random Forest, Logistic Regression, AdaBoost, Decision Tree) over a </w:t>
      </w:r>
      <w:r>
        <w:rPr>
          <w:b/>
          <w:bCs/>
        </w:rPr>
        <w:t xml:space="preserve">modified GLCM plus wavelet-based statistical feature</w:t>
      </w:r>
      <w:r>
        <w:t xml:space="preserve"> set, computed on both original and segmented images. </w:t>
      </w:r>
      <w:r>
        <w:rPr>
          <w:b/>
          <w:bCs/>
        </w:rPr>
        <w:t xml:space="preserve">LightGBM reaches 94.76%</w:t>
      </w:r>
      <w:r>
        <w:t xml:space="preserve"> and SVM 93.51% when all feature types are combined. Two findings are directly actionable here: (i) gradient boosting is competitive with, and can exceed, SVM on this class of feature vector — which is why HistGradientBoosting is in the present project's candidate set; and (ii) combining features from segmented </w:t>
      </w:r>
      <w:r>
        <w:rPr>
          <w:i/>
          <w:iCs/>
        </w:rPr>
        <w:t xml:space="preserve">and</w:t>
      </w:r>
      <w:r>
        <w:t xml:space="preserve"> unsegmented views outperforms either alone.</w:t>
      </w:r>
    </w:p>
    <w:p>
      <w:pPr>
        <w:pStyle w:val="Heading2"/>
        <w:spacing w:after="120" w:before="300"/>
      </w:pPr>
      <w:r>
        <w:rPr>
          <w:rFonts w:ascii="Calibri" w:cs="Calibri" w:eastAsia="Calibri" w:hAnsi="Calibri"/>
          <w:b/>
          <w:bCs/>
          <w:color w:val="1B2019"/>
          <w:sz w:val="25"/>
          <w:szCs w:val="25"/>
        </w:rPr>
        <w:t xml:space="preserve">3.5 Sridhar and Angamuthu (2025) — current state of the art for classical pipelines</w:t>
      </w:r>
    </w:p>
    <w:p>
      <w:pPr>
        <w:spacing w:after="140" w:line="276"/>
      </w:pPr>
      <w:r>
        <w:t xml:space="preserve">The most recent work surveyed, and evidence that the classical approach is still an active research line rather than a historical curiosity. The pipeline is bilateral filtering → GraphCut segmentation in Y\</w:t>
      </w:r>
      <w:r>
        <w:rPr>
          <w:i/>
          <w:iCs/>
        </w:rPr>
        <w:t xml:space="preserve">Cb\</w:t>
      </w:r>
      <w:r>
        <w:t xml:space="preserve">Cr space → </w:t>
      </w:r>
      <w:r>
        <w:rPr>
          <w:b/>
          <w:bCs/>
        </w:rPr>
        <w:t xml:space="preserve">hybrid GLCM + LBP</w:t>
      </w:r>
      <w:r>
        <w:t xml:space="preserve"> texture features → multiclass SVM, with linear, RBF, quadratic and cubic kernels compared. On a 9,111-image four-crop dataset (cotton, wheat, sugarcane, cashew) the </w:t>
      </w:r>
      <w:r>
        <w:rPr>
          <w:b/>
          <w:bCs/>
        </w:rPr>
        <w:t xml:space="preserve">linear kernel achieves 99.0% accuracy</w:t>
      </w:r>
      <w:r>
        <w:t xml:space="preserve"> (98.6% precision, 98.7% recall, 98.6% F1) under stratified 5-fold cross-validation. Notably the </w:t>
      </w:r>
      <w:r>
        <w:rPr>
          <w:i/>
          <w:iCs/>
        </w:rPr>
        <w:t xml:space="preserve">linear</w:t>
      </w:r>
      <w:r>
        <w:t xml:space="preserve"> kernel wins, implying the hybrid GLCM+LBP representation is already close to linearly separable — a strong argument for the present project's decision to combine both descriptor families, and a practical gift, since a linear model exports to a browser in a few kilobytes.</w:t>
      </w:r>
    </w:p>
    <w:p>
      <w:pPr>
        <w:pStyle w:val="Heading2"/>
        <w:spacing w:after="120" w:before="300"/>
      </w:pPr>
      <w:r>
        <w:rPr>
          <w:rFonts w:ascii="Calibri" w:cs="Calibri" w:eastAsia="Calibri" w:hAnsi="Calibri"/>
          <w:b/>
          <w:bCs/>
          <w:color w:val="1B2019"/>
          <w:sz w:val="25"/>
          <w:szCs w:val="25"/>
        </w:rPr>
        <w:t xml:space="preserve">3.6 Descriptor foundations</w:t>
      </w:r>
    </w:p>
    <w:p>
      <w:pPr>
        <w:spacing w:after="140" w:line="276"/>
      </w:pPr>
      <w:r>
        <w:t xml:space="preserve">The texture descriptors used throughout stream A2 trace to two canonical papers. Haralick, Shanmugam and Dinstein (1973) introduced the grey-level co-occurrence matrix and the statistical measures (contrast, correlation, energy, homogeneity, entropy) computed from it. Ojala, Pietikäinen and Mäenpää (2002) introduced rotation-invariant uniform Local Binary Patterns, which capture micro-texture — lesion granularity, mould felt, mite stippling — at a cost of a few operations per pixel. Both are cheap enough to reimplement in JavaScript, which is a hard requirement of this project's deployment target.</w:t>
      </w:r>
    </w:p>
    <w:p>
      <w:pPr>
        <w:pStyle w:val="Heading2"/>
        <w:spacing w:after="120" w:before="300"/>
      </w:pPr>
      <w:r>
        <w:rPr>
          <w:rFonts w:ascii="Calibri" w:cs="Calibri" w:eastAsia="Calibri" w:hAnsi="Calibri"/>
          <w:b/>
          <w:bCs/>
          <w:color w:val="1B2019"/>
          <w:sz w:val="25"/>
          <w:szCs w:val="25"/>
        </w:rPr>
        <w:t xml:space="preserve">3.7 Synthesis of stream A2</w:t>
      </w:r>
    </w:p>
    <w:tbl>
      <w:tblPr>
        <w:tblW w:type="dxa" w:w="9360"/>
        <w:tblBorders>
          <w:top w:val="single" w:color="D8DED3" w:sz="4"/>
          <w:left w:val="none" w:color="FFFFFF" w:sz="0"/>
          <w:bottom w:val="single" w:color="D8DED3" w:sz="4"/>
          <w:right w:val="none" w:color="FFFFFF" w:sz="0"/>
          <w:insideH w:val="single" w:color="D8DED3" w:sz="2"/>
          <w:insideV w:val="none" w:color="FFFFFF" w:sz="0"/>
        </w:tblBorders>
      </w:tblPr>
      <w:tblGrid>
        <w:gridCol w:w="1490"/>
        <w:gridCol w:w="1896"/>
        <w:gridCol w:w="1163"/>
        <w:gridCol w:w="1608"/>
        <w:gridCol w:w="1281"/>
        <w:gridCol w:w="1922"/>
      </w:tblGrid>
      <w:tr>
        <w:trPr>
          <w:tblHeader/>
        </w:trPr>
        <w:tc>
          <w:tcPr>
            <w:tcW w:type="dxa" w:w="1490"/>
            <w:shd w:fill="E4EDE6" w:val="clear"/>
            <w:tcMar>
              <w:top w:type="dxa" w:w="70"/>
              <w:left w:type="dxa" w:w="110"/>
              <w:bottom w:type="dxa" w:w="70"/>
              <w:right w:type="dxa" w:w="110"/>
            </w:tcMar>
          </w:tcPr>
          <w:p>
            <w:pPr>
              <w:spacing w:after="0" w:line="250"/>
            </w:pPr>
            <w:r>
              <w:rPr>
                <w:b/>
                <w:bCs/>
                <w:sz w:val="18"/>
                <w:szCs w:val="18"/>
              </w:rPr>
              <w:t xml:space="preserve">Study</w:t>
            </w:r>
          </w:p>
        </w:tc>
        <w:tc>
          <w:tcPr>
            <w:tcW w:type="dxa" w:w="1896"/>
            <w:shd w:fill="E4EDE6" w:val="clear"/>
            <w:tcMar>
              <w:top w:type="dxa" w:w="70"/>
              <w:left w:type="dxa" w:w="110"/>
              <w:bottom w:type="dxa" w:w="70"/>
              <w:right w:type="dxa" w:w="110"/>
            </w:tcMar>
          </w:tcPr>
          <w:p>
            <w:pPr>
              <w:spacing w:after="0" w:line="250"/>
            </w:pPr>
            <w:r>
              <w:rPr>
                <w:b/>
                <w:bCs/>
                <w:sz w:val="18"/>
                <w:szCs w:val="18"/>
              </w:rPr>
              <w:t xml:space="preserve">Features</w:t>
            </w:r>
          </w:p>
        </w:tc>
        <w:tc>
          <w:tcPr>
            <w:tcW w:type="dxa" w:w="1163"/>
            <w:shd w:fill="E4EDE6" w:val="clear"/>
            <w:tcMar>
              <w:top w:type="dxa" w:w="70"/>
              <w:left w:type="dxa" w:w="110"/>
              <w:bottom w:type="dxa" w:w="70"/>
              <w:right w:type="dxa" w:w="110"/>
            </w:tcMar>
          </w:tcPr>
          <w:p>
            <w:pPr>
              <w:spacing w:after="0" w:line="250"/>
            </w:pPr>
            <w:r>
              <w:rPr>
                <w:b/>
                <w:bCs/>
                <w:sz w:val="18"/>
                <w:szCs w:val="18"/>
              </w:rPr>
              <w:t xml:space="preserve">Classifier</w:t>
            </w:r>
          </w:p>
        </w:tc>
        <w:tc>
          <w:tcPr>
            <w:tcW w:type="dxa" w:w="1608"/>
            <w:shd w:fill="E4EDE6" w:val="clear"/>
            <w:tcMar>
              <w:top w:type="dxa" w:w="70"/>
              <w:left w:type="dxa" w:w="110"/>
              <w:bottom w:type="dxa" w:w="70"/>
              <w:right w:type="dxa" w:w="110"/>
            </w:tcMar>
          </w:tcPr>
          <w:p>
            <w:pPr>
              <w:spacing w:after="0" w:line="250"/>
            </w:pPr>
            <w:r>
              <w:rPr>
                <w:b/>
                <w:bCs/>
                <w:sz w:val="18"/>
                <w:szCs w:val="18"/>
              </w:rPr>
              <w:t xml:space="preserve">Dataset</w:t>
            </w:r>
          </w:p>
        </w:tc>
        <w:tc>
          <w:tcPr>
            <w:tcW w:type="dxa" w:w="1281"/>
            <w:shd w:fill="E4EDE6" w:val="clear"/>
            <w:tcMar>
              <w:top w:type="dxa" w:w="70"/>
              <w:left w:type="dxa" w:w="110"/>
              <w:bottom w:type="dxa" w:w="70"/>
              <w:right w:type="dxa" w:w="110"/>
            </w:tcMar>
          </w:tcPr>
          <w:p>
            <w:pPr>
              <w:spacing w:after="0" w:line="250"/>
            </w:pPr>
            <w:r>
              <w:rPr>
                <w:b/>
                <w:bCs/>
                <w:sz w:val="18"/>
                <w:szCs w:val="18"/>
              </w:rPr>
              <w:t xml:space="preserve">Reported accuracy</w:t>
            </w:r>
          </w:p>
        </w:tc>
        <w:tc>
          <w:tcPr>
            <w:tcW w:type="dxa" w:w="1922"/>
            <w:shd w:fill="E4EDE6" w:val="clear"/>
            <w:tcMar>
              <w:top w:type="dxa" w:w="70"/>
              <w:left w:type="dxa" w:w="110"/>
              <w:bottom w:type="dxa" w:w="70"/>
              <w:right w:type="dxa" w:w="110"/>
            </w:tcMar>
          </w:tcPr>
          <w:p>
            <w:pPr>
              <w:spacing w:after="0" w:line="250"/>
            </w:pPr>
            <w:r>
              <w:rPr>
                <w:b/>
                <w:bCs/>
                <w:sz w:val="18"/>
                <w:szCs w:val="18"/>
              </w:rPr>
              <w:t xml:space="preserve">Off-benchmark evidence</w:t>
            </w:r>
          </w:p>
        </w:tc>
      </w:tr>
      <w:tr>
        <w:trPr>
          <w:tblHeader w:val="false"/>
        </w:trPr>
        <w:tc>
          <w:tcPr>
            <w:tcW w:type="dxa" w:w="1490"/>
            <w:tcMar>
              <w:top w:type="dxa" w:w="70"/>
              <w:left w:type="dxa" w:w="110"/>
              <w:bottom w:type="dxa" w:w="70"/>
              <w:right w:type="dxa" w:w="110"/>
            </w:tcMar>
          </w:tcPr>
          <w:p>
            <w:pPr>
              <w:spacing w:after="0" w:line="250"/>
            </w:pPr>
            <w:r>
              <w:rPr>
                <w:sz w:val="18"/>
                <w:szCs w:val="18"/>
              </w:rPr>
              <w:t xml:space="preserve">Rumpf et al. (2010)</w:t>
            </w:r>
          </w:p>
        </w:tc>
        <w:tc>
          <w:tcPr>
            <w:tcW w:type="dxa" w:w="1896"/>
            <w:tcMar>
              <w:top w:type="dxa" w:w="70"/>
              <w:left w:type="dxa" w:w="110"/>
              <w:bottom w:type="dxa" w:w="70"/>
              <w:right w:type="dxa" w:w="110"/>
            </w:tcMar>
          </w:tcPr>
          <w:p>
            <w:pPr>
              <w:spacing w:after="0" w:line="250"/>
            </w:pPr>
            <w:r>
              <w:rPr>
                <w:sz w:val="18"/>
                <w:szCs w:val="18"/>
              </w:rPr>
              <w:t xml:space="preserve">9 spectral vegetation indices</w:t>
            </w:r>
          </w:p>
        </w:tc>
        <w:tc>
          <w:tcPr>
            <w:tcW w:type="dxa" w:w="1163"/>
            <w:tcMar>
              <w:top w:type="dxa" w:w="70"/>
              <w:left w:type="dxa" w:w="110"/>
              <w:bottom w:type="dxa" w:w="70"/>
              <w:right w:type="dxa" w:w="110"/>
            </w:tcMar>
          </w:tcPr>
          <w:p>
            <w:pPr>
              <w:spacing w:after="0" w:line="250"/>
            </w:pPr>
            <w:r>
              <w:rPr>
                <w:sz w:val="18"/>
                <w:szCs w:val="18"/>
              </w:rPr>
              <w:t xml:space="preserve">SVM (RBF)</w:t>
            </w:r>
          </w:p>
        </w:tc>
        <w:tc>
          <w:tcPr>
            <w:tcW w:type="dxa" w:w="1608"/>
            <w:tcMar>
              <w:top w:type="dxa" w:w="70"/>
              <w:left w:type="dxa" w:w="110"/>
              <w:bottom w:type="dxa" w:w="70"/>
              <w:right w:type="dxa" w:w="110"/>
            </w:tcMar>
          </w:tcPr>
          <w:p>
            <w:pPr>
              <w:spacing w:after="0" w:line="250"/>
            </w:pPr>
            <w:r>
              <w:rPr>
                <w:sz w:val="18"/>
                <w:szCs w:val="18"/>
              </w:rPr>
              <w:t xml:space="preserve">Sugar beet, hyperspectral</w:t>
            </w:r>
          </w:p>
        </w:tc>
        <w:tc>
          <w:tcPr>
            <w:tcW w:type="dxa" w:w="1281"/>
            <w:tcMar>
              <w:top w:type="dxa" w:w="70"/>
              <w:left w:type="dxa" w:w="110"/>
              <w:bottom w:type="dxa" w:w="70"/>
              <w:right w:type="dxa" w:w="110"/>
            </w:tcMar>
          </w:tcPr>
          <w:p>
            <w:pPr>
              <w:spacing w:after="0" w:line="250"/>
            </w:pPr>
            <w:r>
              <w:rPr>
                <w:sz w:val="18"/>
                <w:szCs w:val="18"/>
              </w:rPr>
              <w:t xml:space="preserve">≤ 97% (binary), &gt; 86% (3-class)</w:t>
            </w:r>
          </w:p>
        </w:tc>
        <w:tc>
          <w:tcPr>
            <w:tcW w:type="dxa" w:w="1922"/>
            <w:tcMar>
              <w:top w:type="dxa" w:w="70"/>
              <w:left w:type="dxa" w:w="110"/>
              <w:bottom w:type="dxa" w:w="70"/>
              <w:right w:type="dxa" w:w="110"/>
            </w:tcMar>
          </w:tcPr>
          <w:p>
            <w:pPr>
              <w:spacing w:after="0" w:line="250"/>
            </w:pPr>
            <w:r>
              <w:rPr>
                <w:sz w:val="18"/>
                <w:szCs w:val="18"/>
              </w:rPr>
              <w:t xml:space="preserve">Pre-symptomatic detection demonstrated</w:t>
            </w:r>
          </w:p>
        </w:tc>
      </w:tr>
      <w:tr>
        <w:trPr>
          <w:tblHeader w:val="false"/>
        </w:trPr>
        <w:tc>
          <w:tcPr>
            <w:tcW w:type="dxa" w:w="1490"/>
            <w:tcMar>
              <w:top w:type="dxa" w:w="70"/>
              <w:left w:type="dxa" w:w="110"/>
              <w:bottom w:type="dxa" w:w="70"/>
              <w:right w:type="dxa" w:w="110"/>
            </w:tcMar>
          </w:tcPr>
          <w:p>
            <w:pPr>
              <w:spacing w:after="0" w:line="250"/>
            </w:pPr>
            <w:r>
              <w:rPr>
                <w:sz w:val="18"/>
                <w:szCs w:val="18"/>
              </w:rPr>
              <w:t xml:space="preserve">Singh &amp; Misra (2017)</w:t>
            </w:r>
          </w:p>
        </w:tc>
        <w:tc>
          <w:tcPr>
            <w:tcW w:type="dxa" w:w="1896"/>
            <w:tcMar>
              <w:top w:type="dxa" w:w="70"/>
              <w:left w:type="dxa" w:w="110"/>
              <w:bottom w:type="dxa" w:w="70"/>
              <w:right w:type="dxa" w:w="110"/>
            </w:tcMar>
          </w:tcPr>
          <w:p>
            <w:pPr>
              <w:spacing w:after="0" w:line="250"/>
            </w:pPr>
            <w:r>
              <w:rPr>
                <w:sz w:val="18"/>
                <w:szCs w:val="18"/>
              </w:rPr>
              <w:t xml:space="preserve">Colour + texture on GA-segmented lesion</w:t>
            </w:r>
          </w:p>
        </w:tc>
        <w:tc>
          <w:tcPr>
            <w:tcW w:type="dxa" w:w="1163"/>
            <w:tcMar>
              <w:top w:type="dxa" w:w="70"/>
              <w:left w:type="dxa" w:w="110"/>
              <w:bottom w:type="dxa" w:w="70"/>
              <w:right w:type="dxa" w:w="110"/>
            </w:tcMar>
          </w:tcPr>
          <w:p>
            <w:pPr>
              <w:spacing w:after="0" w:line="250"/>
            </w:pPr>
            <w:r>
              <w:rPr>
                <w:sz w:val="18"/>
                <w:szCs w:val="18"/>
              </w:rPr>
              <w:t xml:space="preserve">SVM / min-distance</w:t>
            </w:r>
          </w:p>
        </w:tc>
        <w:tc>
          <w:tcPr>
            <w:tcW w:type="dxa" w:w="1608"/>
            <w:tcMar>
              <w:top w:type="dxa" w:w="70"/>
              <w:left w:type="dxa" w:w="110"/>
              <w:bottom w:type="dxa" w:w="70"/>
              <w:right w:type="dxa" w:w="110"/>
            </w:tcMar>
          </w:tcPr>
          <w:p>
            <w:pPr>
              <w:spacing w:after="0" w:line="250"/>
            </w:pPr>
            <w:r>
              <w:rPr>
                <w:sz w:val="18"/>
                <w:szCs w:val="18"/>
              </w:rPr>
              <w:t xml:space="preserve">8 crops, mixed</w:t>
            </w:r>
          </w:p>
        </w:tc>
        <w:tc>
          <w:tcPr>
            <w:tcW w:type="dxa" w:w="1281"/>
            <w:tcMar>
              <w:top w:type="dxa" w:w="70"/>
              <w:left w:type="dxa" w:w="110"/>
              <w:bottom w:type="dxa" w:w="70"/>
              <w:right w:type="dxa" w:w="110"/>
            </w:tcMar>
          </w:tcPr>
          <w:p>
            <w:pPr>
              <w:spacing w:after="0" w:line="250"/>
            </w:pPr>
            <w:r>
              <w:rPr>
                <w:sz w:val="18"/>
                <w:szCs w:val="18"/>
              </w:rPr>
              <w:t xml:space="preserve">mid-90s (verify)</w:t>
            </w:r>
          </w:p>
        </w:tc>
        <w:tc>
          <w:tcPr>
            <w:tcW w:type="dxa" w:w="1922"/>
            <w:tcMar>
              <w:top w:type="dxa" w:w="70"/>
              <w:left w:type="dxa" w:w="110"/>
              <w:bottom w:type="dxa" w:w="70"/>
              <w:right w:type="dxa" w:w="110"/>
            </w:tcMar>
          </w:tcPr>
          <w:p>
            <w:pPr>
              <w:spacing w:after="0" w:line="250"/>
            </w:pPr>
            <w:r>
              <w:rPr>
                <w:sz w:val="18"/>
                <w:szCs w:val="18"/>
              </w:rPr>
              <w:t xml:space="preserve">Not reported</w:t>
            </w:r>
          </w:p>
        </w:tc>
      </w:tr>
      <w:tr>
        <w:trPr>
          <w:tblHeader w:val="false"/>
        </w:trPr>
        <w:tc>
          <w:tcPr>
            <w:tcW w:type="dxa" w:w="1490"/>
            <w:tcMar>
              <w:top w:type="dxa" w:w="70"/>
              <w:left w:type="dxa" w:w="110"/>
              <w:bottom w:type="dxa" w:w="70"/>
              <w:right w:type="dxa" w:w="110"/>
            </w:tcMar>
          </w:tcPr>
          <w:p>
            <w:pPr>
              <w:spacing w:after="0" w:line="250"/>
            </w:pPr>
            <w:r>
              <w:rPr>
                <w:sz w:val="18"/>
                <w:szCs w:val="18"/>
              </w:rPr>
              <w:t xml:space="preserve">Ahmed et al. (2021)</w:t>
            </w:r>
          </w:p>
        </w:tc>
        <w:tc>
          <w:tcPr>
            <w:tcW w:type="dxa" w:w="1896"/>
            <w:tcMar>
              <w:top w:type="dxa" w:w="70"/>
              <w:left w:type="dxa" w:w="110"/>
              <w:bottom w:type="dxa" w:w="70"/>
              <w:right w:type="dxa" w:w="110"/>
            </w:tcMar>
          </w:tcPr>
          <w:p>
            <w:pPr>
              <w:spacing w:after="0" w:line="250"/>
            </w:pPr>
            <w:r>
              <w:rPr>
                <w:sz w:val="18"/>
                <w:szCs w:val="18"/>
              </w:rPr>
              <w:t xml:space="preserve">6 colour + 22 GLCM</w:t>
            </w:r>
          </w:p>
        </w:tc>
        <w:tc>
          <w:tcPr>
            <w:tcW w:type="dxa" w:w="1163"/>
            <w:tcMar>
              <w:top w:type="dxa" w:w="70"/>
              <w:left w:type="dxa" w:w="110"/>
              <w:bottom w:type="dxa" w:w="70"/>
              <w:right w:type="dxa" w:w="110"/>
            </w:tcMar>
          </w:tcPr>
          <w:p>
            <w:pPr>
              <w:spacing w:after="0" w:line="250"/>
            </w:pPr>
            <w:r>
              <w:rPr>
                <w:sz w:val="18"/>
                <w:szCs w:val="18"/>
              </w:rPr>
              <w:t xml:space="preserve">SVM</w:t>
            </w:r>
          </w:p>
        </w:tc>
        <w:tc>
          <w:tcPr>
            <w:tcW w:type="dxa" w:w="1608"/>
            <w:tcMar>
              <w:top w:type="dxa" w:w="70"/>
              <w:left w:type="dxa" w:w="110"/>
              <w:bottom w:type="dxa" w:w="70"/>
              <w:right w:type="dxa" w:w="110"/>
            </w:tcMar>
          </w:tcPr>
          <w:p>
            <w:pPr>
              <w:spacing w:after="0" w:line="250"/>
            </w:pPr>
            <w:r>
              <w:rPr>
                <w:sz w:val="18"/>
                <w:szCs w:val="18"/>
              </w:rPr>
              <w:t xml:space="preserve">PlantVillage-style + self-collected</w:t>
            </w:r>
          </w:p>
        </w:tc>
        <w:tc>
          <w:tcPr>
            <w:tcW w:type="dxa" w:w="1281"/>
            <w:tcMar>
              <w:top w:type="dxa" w:w="70"/>
              <w:left w:type="dxa" w:w="110"/>
              <w:bottom w:type="dxa" w:w="70"/>
              <w:right w:type="dxa" w:w="110"/>
            </w:tcMar>
          </w:tcPr>
          <w:p>
            <w:pPr>
              <w:spacing w:after="0" w:line="250"/>
            </w:pPr>
            <w:r>
              <w:rPr>
                <w:sz w:val="18"/>
                <w:szCs w:val="18"/>
              </w:rPr>
              <w:t xml:space="preserve">98.79% ± 0.57 (10-fold)</w:t>
            </w:r>
          </w:p>
        </w:tc>
        <w:tc>
          <w:tcPr>
            <w:tcW w:type="dxa" w:w="1922"/>
            <w:tcMar>
              <w:top w:type="dxa" w:w="70"/>
              <w:left w:type="dxa" w:w="110"/>
              <w:bottom w:type="dxa" w:w="70"/>
              <w:right w:type="dxa" w:w="110"/>
            </w:tcMar>
          </w:tcPr>
          <w:p>
            <w:pPr>
              <w:spacing w:after="0" w:line="250"/>
            </w:pPr>
            <w:r>
              <w:rPr>
                <w:b/>
                <w:bCs/>
                <w:sz w:val="18"/>
                <w:szCs w:val="18"/>
              </w:rPr>
              <w:t xml:space="preserve">82.47%</w:t>
            </w:r>
            <w:r>
              <w:rPr>
                <w:sz w:val="18"/>
                <w:szCs w:val="18"/>
              </w:rPr>
              <w:t xml:space="preserve"> on self-collected</w:t>
            </w:r>
          </w:p>
        </w:tc>
      </w:tr>
      <w:tr>
        <w:trPr>
          <w:tblHeader w:val="false"/>
        </w:trPr>
        <w:tc>
          <w:tcPr>
            <w:tcW w:type="dxa" w:w="1490"/>
            <w:tcMar>
              <w:top w:type="dxa" w:w="70"/>
              <w:left w:type="dxa" w:w="110"/>
              <w:bottom w:type="dxa" w:w="70"/>
              <w:right w:type="dxa" w:w="110"/>
            </w:tcMar>
          </w:tcPr>
          <w:p>
            <w:pPr>
              <w:spacing w:after="0" w:line="250"/>
            </w:pPr>
            <w:r>
              <w:rPr>
                <w:sz w:val="18"/>
                <w:szCs w:val="18"/>
              </w:rPr>
              <w:t xml:space="preserve">Tabbakh &amp; Barpanda (2022)</w:t>
            </w:r>
          </w:p>
        </w:tc>
        <w:tc>
          <w:tcPr>
            <w:tcW w:type="dxa" w:w="1896"/>
            <w:tcMar>
              <w:top w:type="dxa" w:w="70"/>
              <w:left w:type="dxa" w:w="110"/>
              <w:bottom w:type="dxa" w:w="70"/>
              <w:right w:type="dxa" w:w="110"/>
            </w:tcMar>
          </w:tcPr>
          <w:p>
            <w:pPr>
              <w:spacing w:after="0" w:line="250"/>
            </w:pPr>
            <w:r>
              <w:rPr>
                <w:sz w:val="18"/>
                <w:szCs w:val="18"/>
              </w:rPr>
              <w:t xml:space="preserve">Modified GLCM + wavelet statistics</w:t>
            </w:r>
          </w:p>
        </w:tc>
        <w:tc>
          <w:tcPr>
            <w:tcW w:type="dxa" w:w="1163"/>
            <w:tcMar>
              <w:top w:type="dxa" w:w="70"/>
              <w:left w:type="dxa" w:w="110"/>
              <w:bottom w:type="dxa" w:w="70"/>
              <w:right w:type="dxa" w:w="110"/>
            </w:tcMar>
          </w:tcPr>
          <w:p>
            <w:pPr>
              <w:spacing w:after="0" w:line="250"/>
            </w:pPr>
            <w:r>
              <w:rPr>
                <w:sz w:val="18"/>
                <w:szCs w:val="18"/>
              </w:rPr>
              <w:t xml:space="preserve">LightGBM (best of 6)</w:t>
            </w:r>
          </w:p>
        </w:tc>
        <w:tc>
          <w:tcPr>
            <w:tcW w:type="dxa" w:w="1608"/>
            <w:tcMar>
              <w:top w:type="dxa" w:w="70"/>
              <w:left w:type="dxa" w:w="110"/>
              <w:bottom w:type="dxa" w:w="70"/>
              <w:right w:type="dxa" w:w="110"/>
            </w:tcMar>
          </w:tcPr>
          <w:p>
            <w:pPr>
              <w:spacing w:after="0" w:line="250"/>
            </w:pPr>
            <w:r>
              <w:rPr>
                <w:sz w:val="18"/>
                <w:szCs w:val="18"/>
              </w:rPr>
              <w:t xml:space="preserve">Plant disease imagery</w:t>
            </w:r>
          </w:p>
        </w:tc>
        <w:tc>
          <w:tcPr>
            <w:tcW w:type="dxa" w:w="1281"/>
            <w:tcMar>
              <w:top w:type="dxa" w:w="70"/>
              <w:left w:type="dxa" w:w="110"/>
              <w:bottom w:type="dxa" w:w="70"/>
              <w:right w:type="dxa" w:w="110"/>
            </w:tcMar>
          </w:tcPr>
          <w:p>
            <w:pPr>
              <w:spacing w:after="0" w:line="250"/>
            </w:pPr>
            <w:r>
              <w:rPr>
                <w:sz w:val="18"/>
                <w:szCs w:val="18"/>
              </w:rPr>
              <w:t xml:space="preserve">94.76%</w:t>
            </w:r>
          </w:p>
        </w:tc>
        <w:tc>
          <w:tcPr>
            <w:tcW w:type="dxa" w:w="1922"/>
            <w:tcMar>
              <w:top w:type="dxa" w:w="70"/>
              <w:left w:type="dxa" w:w="110"/>
              <w:bottom w:type="dxa" w:w="70"/>
              <w:right w:type="dxa" w:w="110"/>
            </w:tcMar>
          </w:tcPr>
          <w:p>
            <w:pPr>
              <w:spacing w:after="0" w:line="250"/>
            </w:pPr>
            <w:r>
              <w:rPr>
                <w:sz w:val="18"/>
                <w:szCs w:val="18"/>
              </w:rPr>
              <w:t xml:space="preserve">Segmented vs. original compared</w:t>
            </w:r>
          </w:p>
        </w:tc>
      </w:tr>
      <w:tr>
        <w:trPr>
          <w:tblHeader w:val="false"/>
        </w:trPr>
        <w:tc>
          <w:tcPr>
            <w:tcW w:type="dxa" w:w="1490"/>
            <w:tcMar>
              <w:top w:type="dxa" w:w="70"/>
              <w:left w:type="dxa" w:w="110"/>
              <w:bottom w:type="dxa" w:w="70"/>
              <w:right w:type="dxa" w:w="110"/>
            </w:tcMar>
          </w:tcPr>
          <w:p>
            <w:pPr>
              <w:spacing w:after="0" w:line="250"/>
            </w:pPr>
            <w:r>
              <w:rPr>
                <w:sz w:val="18"/>
                <w:szCs w:val="18"/>
              </w:rPr>
              <w:t xml:space="preserve">Sridhar &amp; Angamuthu (2025)</w:t>
            </w:r>
          </w:p>
        </w:tc>
        <w:tc>
          <w:tcPr>
            <w:tcW w:type="dxa" w:w="1896"/>
            <w:tcMar>
              <w:top w:type="dxa" w:w="70"/>
              <w:left w:type="dxa" w:w="110"/>
              <w:bottom w:type="dxa" w:w="70"/>
              <w:right w:type="dxa" w:w="110"/>
            </w:tcMar>
          </w:tcPr>
          <w:p>
            <w:pPr>
              <w:spacing w:after="0" w:line="250"/>
            </w:pPr>
            <w:r>
              <w:rPr>
                <w:sz w:val="18"/>
                <w:szCs w:val="18"/>
              </w:rPr>
              <w:t xml:space="preserve">GLCM + LBP hybrid</w:t>
            </w:r>
          </w:p>
        </w:tc>
        <w:tc>
          <w:tcPr>
            <w:tcW w:type="dxa" w:w="1163"/>
            <w:tcMar>
              <w:top w:type="dxa" w:w="70"/>
              <w:left w:type="dxa" w:w="110"/>
              <w:bottom w:type="dxa" w:w="70"/>
              <w:right w:type="dxa" w:w="110"/>
            </w:tcMar>
          </w:tcPr>
          <w:p>
            <w:pPr>
              <w:spacing w:after="0" w:line="250"/>
            </w:pPr>
            <w:r>
              <w:rPr>
                <w:sz w:val="18"/>
                <w:szCs w:val="18"/>
              </w:rPr>
              <w:t xml:space="preserve">Multiclass SVM, linear kernel</w:t>
            </w:r>
          </w:p>
        </w:tc>
        <w:tc>
          <w:tcPr>
            <w:tcW w:type="dxa" w:w="1608"/>
            <w:tcMar>
              <w:top w:type="dxa" w:w="70"/>
              <w:left w:type="dxa" w:w="110"/>
              <w:bottom w:type="dxa" w:w="70"/>
              <w:right w:type="dxa" w:w="110"/>
            </w:tcMar>
          </w:tcPr>
          <w:p>
            <w:pPr>
              <w:spacing w:after="0" w:line="250"/>
            </w:pPr>
            <w:r>
              <w:rPr>
                <w:sz w:val="18"/>
                <w:szCs w:val="18"/>
              </w:rPr>
              <w:t xml:space="preserve">9,111 images, 4 crops</w:t>
            </w:r>
          </w:p>
        </w:tc>
        <w:tc>
          <w:tcPr>
            <w:tcW w:type="dxa" w:w="1281"/>
            <w:tcMar>
              <w:top w:type="dxa" w:w="70"/>
              <w:left w:type="dxa" w:w="110"/>
              <w:bottom w:type="dxa" w:w="70"/>
              <w:right w:type="dxa" w:w="110"/>
            </w:tcMar>
          </w:tcPr>
          <w:p>
            <w:pPr>
              <w:spacing w:after="0" w:line="250"/>
            </w:pPr>
            <w:r>
              <w:rPr>
                <w:sz w:val="18"/>
                <w:szCs w:val="18"/>
              </w:rPr>
              <w:t xml:space="preserve">99.0%</w:t>
            </w:r>
          </w:p>
        </w:tc>
        <w:tc>
          <w:tcPr>
            <w:tcW w:type="dxa" w:w="1922"/>
            <w:tcMar>
              <w:top w:type="dxa" w:w="70"/>
              <w:left w:type="dxa" w:w="110"/>
              <w:bottom w:type="dxa" w:w="70"/>
              <w:right w:type="dxa" w:w="110"/>
            </w:tcMar>
          </w:tcPr>
          <w:p>
            <w:pPr>
              <w:spacing w:after="0" w:line="250"/>
            </w:pPr>
            <w:r>
              <w:rPr>
                <w:sz w:val="18"/>
                <w:szCs w:val="18"/>
              </w:rPr>
              <w:t xml:space="preserve">5-fold stratified CV</w:t>
            </w:r>
          </w:p>
        </w:tc>
      </w:tr>
    </w:tbl>
    <w:p>
      <w:pPr>
        <w:spacing w:after="200"/>
      </w:pPr>
      <w:r>
        <w:t xml:space="preserve"/>
      </w:r>
    </w:p>
    <w:p>
      <w:pPr>
        <w:spacing w:after="140" w:line="276"/>
      </w:pPr>
      <w:r>
        <w:rPr>
          <w:b/>
          <w:bCs/>
        </w:rPr>
        <w:t xml:space="preserve">Reading of the table.</w:t>
      </w:r>
      <w:r>
        <w:t xml:space="preserve"> Classical pipelines built on colour statistics plus GLCM/LBP texture reliably reach the low-to-high 90s on curated datasets. They do </w:t>
      </w:r>
      <w:r>
        <w:rPr>
          <w:i/>
          <w:iCs/>
        </w:rPr>
        <w:t xml:space="preserve">not</w:t>
      </w:r>
      <w:r>
        <w:t xml:space="preserve"> reliably transfer to uncontrolled imagery — and only Ahmed et al. actually measured that. The honest performance envelope for this project is therefore "≥ 90% macro-F1 on a controlled benchmark, with a measured and reported drop in the field", not "99%".</w:t>
      </w:r>
    </w:p>
    <w:p>
      <w:pPr>
        <w:pBdr>
          <w:bottom w:val="single" w:color="D8DED3" w:sz="6" w:space="1"/>
        </w:pBdr>
        <w:spacing w:after="180" w:before="180"/>
      </w:pPr>
      <w:r>
        <w:t xml:space="preserve"/>
      </w:r>
    </w:p>
    <w:p>
      <w:pPr>
        <w:pStyle w:val="Heading1"/>
        <w:spacing w:after="160" w:before="380"/>
      </w:pPr>
      <w:r>
        <w:rPr>
          <w:rFonts w:ascii="Calibri" w:cs="Calibri" w:eastAsia="Calibri" w:hAnsi="Calibri"/>
          <w:b/>
          <w:bCs/>
          <w:color w:val="1F5C3A"/>
          <w:sz w:val="30"/>
          <w:szCs w:val="30"/>
        </w:rPr>
        <w:t xml:space="preserve">4. Stream A3/A4 — Deep Learning and Its Documented Limits</w:t>
      </w:r>
    </w:p>
    <w:p>
      <w:pPr>
        <w:pStyle w:val="Heading2"/>
        <w:spacing w:after="120" w:before="300"/>
      </w:pPr>
      <w:r>
        <w:rPr>
          <w:rFonts w:ascii="Calibri" w:cs="Calibri" w:eastAsia="Calibri" w:hAnsi="Calibri"/>
          <w:b/>
          <w:bCs/>
          <w:color w:val="1B2019"/>
          <w:sz w:val="25"/>
          <w:szCs w:val="25"/>
        </w:rPr>
        <w:t xml:space="preserve">4.1 The founding results</w:t>
      </w:r>
    </w:p>
    <w:p>
      <w:pPr>
        <w:spacing w:after="140" w:line="276"/>
      </w:pPr>
      <w:r>
        <w:rPr>
          <w:b/>
          <w:bCs/>
        </w:rPr>
        <w:t xml:space="preserve">Hughes and Salathé (2015)</w:t>
      </w:r>
      <w:r>
        <w:t xml:space="preserve"> released the PlantVillage corpus — over 54,000 expert-annotated leaf images spanning 38 crop–disease pairs across 14 species — and in doing so created the benchmark that the entire field standardised on.</w:t>
      </w:r>
    </w:p>
    <w:p>
      <w:pPr>
        <w:spacing w:after="140" w:line="276"/>
      </w:pPr>
      <w:r>
        <w:rPr>
          <w:b/>
          <w:bCs/>
        </w:rPr>
        <w:t xml:space="preserve">Mohanty, Hughes and Salathé (2016)</w:t>
      </w:r>
      <w:r>
        <w:t xml:space="preserve">, in </w:t>
      </w:r>
      <w:r>
        <w:rPr>
          <w:i/>
          <w:iCs/>
        </w:rPr>
        <w:t xml:space="preserve">Frontiers in Plant Science</w:t>
      </w:r>
      <w:r>
        <w:t xml:space="preserve">, trained AlexNet and GoogLeNet on that corpus and reported </w:t>
      </w:r>
      <w:r>
        <w:rPr>
          <w:b/>
          <w:bCs/>
        </w:rPr>
        <w:t xml:space="preserve">99.35% accuracy</w:t>
      </w:r>
      <w:r>
        <w:t xml:space="preserve"> on a held-out split. It is one of the most cited papers in agricultural computing. It also contains its own most important caveat: on images taken under conditions different from the training set, accuracy fell to around </w:t>
      </w:r>
      <w:r>
        <w:rPr>
          <w:b/>
          <w:bCs/>
        </w:rPr>
        <w:t xml:space="preserve">31%</w:t>
      </w:r>
      <w:r>
        <w:t xml:space="preserve">.</w:t>
      </w:r>
    </w:p>
    <w:p>
      <w:pPr>
        <w:spacing w:after="140" w:line="276"/>
      </w:pPr>
      <w:r>
        <w:rPr>
          <w:b/>
          <w:bCs/>
        </w:rPr>
        <w:t xml:space="preserve">Ferentinos (2018)</w:t>
      </w:r>
      <w:r>
        <w:t xml:space="preserve">, in </w:t>
      </w:r>
      <w:r>
        <w:rPr>
          <w:i/>
          <w:iCs/>
        </w:rPr>
        <w:t xml:space="preserve">Computers and Electronics in Agriculture</w:t>
      </w:r>
      <w:r>
        <w:t xml:space="preserve"> (145, 311–318), extended this to an expanded 87,848-image, 58-class database and reported </w:t>
      </w:r>
      <w:r>
        <w:rPr>
          <w:b/>
          <w:bCs/>
        </w:rPr>
        <w:t xml:space="preserve">99.53%</w:t>
      </w:r>
      <w:r>
        <w:t xml:space="preserve"> with a VGG-derived architecture — while noting that performance on real field conditions was substantially lower.</w:t>
      </w:r>
    </w:p>
    <w:p>
      <w:pPr>
        <w:spacing w:after="140" w:line="276"/>
      </w:pPr>
      <w:r>
        <w:rPr>
          <w:b/>
          <w:bCs/>
        </w:rPr>
        <w:t xml:space="preserve">Too et al. (2019)</w:t>
      </w:r>
      <w:r>
        <w:t xml:space="preserve"> (</w:t>
      </w:r>
      <w:r>
        <w:rPr>
          <w:i/>
          <w:iCs/>
        </w:rPr>
        <w:t xml:space="preserve">Computers and Electronics in Agriculture</w:t>
      </w:r>
      <w:r>
        <w:t xml:space="preserve">, 161, 272–279) systematically compared fine-tuned VGG16, Inception-V4, ResNet-50/101/152 and DenseNet-121, finding DenseNet best on accuracy-per-parameter. Their contribution to the present project is a </w:t>
      </w:r>
      <w:r>
        <w:rPr>
          <w:i/>
          <w:iCs/>
        </w:rPr>
        <w:t xml:space="preserve">cost</w:t>
      </w:r>
      <w:r>
        <w:t xml:space="preserve"> baseline: even the most parameter-efficient of these models is orders of magnitude larger than anything that can be shipped inside a static web page.</w:t>
      </w:r>
    </w:p>
    <w:p>
      <w:pPr>
        <w:pStyle w:val="Heading2"/>
        <w:spacing w:after="120" w:before="300"/>
      </w:pPr>
      <w:r>
        <w:rPr>
          <w:rFonts w:ascii="Calibri" w:cs="Calibri" w:eastAsia="Calibri" w:hAnsi="Calibri"/>
          <w:b/>
          <w:bCs/>
          <w:color w:val="1B2019"/>
          <w:sz w:val="25"/>
          <w:szCs w:val="25"/>
        </w:rPr>
        <w:t xml:space="preserve">4.2 The critiques that matter</w:t>
      </w:r>
    </w:p>
    <w:p>
      <w:pPr>
        <w:spacing w:after="140" w:line="276"/>
      </w:pPr>
      <w:r>
        <w:rPr>
          <w:b/>
          <w:bCs/>
        </w:rPr>
        <w:t xml:space="preserve">Barbedo (2018)</w:t>
      </w:r>
      <w:r>
        <w:t xml:space="preserve"> (</w:t>
      </w:r>
      <w:r>
        <w:rPr>
          <w:i/>
          <w:iCs/>
        </w:rPr>
        <w:t xml:space="preserve">Computers and Electronics in Agriculture</w:t>
      </w:r>
      <w:r>
        <w:t xml:space="preserve">, 153, 46–53) tested how dataset size and, more importantly, </w:t>
      </w:r>
      <w:r>
        <w:rPr>
          <w:i/>
          <w:iCs/>
        </w:rPr>
        <w:t xml:space="preserve">variety</w:t>
      </w:r>
      <w:r>
        <w:t xml:space="preserve"> affect deep and transfer learning for plant disease classification. The finding: performance is limited far more by the lack of variety in the imagery — uniform backgrounds, single leaves, controlled lighting, one image per condition — than by the number of images. Adding more of the same kind of image does not produce a model that works in a field.</w:t>
      </w:r>
    </w:p>
    <w:p>
      <w:pPr>
        <w:spacing w:after="140" w:line="276"/>
      </w:pPr>
      <w:r>
        <w:rPr>
          <w:b/>
          <w:bCs/>
        </w:rPr>
        <w:t xml:space="preserve">Singh, Jain, Jain, Kayal, Kumawat and Batra (2020)</w:t>
      </w:r>
      <w:r>
        <w:t xml:space="preserve">, in their CoDS-COMAD paper introducing </w:t>
      </w:r>
      <w:r>
        <w:rPr>
          <w:b/>
          <w:bCs/>
        </w:rPr>
        <w:t xml:space="preserve">PlantDoc</w:t>
      </w:r>
      <w:r>
        <w:t xml:space="preserve">, made the point empirically. PlantDoc contains ~2,598 images of 13 species and 17 disease classes photographed </w:t>
      </w:r>
      <w:r>
        <w:rPr>
          <w:i/>
          <w:iCs/>
        </w:rPr>
        <w:t xml:space="preserve">in situ</w:t>
      </w:r>
      <w:r>
        <w:t xml:space="preserve">, with real backgrounds, occlusion and variable lighting. Models trained on PlantVillage degrade badly on it; training that includes in-the-wild data reduced classification error substantially. PlantDoc is now the standard instrument for measuring the laboratory-to-field gap.</w:t>
      </w:r>
    </w:p>
    <w:p>
      <w:pPr>
        <w:pStyle w:val="Heading2"/>
        <w:spacing w:after="120" w:before="300"/>
      </w:pPr>
      <w:r>
        <w:rPr>
          <w:rFonts w:ascii="Calibri" w:cs="Calibri" w:eastAsia="Calibri" w:hAnsi="Calibri"/>
          <w:b/>
          <w:bCs/>
          <w:color w:val="1B2019"/>
          <w:sz w:val="25"/>
          <w:szCs w:val="25"/>
        </w:rPr>
        <w:t xml:space="preserve">4.3 What this means for the present project</w:t>
      </w:r>
    </w:p>
    <w:p>
      <w:pPr>
        <w:spacing w:after="140" w:line="276"/>
      </w:pPr>
      <w:r>
        <w:t xml:space="preserve">The deep-learning literature has effectively converged on two conclusions, both of which the present project builds on rather than contests:</w:t>
      </w:r>
    </w:p>
    <w:p>
      <w:pPr>
        <w:pStyle w:val="ListParagraph"/>
        <w:numPr>
          <w:ilvl w:val="0"/>
          <w:numId w:val="2"/>
        </w:numPr>
        <w:spacing w:after="70" w:line="276"/>
      </w:pPr>
      <w:r>
        <w:t xml:space="preserve">On PlantVillage-style data, the benchmark is </w:t>
      </w:r>
      <w:r>
        <w:rPr>
          <w:b/>
          <w:bCs/>
        </w:rPr>
        <w:t xml:space="preserve">saturated</w:t>
      </w:r>
      <w:r>
        <w:t xml:space="preserve">. Reporting another 99% on it adds nothing.</w:t>
      </w:r>
    </w:p>
    <w:p>
      <w:pPr>
        <w:pStyle w:val="ListParagraph"/>
        <w:numPr>
          <w:ilvl w:val="0"/>
          <w:numId w:val="2"/>
        </w:numPr>
        <w:spacing w:after="70" w:line="276"/>
      </w:pPr>
      <w:r>
        <w:t xml:space="preserve">The remaining hard problems are </w:t>
      </w:r>
      <w:r>
        <w:rPr>
          <w:b/>
          <w:bCs/>
        </w:rPr>
        <w:t xml:space="preserve">generalisation</w:t>
      </w:r>
      <w:r>
        <w:t xml:space="preserve"> and </w:t>
      </w:r>
      <w:r>
        <w:rPr>
          <w:b/>
          <w:bCs/>
        </w:rPr>
        <w:t xml:space="preserve">deployability</w:t>
      </w:r>
      <w:r>
        <w:t xml:space="preserve"> — neither of which is solved by a larger network.</w:t>
      </w:r>
    </w:p>
    <w:p>
      <w:pPr>
        <w:spacing w:after="140" w:line="276"/>
      </w:pPr>
      <w:r>
        <w:t xml:space="preserve">This reframes the classical approach. Choosing hand-crafted features over a CNN costs a few points of accuracy on a saturated benchmark and buys: a model measured in kilobytes rather than megabytes, CPU-only training, offline browser execution with no server, and per-feature interpretability. Under Barbedo's finding — that the benchmark ceiling is a dataset artefact, not a model artefact — that trade is defensible rather than merely economical.</w:t>
      </w:r>
    </w:p>
    <w:p>
      <w:pPr>
        <w:pBdr>
          <w:bottom w:val="single" w:color="D8DED3" w:sz="6" w:space="1"/>
        </w:pBdr>
        <w:spacing w:after="180" w:before="180"/>
      </w:pPr>
      <w:r>
        <w:t xml:space="preserve"/>
      </w:r>
    </w:p>
    <w:p>
      <w:pPr>
        <w:pStyle w:val="Heading1"/>
        <w:spacing w:after="160" w:before="380"/>
      </w:pPr>
      <w:r>
        <w:rPr>
          <w:rFonts w:ascii="Calibri" w:cs="Calibri" w:eastAsia="Calibri" w:hAnsi="Calibri"/>
          <w:b/>
          <w:bCs/>
          <w:color w:val="1F5C3A"/>
          <w:sz w:val="30"/>
          <w:szCs w:val="30"/>
        </w:rPr>
        <w:t xml:space="preserve">5. Datasets — Comparative Review</w:t>
      </w:r>
    </w:p>
    <w:tbl>
      <w:tblPr>
        <w:tblW w:type="dxa" w:w="9360"/>
        <w:tblBorders>
          <w:top w:val="single" w:color="D8DED3" w:sz="4"/>
          <w:left w:val="none" w:color="FFFFFF" w:sz="0"/>
          <w:bottom w:val="single" w:color="D8DED3" w:sz="4"/>
          <w:right w:val="none" w:color="FFFFFF" w:sz="0"/>
          <w:insideH w:val="single" w:color="D8DED3" w:sz="2"/>
          <w:insideV w:val="none" w:color="FFFFFF" w:sz="0"/>
        </w:tblBorders>
      </w:tblPr>
      <w:tblGrid>
        <w:gridCol w:w="2195"/>
        <w:gridCol w:w="900"/>
        <w:gridCol w:w="1276"/>
        <w:gridCol w:w="1876"/>
        <w:gridCol w:w="3113"/>
      </w:tblGrid>
      <w:tr>
        <w:trPr>
          <w:tblHeader/>
        </w:trPr>
        <w:tc>
          <w:tcPr>
            <w:tcW w:type="dxa" w:w="2195"/>
            <w:shd w:fill="E4EDE6" w:val="clear"/>
            <w:tcMar>
              <w:top w:type="dxa" w:w="70"/>
              <w:left w:type="dxa" w:w="110"/>
              <w:bottom w:type="dxa" w:w="70"/>
              <w:right w:type="dxa" w:w="110"/>
            </w:tcMar>
          </w:tcPr>
          <w:p>
            <w:pPr>
              <w:spacing w:after="0" w:line="250"/>
            </w:pPr>
            <w:r>
              <w:rPr>
                <w:b/>
                <w:bCs/>
                <w:sz w:val="18"/>
                <w:szCs w:val="18"/>
              </w:rPr>
              <w:t xml:space="preserve">Dataset</w:t>
            </w:r>
          </w:p>
        </w:tc>
        <w:tc>
          <w:tcPr>
            <w:tcW w:type="dxa" w:w="900"/>
            <w:shd w:fill="E4EDE6" w:val="clear"/>
            <w:tcMar>
              <w:top w:type="dxa" w:w="70"/>
              <w:left w:type="dxa" w:w="110"/>
              <w:bottom w:type="dxa" w:w="70"/>
              <w:right w:type="dxa" w:w="110"/>
            </w:tcMar>
          </w:tcPr>
          <w:p>
            <w:pPr>
              <w:spacing w:after="0" w:line="250"/>
            </w:pPr>
            <w:r>
              <w:rPr>
                <w:b/>
                <w:bCs/>
                <w:sz w:val="18"/>
                <w:szCs w:val="18"/>
              </w:rPr>
              <w:t xml:space="preserve">Size</w:t>
            </w:r>
          </w:p>
        </w:tc>
        <w:tc>
          <w:tcPr>
            <w:tcW w:type="dxa" w:w="1276"/>
            <w:shd w:fill="E4EDE6" w:val="clear"/>
            <w:tcMar>
              <w:top w:type="dxa" w:w="70"/>
              <w:left w:type="dxa" w:w="110"/>
              <w:bottom w:type="dxa" w:w="70"/>
              <w:right w:type="dxa" w:w="110"/>
            </w:tcMar>
          </w:tcPr>
          <w:p>
            <w:pPr>
              <w:spacing w:after="0" w:line="250"/>
            </w:pPr>
            <w:r>
              <w:rPr>
                <w:b/>
                <w:bCs/>
                <w:sz w:val="18"/>
                <w:szCs w:val="18"/>
              </w:rPr>
              <w:t xml:space="preserve">Classes</w:t>
            </w:r>
          </w:p>
        </w:tc>
        <w:tc>
          <w:tcPr>
            <w:tcW w:type="dxa" w:w="1876"/>
            <w:shd w:fill="E4EDE6" w:val="clear"/>
            <w:tcMar>
              <w:top w:type="dxa" w:w="70"/>
              <w:left w:type="dxa" w:w="110"/>
              <w:bottom w:type="dxa" w:w="70"/>
              <w:right w:type="dxa" w:w="110"/>
            </w:tcMar>
          </w:tcPr>
          <w:p>
            <w:pPr>
              <w:spacing w:after="0" w:line="250"/>
            </w:pPr>
            <w:r>
              <w:rPr>
                <w:b/>
                <w:bCs/>
                <w:sz w:val="18"/>
                <w:szCs w:val="18"/>
              </w:rPr>
              <w:t xml:space="preserve">Conditions</w:t>
            </w:r>
          </w:p>
        </w:tc>
        <w:tc>
          <w:tcPr>
            <w:tcW w:type="dxa" w:w="3113"/>
            <w:shd w:fill="E4EDE6" w:val="clear"/>
            <w:tcMar>
              <w:top w:type="dxa" w:w="70"/>
              <w:left w:type="dxa" w:w="110"/>
              <w:bottom w:type="dxa" w:w="70"/>
              <w:right w:type="dxa" w:w="110"/>
            </w:tcMar>
          </w:tcPr>
          <w:p>
            <w:pPr>
              <w:spacing w:after="0" w:line="250"/>
            </w:pPr>
            <w:r>
              <w:rPr>
                <w:b/>
                <w:bCs/>
                <w:sz w:val="18"/>
                <w:szCs w:val="18"/>
              </w:rPr>
              <w:t xml:space="preserve">Role in this project</w:t>
            </w:r>
          </w:p>
        </w:tc>
      </w:tr>
      <w:tr>
        <w:trPr>
          <w:tblHeader w:val="false"/>
        </w:trPr>
        <w:tc>
          <w:tcPr>
            <w:tcW w:type="dxa" w:w="2195"/>
            <w:tcMar>
              <w:top w:type="dxa" w:w="70"/>
              <w:left w:type="dxa" w:w="110"/>
              <w:bottom w:type="dxa" w:w="70"/>
              <w:right w:type="dxa" w:w="110"/>
            </w:tcMar>
          </w:tcPr>
          <w:p>
            <w:pPr>
              <w:spacing w:after="0" w:line="250"/>
            </w:pPr>
            <w:r>
              <w:rPr>
                <w:sz w:val="18"/>
                <w:szCs w:val="18"/>
              </w:rPr>
              <w:t xml:space="preserve">PlantVillage (Hughes &amp; Salathé 2015)</w:t>
            </w:r>
          </w:p>
        </w:tc>
        <w:tc>
          <w:tcPr>
            <w:tcW w:type="dxa" w:w="900"/>
            <w:tcMar>
              <w:top w:type="dxa" w:w="70"/>
              <w:left w:type="dxa" w:w="110"/>
              <w:bottom w:type="dxa" w:w="70"/>
              <w:right w:type="dxa" w:w="110"/>
            </w:tcMar>
          </w:tcPr>
          <w:p>
            <w:pPr>
              <w:spacing w:after="0" w:line="250"/>
            </w:pPr>
            <w:r>
              <w:rPr>
                <w:sz w:val="18"/>
                <w:szCs w:val="18"/>
              </w:rPr>
              <w:t xml:space="preserve">54,309</w:t>
            </w:r>
          </w:p>
        </w:tc>
        <w:tc>
          <w:tcPr>
            <w:tcW w:type="dxa" w:w="1276"/>
            <w:tcMar>
              <w:top w:type="dxa" w:w="70"/>
              <w:left w:type="dxa" w:w="110"/>
              <w:bottom w:type="dxa" w:w="70"/>
              <w:right w:type="dxa" w:w="110"/>
            </w:tcMar>
          </w:tcPr>
          <w:p>
            <w:pPr>
              <w:spacing w:after="0" w:line="250"/>
            </w:pPr>
            <w:r>
              <w:rPr>
                <w:sz w:val="18"/>
                <w:szCs w:val="18"/>
              </w:rPr>
              <w:t xml:space="preserve">38 (14 species)</w:t>
            </w:r>
          </w:p>
        </w:tc>
        <w:tc>
          <w:tcPr>
            <w:tcW w:type="dxa" w:w="1876"/>
            <w:tcMar>
              <w:top w:type="dxa" w:w="70"/>
              <w:left w:type="dxa" w:w="110"/>
              <w:bottom w:type="dxa" w:w="70"/>
              <w:right w:type="dxa" w:w="110"/>
            </w:tcMar>
          </w:tcPr>
          <w:p>
            <w:pPr>
              <w:spacing w:after="0" w:line="250"/>
            </w:pPr>
            <w:r>
              <w:rPr>
                <w:sz w:val="18"/>
                <w:szCs w:val="18"/>
              </w:rPr>
              <w:t xml:space="preserve">Laboratory, uniform background</w:t>
            </w:r>
          </w:p>
        </w:tc>
        <w:tc>
          <w:tcPr>
            <w:tcW w:type="dxa" w:w="3113"/>
            <w:tcMar>
              <w:top w:type="dxa" w:w="70"/>
              <w:left w:type="dxa" w:w="110"/>
              <w:bottom w:type="dxa" w:w="70"/>
              <w:right w:type="dxa" w:w="110"/>
            </w:tcMar>
          </w:tcPr>
          <w:p>
            <w:pPr>
              <w:spacing w:after="0" w:line="250"/>
            </w:pPr>
            <w:r>
              <w:rPr>
                <w:b/>
                <w:bCs/>
                <w:sz w:val="18"/>
                <w:szCs w:val="18"/>
              </w:rPr>
              <w:t xml:space="preserve">Primary training source</w:t>
            </w:r>
            <w:r>
              <w:rPr>
                <w:sz w:val="18"/>
                <w:szCs w:val="18"/>
              </w:rPr>
              <w:t xml:space="preserve"> (3-crop, 15-class subset)</w:t>
            </w:r>
          </w:p>
        </w:tc>
      </w:tr>
      <w:tr>
        <w:trPr>
          <w:tblHeader w:val="false"/>
        </w:trPr>
        <w:tc>
          <w:tcPr>
            <w:tcW w:type="dxa" w:w="2195"/>
            <w:tcMar>
              <w:top w:type="dxa" w:w="70"/>
              <w:left w:type="dxa" w:w="110"/>
              <w:bottom w:type="dxa" w:w="70"/>
              <w:right w:type="dxa" w:w="110"/>
            </w:tcMar>
          </w:tcPr>
          <w:p>
            <w:pPr>
              <w:spacing w:after="0" w:line="250"/>
            </w:pPr>
            <w:r>
              <w:rPr>
                <w:sz w:val="18"/>
                <w:szCs w:val="18"/>
              </w:rPr>
              <w:t xml:space="preserve">PlantDoc (Singh et al. 2020)</w:t>
            </w:r>
          </w:p>
        </w:tc>
        <w:tc>
          <w:tcPr>
            <w:tcW w:type="dxa" w:w="900"/>
            <w:tcMar>
              <w:top w:type="dxa" w:w="70"/>
              <w:left w:type="dxa" w:w="110"/>
              <w:bottom w:type="dxa" w:w="70"/>
              <w:right w:type="dxa" w:w="110"/>
            </w:tcMar>
          </w:tcPr>
          <w:p>
            <w:pPr>
              <w:spacing w:after="0" w:line="250"/>
            </w:pPr>
            <w:r>
              <w:rPr>
                <w:sz w:val="18"/>
                <w:szCs w:val="18"/>
              </w:rPr>
              <w:t xml:space="preserve">~2,598</w:t>
            </w:r>
          </w:p>
        </w:tc>
        <w:tc>
          <w:tcPr>
            <w:tcW w:type="dxa" w:w="1276"/>
            <w:tcMar>
              <w:top w:type="dxa" w:w="70"/>
              <w:left w:type="dxa" w:w="110"/>
              <w:bottom w:type="dxa" w:w="70"/>
              <w:right w:type="dxa" w:w="110"/>
            </w:tcMar>
          </w:tcPr>
          <w:p>
            <w:pPr>
              <w:spacing w:after="0" w:line="250"/>
            </w:pPr>
            <w:r>
              <w:rPr>
                <w:sz w:val="18"/>
                <w:szCs w:val="18"/>
              </w:rPr>
              <w:t xml:space="preserve">17 (13 species)</w:t>
            </w:r>
          </w:p>
        </w:tc>
        <w:tc>
          <w:tcPr>
            <w:tcW w:type="dxa" w:w="1876"/>
            <w:tcMar>
              <w:top w:type="dxa" w:w="70"/>
              <w:left w:type="dxa" w:w="110"/>
              <w:bottom w:type="dxa" w:w="70"/>
              <w:right w:type="dxa" w:w="110"/>
            </w:tcMar>
          </w:tcPr>
          <w:p>
            <w:pPr>
              <w:spacing w:after="0" w:line="250"/>
            </w:pPr>
            <w:r>
              <w:rPr>
                <w:sz w:val="18"/>
                <w:szCs w:val="18"/>
              </w:rPr>
              <w:t xml:space="preserve">In the wild, real backgrounds</w:t>
            </w:r>
          </w:p>
        </w:tc>
        <w:tc>
          <w:tcPr>
            <w:tcW w:type="dxa" w:w="3113"/>
            <w:tcMar>
              <w:top w:type="dxa" w:w="70"/>
              <w:left w:type="dxa" w:w="110"/>
              <w:bottom w:type="dxa" w:w="70"/>
              <w:right w:type="dxa" w:w="110"/>
            </w:tcMar>
          </w:tcPr>
          <w:p>
            <w:pPr>
              <w:spacing w:after="0" w:line="250"/>
            </w:pPr>
            <w:r>
              <w:rPr>
                <w:b/>
                <w:bCs/>
                <w:sz w:val="18"/>
                <w:szCs w:val="18"/>
              </w:rPr>
              <w:t xml:space="preserve">OOD stress test only</w:t>
            </w:r>
            <w:r>
              <w:rPr>
                <w:sz w:val="18"/>
                <w:szCs w:val="18"/>
              </w:rPr>
              <w:t xml:space="preserve"> — never trained on</w:t>
            </w:r>
          </w:p>
        </w:tc>
      </w:tr>
      <w:tr>
        <w:trPr>
          <w:tblHeader w:val="false"/>
        </w:trPr>
        <w:tc>
          <w:tcPr>
            <w:tcW w:type="dxa" w:w="2195"/>
            <w:tcMar>
              <w:top w:type="dxa" w:w="70"/>
              <w:left w:type="dxa" w:w="110"/>
              <w:bottom w:type="dxa" w:w="70"/>
              <w:right w:type="dxa" w:w="110"/>
            </w:tcMar>
          </w:tcPr>
          <w:p>
            <w:pPr>
              <w:spacing w:after="0" w:line="250"/>
            </w:pPr>
            <w:r>
              <w:rPr>
                <w:sz w:val="18"/>
                <w:szCs w:val="18"/>
              </w:rPr>
              <w:t xml:space="preserve">Tomato-Village</w:t>
            </w:r>
          </w:p>
        </w:tc>
        <w:tc>
          <w:tcPr>
            <w:tcW w:type="dxa" w:w="900"/>
            <w:tcMar>
              <w:top w:type="dxa" w:w="70"/>
              <w:left w:type="dxa" w:w="110"/>
              <w:bottom w:type="dxa" w:w="70"/>
              <w:right w:type="dxa" w:w="110"/>
            </w:tcMar>
          </w:tcPr>
          <w:p>
            <w:pPr>
              <w:spacing w:after="0" w:line="250"/>
            </w:pPr>
            <w:r>
              <w:rPr>
                <w:sz w:val="18"/>
                <w:szCs w:val="18"/>
              </w:rPr>
              <w:t xml:space="preserve">Field tomato imagery</w:t>
            </w:r>
          </w:p>
        </w:tc>
        <w:tc>
          <w:tcPr>
            <w:tcW w:type="dxa" w:w="1276"/>
            <w:tcMar>
              <w:top w:type="dxa" w:w="70"/>
              <w:left w:type="dxa" w:w="110"/>
              <w:bottom w:type="dxa" w:w="70"/>
              <w:right w:type="dxa" w:w="110"/>
            </w:tcMar>
          </w:tcPr>
          <w:p>
            <w:pPr>
              <w:spacing w:after="0" w:line="250"/>
            </w:pPr>
            <w:r>
              <w:rPr>
                <w:sz w:val="18"/>
                <w:szCs w:val="18"/>
              </w:rPr>
              <w:t xml:space="preserve">Tomato-specific</w:t>
            </w:r>
          </w:p>
        </w:tc>
        <w:tc>
          <w:tcPr>
            <w:tcW w:type="dxa" w:w="1876"/>
            <w:tcMar>
              <w:top w:type="dxa" w:w="70"/>
              <w:left w:type="dxa" w:w="110"/>
              <w:bottom w:type="dxa" w:w="70"/>
              <w:right w:type="dxa" w:w="110"/>
            </w:tcMar>
          </w:tcPr>
          <w:p>
            <w:pPr>
              <w:spacing w:after="0" w:line="250"/>
            </w:pPr>
            <w:r>
              <w:rPr>
                <w:sz w:val="18"/>
                <w:szCs w:val="18"/>
              </w:rPr>
              <w:t xml:space="preserve">Field</w:t>
            </w:r>
          </w:p>
        </w:tc>
        <w:tc>
          <w:tcPr>
            <w:tcW w:type="dxa" w:w="3113"/>
            <w:tcMar>
              <w:top w:type="dxa" w:w="70"/>
              <w:left w:type="dxa" w:w="110"/>
              <w:bottom w:type="dxa" w:w="70"/>
              <w:right w:type="dxa" w:w="110"/>
            </w:tcMar>
          </w:tcPr>
          <w:p>
            <w:pPr>
              <w:spacing w:after="0" w:line="250"/>
            </w:pPr>
            <w:r>
              <w:rPr>
                <w:sz w:val="18"/>
                <w:szCs w:val="18"/>
              </w:rPr>
              <w:t xml:space="preserve">Optional secondary stress test</w:t>
            </w:r>
          </w:p>
        </w:tc>
      </w:tr>
      <w:tr>
        <w:trPr>
          <w:tblHeader w:val="false"/>
        </w:trPr>
        <w:tc>
          <w:tcPr>
            <w:tcW w:type="dxa" w:w="2195"/>
            <w:tcMar>
              <w:top w:type="dxa" w:w="70"/>
              <w:left w:type="dxa" w:w="110"/>
              <w:bottom w:type="dxa" w:w="70"/>
              <w:right w:type="dxa" w:w="110"/>
            </w:tcMar>
          </w:tcPr>
          <w:p>
            <w:pPr>
              <w:spacing w:after="0" w:line="250"/>
            </w:pPr>
            <w:r>
              <w:rPr>
                <w:sz w:val="18"/>
                <w:szCs w:val="18"/>
              </w:rPr>
              <w:t xml:space="preserve">Self-collected field photographs</w:t>
            </w:r>
          </w:p>
        </w:tc>
        <w:tc>
          <w:tcPr>
            <w:tcW w:type="dxa" w:w="900"/>
            <w:tcMar>
              <w:top w:type="dxa" w:w="70"/>
              <w:left w:type="dxa" w:w="110"/>
              <w:bottom w:type="dxa" w:w="70"/>
              <w:right w:type="dxa" w:w="110"/>
            </w:tcMar>
          </w:tcPr>
          <w:p>
            <w:pPr>
              <w:spacing w:after="0" w:line="250"/>
            </w:pPr>
            <w:r>
              <w:rPr>
                <w:sz w:val="18"/>
                <w:szCs w:val="18"/>
              </w:rPr>
              <w:t xml:space="preserve">Small</w:t>
            </w:r>
          </w:p>
        </w:tc>
        <w:tc>
          <w:tcPr>
            <w:tcW w:type="dxa" w:w="1276"/>
            <w:tcMar>
              <w:top w:type="dxa" w:w="70"/>
              <w:left w:type="dxa" w:w="110"/>
              <w:bottom w:type="dxa" w:w="70"/>
              <w:right w:type="dxa" w:w="110"/>
            </w:tcMar>
          </w:tcPr>
          <w:p>
            <w:pPr>
              <w:spacing w:after="0" w:line="250"/>
            </w:pPr>
            <w:r>
              <w:rPr>
                <w:sz w:val="18"/>
                <w:szCs w:val="18"/>
              </w:rPr>
              <w:t xml:space="preserve">Subset of the 15</w:t>
            </w:r>
          </w:p>
        </w:tc>
        <w:tc>
          <w:tcPr>
            <w:tcW w:type="dxa" w:w="1876"/>
            <w:tcMar>
              <w:top w:type="dxa" w:w="70"/>
              <w:left w:type="dxa" w:w="110"/>
              <w:bottom w:type="dxa" w:w="70"/>
              <w:right w:type="dxa" w:w="110"/>
            </w:tcMar>
          </w:tcPr>
          <w:p>
            <w:pPr>
              <w:spacing w:after="0" w:line="250"/>
            </w:pPr>
            <w:r>
              <w:rPr>
                <w:sz w:val="18"/>
                <w:szCs w:val="18"/>
              </w:rPr>
              <w:t xml:space="preserve">Uncontrolled, phone camera</w:t>
            </w:r>
          </w:p>
        </w:tc>
        <w:tc>
          <w:tcPr>
            <w:tcW w:type="dxa" w:w="3113"/>
            <w:tcMar>
              <w:top w:type="dxa" w:w="70"/>
              <w:left w:type="dxa" w:w="110"/>
              <w:bottom w:type="dxa" w:w="70"/>
              <w:right w:type="dxa" w:w="110"/>
            </w:tcMar>
          </w:tcPr>
          <w:p>
            <w:pPr>
              <w:spacing w:after="0" w:line="250"/>
            </w:pPr>
            <w:r>
              <w:rPr>
                <w:sz w:val="18"/>
                <w:szCs w:val="18"/>
              </w:rPr>
              <w:t xml:space="preserve">Qualitative demo + failure analysis</w:t>
            </w:r>
          </w:p>
        </w:tc>
      </w:tr>
    </w:tbl>
    <w:p>
      <w:pPr>
        <w:spacing w:after="200"/>
      </w:pPr>
      <w:r>
        <w:t xml:space="preserve"/>
      </w:r>
    </w:p>
    <w:p>
      <w:pPr>
        <w:spacing w:after="140" w:line="276"/>
      </w:pPr>
      <w:r>
        <w:rPr>
          <w:b/>
          <w:bCs/>
        </w:rPr>
        <w:t xml:space="preserve">Justification for the 3-crop subset (Tomato, Potato, Bell Pepper — 15 classes).</w:t>
      </w:r>
      <w:r>
        <w:t xml:space="preserve"> Restricting scope is deliberate, not a shortcut. Tomato contributes ten classes including four pathologies with visually similar early symptoms (Early blight, Late blight, Septoria leaf spot, Target spot), which is where the interesting confusion lives. Potato shares the </w:t>
      </w:r>
      <w:r>
        <w:rPr>
          <w:i/>
          <w:iCs/>
        </w:rPr>
        <w:t xml:space="preserve">Alternaria solani</w:t>
      </w:r>
      <w:r>
        <w:t xml:space="preserve"> and </w:t>
      </w:r>
      <w:r>
        <w:rPr>
          <w:i/>
          <w:iCs/>
        </w:rPr>
        <w:t xml:space="preserve">Phytophthora infestans</w:t>
      </w:r>
      <w:r>
        <w:t xml:space="preserve"> pathogens with tomato, so cross-crop confusion becomes measurable. Bell pepper adds a third leaf morphology. The result is ~6,000 images after capping — small enough to extract 97 features from on a CPU in minutes, large enough to support a 15-class problem with a real confusion structure.</w:t>
      </w:r>
    </w:p>
    <w:p>
      <w:pPr>
        <w:pBdr>
          <w:bottom w:val="single" w:color="D8DED3" w:sz="6" w:space="1"/>
        </w:pBdr>
        <w:spacing w:after="180" w:before="180"/>
      </w:pPr>
      <w:r>
        <w:t xml:space="preserve"/>
      </w:r>
    </w:p>
    <w:p>
      <w:pPr>
        <w:pStyle w:val="Heading1"/>
        <w:spacing w:after="160" w:before="380"/>
      </w:pPr>
      <w:r>
        <w:rPr>
          <w:rFonts w:ascii="Calibri" w:cs="Calibri" w:eastAsia="Calibri" w:hAnsi="Calibri"/>
          <w:b/>
          <w:bCs/>
          <w:color w:val="1F5C3A"/>
          <w:sz w:val="30"/>
          <w:szCs w:val="30"/>
        </w:rPr>
        <w:t xml:space="preserve">6. Stream B — Machine Learning for Irrigation Decision Support</w:t>
      </w:r>
    </w:p>
    <w:p>
      <w:pPr>
        <w:pStyle w:val="Heading2"/>
        <w:spacing w:after="120" w:before="300"/>
      </w:pPr>
      <w:r>
        <w:rPr>
          <w:rFonts w:ascii="Calibri" w:cs="Calibri" w:eastAsia="Calibri" w:hAnsi="Calibri"/>
          <w:b/>
          <w:bCs/>
          <w:color w:val="1B2019"/>
          <w:sz w:val="25"/>
          <w:szCs w:val="25"/>
        </w:rPr>
        <w:t xml:space="preserve">6.1 The agronomic reference model</w:t>
      </w:r>
    </w:p>
    <w:p>
      <w:pPr>
        <w:spacing w:after="140" w:line="276"/>
      </w:pPr>
      <w:r>
        <w:t xml:space="preserve">Any credible irrigation work is measured against </w:t>
      </w:r>
      <w:r>
        <w:rPr>
          <w:b/>
          <w:bCs/>
        </w:rPr>
        <w:t xml:space="preserve">FAO Irrigation and Drainage Paper 56</w:t>
      </w:r>
      <w:r>
        <w:t xml:space="preserve"> (Allen, Pereira, Raes and Smith, 1998), which defines reference evapotranspiration ET₀, the crop coefficient approach ETc = Kc · ET₀, and the root-zone water-balance equation used to decide when depletion has reached the readily-available-water threshold. Where full meteorological data is unavailable, the </w:t>
      </w:r>
      <w:r>
        <w:rPr>
          <w:b/>
          <w:bCs/>
        </w:rPr>
        <w:t xml:space="preserve">Hargreaves–Samani (1985)</w:t>
      </w:r>
      <w:r>
        <w:t xml:space="preserve"> temperature-based estimator of ET₀ is the standard substitute. This project uses exactly this pair to generate labels, so that the learned model is anchored to an internationally accepted agronomic standard rather than to an arbitrary rule.</w:t>
      </w:r>
    </w:p>
    <w:p>
      <w:pPr>
        <w:pStyle w:val="Heading2"/>
        <w:spacing w:after="120" w:before="300"/>
      </w:pPr>
      <w:r>
        <w:rPr>
          <w:rFonts w:ascii="Calibri" w:cs="Calibri" w:eastAsia="Calibri" w:hAnsi="Calibri"/>
          <w:b/>
          <w:bCs/>
          <w:color w:val="1B2019"/>
          <w:sz w:val="25"/>
          <w:szCs w:val="25"/>
        </w:rPr>
        <w:t xml:space="preserve">6.2 Adeyemi et al. (2017) — the framing review</w:t>
      </w:r>
    </w:p>
    <w:p>
      <w:pPr>
        <w:spacing w:after="140" w:line="276"/>
      </w:pPr>
      <w:r>
        <w:t xml:space="preserve">Published in </w:t>
      </w:r>
      <w:r>
        <w:rPr>
          <w:i/>
          <w:iCs/>
        </w:rPr>
        <w:t xml:space="preserve">Sustainability</w:t>
      </w:r>
      <w:r>
        <w:t xml:space="preserve"> (9(3), 353), this review surveys monitoring and management systems for precision irrigation and argues for a shift from static scheduling toward dynamic, model-based and data-driven control that closes the loop with real-time soil and weather sensing. It is the standard citation for </w:t>
      </w:r>
      <w:r>
        <w:rPr>
          <w:i/>
          <w:iCs/>
        </w:rPr>
        <w:t xml:space="preserve">why</w:t>
      </w:r>
      <w:r>
        <w:t xml:space="preserve"> ML-based irrigation is worth doing at all.</w:t>
      </w:r>
    </w:p>
    <w:p>
      <w:pPr>
        <w:pStyle w:val="Heading2"/>
        <w:spacing w:after="120" w:before="300"/>
      </w:pPr>
      <w:r>
        <w:rPr>
          <w:rFonts w:ascii="Calibri" w:cs="Calibri" w:eastAsia="Calibri" w:hAnsi="Calibri"/>
          <w:b/>
          <w:bCs/>
          <w:color w:val="1B2019"/>
          <w:sz w:val="25"/>
          <w:szCs w:val="25"/>
        </w:rPr>
        <w:t xml:space="preserve">6.3 Goldstein et al. (2018) — learning the agronomist's tacit knowledge</w:t>
      </w:r>
    </w:p>
    <w:p>
      <w:pPr>
        <w:spacing w:after="140" w:line="276"/>
      </w:pPr>
      <w:r>
        <w:t xml:space="preserve">Published in </w:t>
      </w:r>
      <w:r>
        <w:rPr>
          <w:i/>
          <w:iCs/>
        </w:rPr>
        <w:t xml:space="preserve">Precision Agriculture</w:t>
      </w:r>
      <w:r>
        <w:t xml:space="preserve"> (19(3), 421–444), this is the methodological anchor for the present project's irrigation module. Over nearly two years, data from 22 soil sensors across four jojoba plots was combined with meteorological records and the irrigation instructions actually issued by a human agronomist. Regression and classification algorithms were then trained to reproduce those recommendations. </w:t>
      </w:r>
      <w:r>
        <w:rPr>
          <w:b/>
          <w:bCs/>
        </w:rPr>
        <w:t xml:space="preserve">Gradient Boosted Regression Trees reached ~93%</w:t>
      </w:r>
      <w:r>
        <w:t xml:space="preserve"> on the regression formulation and a </w:t>
      </w:r>
      <w:r>
        <w:rPr>
          <w:b/>
          <w:bCs/>
        </w:rPr>
        <w:t xml:space="preserve">Boosted Tree Classifier ~95%</w:t>
      </w:r>
      <w:r>
        <w:t xml:space="preserve"> on the classification formulation.</w:t>
      </w:r>
    </w:p>
    <w:p>
      <w:pPr>
        <w:spacing w:after="140" w:line="276"/>
      </w:pPr>
      <w:r>
        <w:t xml:space="preserve">The framing is what matters: irrigation is treated as </w:t>
      </w:r>
      <w:r>
        <w:rPr>
          <w:i/>
          <w:iCs/>
        </w:rPr>
        <w:t xml:space="preserve">learning a decision policy</w:t>
      </w:r>
      <w:r>
        <w:t xml:space="preserve"> from sensor observations, not as forecasting soil moisture. The present project adopts the same formulation, with the FAO-56 water balance standing in for the agronomist as the source of ground-truth decisions — a substitution that is more reproducible, and one the authors themselves suggest when noting the models' potential to encode expert reasoning.</w:t>
      </w:r>
    </w:p>
    <w:p>
      <w:pPr>
        <w:pStyle w:val="Heading2"/>
        <w:spacing w:after="120" w:before="300"/>
      </w:pPr>
      <w:r>
        <w:rPr>
          <w:rFonts w:ascii="Calibri" w:cs="Calibri" w:eastAsia="Calibri" w:hAnsi="Calibri"/>
          <w:b/>
          <w:bCs/>
          <w:color w:val="1B2019"/>
          <w:sz w:val="25"/>
          <w:szCs w:val="25"/>
        </w:rPr>
        <w:t xml:space="preserve">6.4 Glória, Cardoso and Sebastião (2021) — end-to-end system with measured savings</w:t>
      </w:r>
    </w:p>
    <w:p>
      <w:pPr>
        <w:spacing w:after="140" w:line="276"/>
      </w:pPr>
      <w:r>
        <w:t xml:space="preserve">Published in </w:t>
      </w:r>
      <w:r>
        <w:rPr>
          <w:i/>
          <w:iCs/>
        </w:rPr>
        <w:t xml:space="preserve">Sensors</w:t>
      </w:r>
      <w:r>
        <w:t xml:space="preserve"> (21(9), 3079). A LoRa-based wireless sensor network with sensor, actuator and aggregation nodes feeds both a formula-based evapotranspiration algorithm and ML classifiers. On </w:t>
      </w:r>
      <w:r>
        <w:rPr>
          <w:b/>
          <w:bCs/>
        </w:rPr>
        <w:t xml:space="preserve">105,217 records collected over six years</w:t>
      </w:r>
      <w:r>
        <w:t xml:space="preserve">, the comparison is: </w:t>
      </w:r>
      <w:r>
        <w:rPr>
          <w:b/>
          <w:bCs/>
        </w:rPr>
        <w:t xml:space="preserve">Random Forest 84.6%</w:t>
      </w:r>
      <w:r>
        <w:t xml:space="preserve">, Neural Network 80.2%, SVM 79.3%, Decision Tree 77.0%. The combined formula + Random Forest system achieved </w:t>
      </w:r>
      <w:r>
        <w:rPr>
          <w:b/>
          <w:bCs/>
        </w:rPr>
        <w:t xml:space="preserve">up to 60% water savings</w:t>
      </w:r>
      <w:r>
        <w:t xml:space="preserve"> over manual irrigation in a 90-day field trial (formula alone: ~50%; prior non-ML work: ~40%).</w:t>
      </w:r>
    </w:p>
    <w:p>
      <w:pPr>
        <w:spacing w:after="140" w:line="276"/>
      </w:pPr>
      <w:r>
        <w:t xml:space="preserve">Two things are decisive for the present project. First, </w:t>
      </w:r>
      <w:r>
        <w:rPr>
          <w:b/>
          <w:bCs/>
        </w:rPr>
        <w:t xml:space="preserve">Random Forest beat the neural network</w:t>
      </w:r>
      <w:r>
        <w:t xml:space="preserve"> on real tabular sensor data — which validates using a classical tree ensemble rather than deep learning for the irrigation half. Second, the accuracies here are in the </w:t>
      </w:r>
      <w:r>
        <w:rPr>
          <w:b/>
          <w:bCs/>
        </w:rPr>
        <w:t xml:space="preserve">77–85%</w:t>
      </w:r>
      <w:r>
        <w:t xml:space="preserve"> band, not the 95%+ band, because real agronomist decisions are noisy and partly unobservable. Any project reporting 99% irrigation-decision accuracy on real data should be treated with suspicion; this project reports against a </w:t>
      </w:r>
      <w:r>
        <w:rPr>
          <w:i/>
          <w:iCs/>
        </w:rPr>
        <w:t xml:space="preserve">known</w:t>
      </w:r>
      <w:r>
        <w:t xml:space="preserve"> reference policy and says so explicitly.</w:t>
      </w:r>
    </w:p>
    <w:p>
      <w:pPr>
        <w:pStyle w:val="Heading2"/>
        <w:spacing w:after="120" w:before="300"/>
      </w:pPr>
      <w:r>
        <w:rPr>
          <w:rFonts w:ascii="Calibri" w:cs="Calibri" w:eastAsia="Calibri" w:hAnsi="Calibri"/>
          <w:b/>
          <w:bCs/>
          <w:color w:val="1B2019"/>
          <w:sz w:val="25"/>
          <w:szCs w:val="25"/>
        </w:rPr>
        <w:t xml:space="preserve">6.5 Kashyap et al. (2021) — the deep-learning counterpoint</w:t>
      </w:r>
    </w:p>
    <w:p>
      <w:pPr>
        <w:spacing w:after="140" w:line="276"/>
      </w:pPr>
      <w:r>
        <w:rPr>
          <w:i/>
          <w:iCs/>
        </w:rPr>
        <w:t xml:space="preserve">IEEE Sensors Journal</w:t>
      </w:r>
      <w:r>
        <w:t xml:space="preserve"> (21(16), 17479–17491) presents an IoT-enabled intelligent irrigation system using a deep recurrent architecture over soil-moisture and weather sequences, reporting improved irrigation prediction over conventional baselines. It is included to represent the deep-learning position fairly. Its relevance here is as a boundary marker: it requires a sensor time-series of meaningful length and server-class inference, whereas the present project targets a single-timestep decision computable in a browser.</w:t>
      </w:r>
    </w:p>
    <w:p>
      <w:pPr>
        <w:pStyle w:val="Heading2"/>
        <w:spacing w:after="120" w:before="300"/>
      </w:pPr>
      <w:r>
        <w:rPr>
          <w:rFonts w:ascii="Calibri" w:cs="Calibri" w:eastAsia="Calibri" w:hAnsi="Calibri"/>
          <w:b/>
          <w:bCs/>
          <w:color w:val="1B2019"/>
          <w:sz w:val="25"/>
          <w:szCs w:val="25"/>
        </w:rPr>
        <w:t xml:space="preserve">6.6 Synthesis of stream B</w:t>
      </w:r>
    </w:p>
    <w:tbl>
      <w:tblPr>
        <w:tblW w:type="dxa" w:w="9360"/>
        <w:tblBorders>
          <w:top w:val="single" w:color="D8DED3" w:sz="4"/>
          <w:left w:val="none" w:color="FFFFFF" w:sz="0"/>
          <w:bottom w:val="single" w:color="D8DED3" w:sz="4"/>
          <w:right w:val="none" w:color="FFFFFF" w:sz="0"/>
          <w:insideH w:val="single" w:color="D8DED3" w:sz="2"/>
          <w:insideV w:val="none" w:color="FFFFFF" w:sz="0"/>
        </w:tblBorders>
      </w:tblPr>
      <w:tblGrid>
        <w:gridCol w:w="1642"/>
        <w:gridCol w:w="1417"/>
        <w:gridCol w:w="1375"/>
        <w:gridCol w:w="2301"/>
        <w:gridCol w:w="2625"/>
      </w:tblGrid>
      <w:tr>
        <w:trPr>
          <w:tblHeader/>
        </w:trPr>
        <w:tc>
          <w:tcPr>
            <w:tcW w:type="dxa" w:w="1642"/>
            <w:shd w:fill="E4EDE6" w:val="clear"/>
            <w:tcMar>
              <w:top w:type="dxa" w:w="70"/>
              <w:left w:type="dxa" w:w="110"/>
              <w:bottom w:type="dxa" w:w="70"/>
              <w:right w:type="dxa" w:w="110"/>
            </w:tcMar>
          </w:tcPr>
          <w:p>
            <w:pPr>
              <w:spacing w:after="0" w:line="250"/>
            </w:pPr>
            <w:r>
              <w:rPr>
                <w:b/>
                <w:bCs/>
                <w:sz w:val="18"/>
                <w:szCs w:val="18"/>
              </w:rPr>
              <w:t xml:space="preserve">Study</w:t>
            </w:r>
          </w:p>
        </w:tc>
        <w:tc>
          <w:tcPr>
            <w:tcW w:type="dxa" w:w="1417"/>
            <w:shd w:fill="E4EDE6" w:val="clear"/>
            <w:tcMar>
              <w:top w:type="dxa" w:w="70"/>
              <w:left w:type="dxa" w:w="110"/>
              <w:bottom w:type="dxa" w:w="70"/>
              <w:right w:type="dxa" w:w="110"/>
            </w:tcMar>
          </w:tcPr>
          <w:p>
            <w:pPr>
              <w:spacing w:after="0" w:line="250"/>
            </w:pPr>
            <w:r>
              <w:rPr>
                <w:b/>
                <w:bCs/>
                <w:sz w:val="18"/>
                <w:szCs w:val="18"/>
              </w:rPr>
              <w:t xml:space="preserve">Data</w:t>
            </w:r>
          </w:p>
        </w:tc>
        <w:tc>
          <w:tcPr>
            <w:tcW w:type="dxa" w:w="1375"/>
            <w:shd w:fill="E4EDE6" w:val="clear"/>
            <w:tcMar>
              <w:top w:type="dxa" w:w="70"/>
              <w:left w:type="dxa" w:w="110"/>
              <w:bottom w:type="dxa" w:w="70"/>
              <w:right w:type="dxa" w:w="110"/>
            </w:tcMar>
          </w:tcPr>
          <w:p>
            <w:pPr>
              <w:spacing w:after="0" w:line="250"/>
            </w:pPr>
            <w:r>
              <w:rPr>
                <w:b/>
                <w:bCs/>
                <w:sz w:val="18"/>
                <w:szCs w:val="18"/>
              </w:rPr>
              <w:t xml:space="preserve">Method</w:t>
            </w:r>
          </w:p>
        </w:tc>
        <w:tc>
          <w:tcPr>
            <w:tcW w:type="dxa" w:w="2301"/>
            <w:shd w:fill="E4EDE6" w:val="clear"/>
            <w:tcMar>
              <w:top w:type="dxa" w:w="70"/>
              <w:left w:type="dxa" w:w="110"/>
              <w:bottom w:type="dxa" w:w="70"/>
              <w:right w:type="dxa" w:w="110"/>
            </w:tcMar>
          </w:tcPr>
          <w:p>
            <w:pPr>
              <w:spacing w:after="0" w:line="250"/>
            </w:pPr>
            <w:r>
              <w:rPr>
                <w:b/>
                <w:bCs/>
                <w:sz w:val="18"/>
                <w:szCs w:val="18"/>
              </w:rPr>
              <w:t xml:space="preserve">Result</w:t>
            </w:r>
          </w:p>
        </w:tc>
        <w:tc>
          <w:tcPr>
            <w:tcW w:type="dxa" w:w="2625"/>
            <w:shd w:fill="E4EDE6" w:val="clear"/>
            <w:tcMar>
              <w:top w:type="dxa" w:w="70"/>
              <w:left w:type="dxa" w:w="110"/>
              <w:bottom w:type="dxa" w:w="70"/>
              <w:right w:type="dxa" w:w="110"/>
            </w:tcMar>
          </w:tcPr>
          <w:p>
            <w:pPr>
              <w:spacing w:after="0" w:line="250"/>
            </w:pPr>
            <w:r>
              <w:rPr>
                <w:b/>
                <w:bCs/>
                <w:sz w:val="18"/>
                <w:szCs w:val="18"/>
              </w:rPr>
              <w:t xml:space="preserve">Take-away for this project</w:t>
            </w:r>
          </w:p>
        </w:tc>
      </w:tr>
      <w:tr>
        <w:trPr>
          <w:tblHeader w:val="false"/>
        </w:trPr>
        <w:tc>
          <w:tcPr>
            <w:tcW w:type="dxa" w:w="1642"/>
            <w:tcMar>
              <w:top w:type="dxa" w:w="70"/>
              <w:left w:type="dxa" w:w="110"/>
              <w:bottom w:type="dxa" w:w="70"/>
              <w:right w:type="dxa" w:w="110"/>
            </w:tcMar>
          </w:tcPr>
          <w:p>
            <w:pPr>
              <w:spacing w:after="0" w:line="250"/>
            </w:pPr>
            <w:r>
              <w:rPr>
                <w:sz w:val="18"/>
                <w:szCs w:val="18"/>
              </w:rPr>
              <w:t xml:space="preserve">Allen et al. (1998), FAO-56</w:t>
            </w:r>
          </w:p>
        </w:tc>
        <w:tc>
          <w:tcPr>
            <w:tcW w:type="dxa" w:w="1417"/>
            <w:tcMar>
              <w:top w:type="dxa" w:w="70"/>
              <w:left w:type="dxa" w:w="110"/>
              <w:bottom w:type="dxa" w:w="70"/>
              <w:right w:type="dxa" w:w="110"/>
            </w:tcMar>
          </w:tcPr>
          <w:p>
            <w:pPr>
              <w:spacing w:after="0" w:line="250"/>
            </w:pPr>
            <w:r>
              <w:rPr>
                <w:sz w:val="18"/>
                <w:szCs w:val="18"/>
              </w:rPr>
              <w:t xml:space="preserve">—</w:t>
            </w:r>
          </w:p>
        </w:tc>
        <w:tc>
          <w:tcPr>
            <w:tcW w:type="dxa" w:w="1375"/>
            <w:tcMar>
              <w:top w:type="dxa" w:w="70"/>
              <w:left w:type="dxa" w:w="110"/>
              <w:bottom w:type="dxa" w:w="70"/>
              <w:right w:type="dxa" w:w="110"/>
            </w:tcMar>
          </w:tcPr>
          <w:p>
            <w:pPr>
              <w:spacing w:after="0" w:line="250"/>
            </w:pPr>
            <w:r>
              <w:rPr>
                <w:sz w:val="18"/>
                <w:szCs w:val="18"/>
              </w:rPr>
              <w:t xml:space="preserve">Analytical water balance</w:t>
            </w:r>
          </w:p>
        </w:tc>
        <w:tc>
          <w:tcPr>
            <w:tcW w:type="dxa" w:w="2301"/>
            <w:tcMar>
              <w:top w:type="dxa" w:w="70"/>
              <w:left w:type="dxa" w:w="110"/>
              <w:bottom w:type="dxa" w:w="70"/>
              <w:right w:type="dxa" w:w="110"/>
            </w:tcMar>
          </w:tcPr>
          <w:p>
            <w:pPr>
              <w:spacing w:after="0" w:line="250"/>
            </w:pPr>
            <w:r>
              <w:rPr>
                <w:sz w:val="18"/>
                <w:szCs w:val="18"/>
              </w:rPr>
              <w:t xml:space="preserve">International reference standard</w:t>
            </w:r>
          </w:p>
        </w:tc>
        <w:tc>
          <w:tcPr>
            <w:tcW w:type="dxa" w:w="2625"/>
            <w:tcMar>
              <w:top w:type="dxa" w:w="70"/>
              <w:left w:type="dxa" w:w="110"/>
              <w:bottom w:type="dxa" w:w="70"/>
              <w:right w:type="dxa" w:w="110"/>
            </w:tcMar>
          </w:tcPr>
          <w:p>
            <w:pPr>
              <w:spacing w:after="0" w:line="250"/>
            </w:pPr>
            <w:r>
              <w:rPr>
                <w:sz w:val="18"/>
                <w:szCs w:val="18"/>
              </w:rPr>
              <w:t xml:space="preserve">Used as the label-generating policy</w:t>
            </w:r>
          </w:p>
        </w:tc>
      </w:tr>
      <w:tr>
        <w:trPr>
          <w:tblHeader w:val="false"/>
        </w:trPr>
        <w:tc>
          <w:tcPr>
            <w:tcW w:type="dxa" w:w="1642"/>
            <w:tcMar>
              <w:top w:type="dxa" w:w="70"/>
              <w:left w:type="dxa" w:w="110"/>
              <w:bottom w:type="dxa" w:w="70"/>
              <w:right w:type="dxa" w:w="110"/>
            </w:tcMar>
          </w:tcPr>
          <w:p>
            <w:pPr>
              <w:spacing w:after="0" w:line="250"/>
            </w:pPr>
            <w:r>
              <w:rPr>
                <w:sz w:val="18"/>
                <w:szCs w:val="18"/>
              </w:rPr>
              <w:t xml:space="preserve">Adeyemi et al. (2017)</w:t>
            </w:r>
          </w:p>
        </w:tc>
        <w:tc>
          <w:tcPr>
            <w:tcW w:type="dxa" w:w="1417"/>
            <w:tcMar>
              <w:top w:type="dxa" w:w="70"/>
              <w:left w:type="dxa" w:w="110"/>
              <w:bottom w:type="dxa" w:w="70"/>
              <w:right w:type="dxa" w:w="110"/>
            </w:tcMar>
          </w:tcPr>
          <w:p>
            <w:pPr>
              <w:spacing w:after="0" w:line="250"/>
            </w:pPr>
            <w:r>
              <w:rPr>
                <w:sz w:val="18"/>
                <w:szCs w:val="18"/>
              </w:rPr>
              <w:t xml:space="preserve">Review</w:t>
            </w:r>
          </w:p>
        </w:tc>
        <w:tc>
          <w:tcPr>
            <w:tcW w:type="dxa" w:w="1375"/>
            <w:tcMar>
              <w:top w:type="dxa" w:w="70"/>
              <w:left w:type="dxa" w:w="110"/>
              <w:bottom w:type="dxa" w:w="70"/>
              <w:right w:type="dxa" w:w="110"/>
            </w:tcMar>
          </w:tcPr>
          <w:p>
            <w:pPr>
              <w:spacing w:after="0" w:line="250"/>
            </w:pPr>
            <w:r>
              <w:rPr>
                <w:sz w:val="18"/>
                <w:szCs w:val="18"/>
              </w:rPr>
              <w:t xml:space="preserve">—</w:t>
            </w:r>
          </w:p>
        </w:tc>
        <w:tc>
          <w:tcPr>
            <w:tcW w:type="dxa" w:w="2301"/>
            <w:tcMar>
              <w:top w:type="dxa" w:w="70"/>
              <w:left w:type="dxa" w:w="110"/>
              <w:bottom w:type="dxa" w:w="70"/>
              <w:right w:type="dxa" w:w="110"/>
            </w:tcMar>
          </w:tcPr>
          <w:p>
            <w:pPr>
              <w:spacing w:after="0" w:line="250"/>
            </w:pPr>
            <w:r>
              <w:rPr>
                <w:sz w:val="18"/>
                <w:szCs w:val="18"/>
              </w:rPr>
              <w:t xml:space="preserve">Case for dynamic, data-driven irrigation</w:t>
            </w:r>
          </w:p>
        </w:tc>
        <w:tc>
          <w:tcPr>
            <w:tcW w:type="dxa" w:w="2625"/>
            <w:tcMar>
              <w:top w:type="dxa" w:w="70"/>
              <w:left w:type="dxa" w:w="110"/>
              <w:bottom w:type="dxa" w:w="70"/>
              <w:right w:type="dxa" w:w="110"/>
            </w:tcMar>
          </w:tcPr>
          <w:p>
            <w:pPr>
              <w:spacing w:after="0" w:line="250"/>
            </w:pPr>
            <w:r>
              <w:rPr>
                <w:sz w:val="18"/>
                <w:szCs w:val="18"/>
              </w:rPr>
              <w:t xml:space="preserve">Motivation</w:t>
            </w:r>
          </w:p>
        </w:tc>
      </w:tr>
      <w:tr>
        <w:trPr>
          <w:tblHeader w:val="false"/>
        </w:trPr>
        <w:tc>
          <w:tcPr>
            <w:tcW w:type="dxa" w:w="1642"/>
            <w:tcMar>
              <w:top w:type="dxa" w:w="70"/>
              <w:left w:type="dxa" w:w="110"/>
              <w:bottom w:type="dxa" w:w="70"/>
              <w:right w:type="dxa" w:w="110"/>
            </w:tcMar>
          </w:tcPr>
          <w:p>
            <w:pPr>
              <w:spacing w:after="0" w:line="250"/>
            </w:pPr>
            <w:r>
              <w:rPr>
                <w:sz w:val="18"/>
                <w:szCs w:val="18"/>
              </w:rPr>
              <w:t xml:space="preserve">Goldstein et al. (2018)</w:t>
            </w:r>
          </w:p>
        </w:tc>
        <w:tc>
          <w:tcPr>
            <w:tcW w:type="dxa" w:w="1417"/>
            <w:tcMar>
              <w:top w:type="dxa" w:w="70"/>
              <w:left w:type="dxa" w:w="110"/>
              <w:bottom w:type="dxa" w:w="70"/>
              <w:right w:type="dxa" w:w="110"/>
            </w:tcMar>
          </w:tcPr>
          <w:p>
            <w:pPr>
              <w:spacing w:after="0" w:line="250"/>
            </w:pPr>
            <w:r>
              <w:rPr>
                <w:sz w:val="18"/>
                <w:szCs w:val="18"/>
              </w:rPr>
              <w:t xml:space="preserve">22 sensors, ~2 yr, real agronomist logs</w:t>
            </w:r>
          </w:p>
        </w:tc>
        <w:tc>
          <w:tcPr>
            <w:tcW w:type="dxa" w:w="1375"/>
            <w:tcMar>
              <w:top w:type="dxa" w:w="70"/>
              <w:left w:type="dxa" w:w="110"/>
              <w:bottom w:type="dxa" w:w="70"/>
              <w:right w:type="dxa" w:w="110"/>
            </w:tcMar>
          </w:tcPr>
          <w:p>
            <w:pPr>
              <w:spacing w:after="0" w:line="250"/>
            </w:pPr>
            <w:r>
              <w:rPr>
                <w:sz w:val="18"/>
                <w:szCs w:val="18"/>
              </w:rPr>
              <w:t xml:space="preserve">GBRT / Boosted Tree Classifier</w:t>
            </w:r>
          </w:p>
        </w:tc>
        <w:tc>
          <w:tcPr>
            <w:tcW w:type="dxa" w:w="2301"/>
            <w:tcMar>
              <w:top w:type="dxa" w:w="70"/>
              <w:left w:type="dxa" w:w="110"/>
              <w:bottom w:type="dxa" w:w="70"/>
              <w:right w:type="dxa" w:w="110"/>
            </w:tcMar>
          </w:tcPr>
          <w:p>
            <w:pPr>
              <w:spacing w:after="0" w:line="250"/>
            </w:pPr>
            <w:r>
              <w:rPr>
                <w:sz w:val="18"/>
                <w:szCs w:val="18"/>
              </w:rPr>
              <w:t xml:space="preserve">~93% regression, ~95% classification</w:t>
            </w:r>
          </w:p>
        </w:tc>
        <w:tc>
          <w:tcPr>
            <w:tcW w:type="dxa" w:w="2625"/>
            <w:tcMar>
              <w:top w:type="dxa" w:w="70"/>
              <w:left w:type="dxa" w:w="110"/>
              <w:bottom w:type="dxa" w:w="70"/>
              <w:right w:type="dxa" w:w="110"/>
            </w:tcMar>
          </w:tcPr>
          <w:p>
            <w:pPr>
              <w:spacing w:after="0" w:line="250"/>
            </w:pPr>
            <w:r>
              <w:rPr>
                <w:sz w:val="18"/>
                <w:szCs w:val="18"/>
              </w:rPr>
              <w:t xml:space="preserve">Formulation: learn the </w:t>
            </w:r>
            <w:r>
              <w:rPr>
                <w:i/>
                <w:iCs/>
                <w:sz w:val="18"/>
                <w:szCs w:val="18"/>
              </w:rPr>
              <w:t xml:space="preserve">decision policy</w:t>
            </w:r>
          </w:p>
        </w:tc>
      </w:tr>
      <w:tr>
        <w:trPr>
          <w:tblHeader w:val="false"/>
        </w:trPr>
        <w:tc>
          <w:tcPr>
            <w:tcW w:type="dxa" w:w="1642"/>
            <w:tcMar>
              <w:top w:type="dxa" w:w="70"/>
              <w:left w:type="dxa" w:w="110"/>
              <w:bottom w:type="dxa" w:w="70"/>
              <w:right w:type="dxa" w:w="110"/>
            </w:tcMar>
          </w:tcPr>
          <w:p>
            <w:pPr>
              <w:spacing w:after="0" w:line="250"/>
            </w:pPr>
            <w:r>
              <w:rPr>
                <w:sz w:val="18"/>
                <w:szCs w:val="18"/>
              </w:rPr>
              <w:t xml:space="preserve">Glória et al. (2021)</w:t>
            </w:r>
          </w:p>
        </w:tc>
        <w:tc>
          <w:tcPr>
            <w:tcW w:type="dxa" w:w="1417"/>
            <w:tcMar>
              <w:top w:type="dxa" w:w="70"/>
              <w:left w:type="dxa" w:w="110"/>
              <w:bottom w:type="dxa" w:w="70"/>
              <w:right w:type="dxa" w:w="110"/>
            </w:tcMar>
          </w:tcPr>
          <w:p>
            <w:pPr>
              <w:spacing w:after="0" w:line="250"/>
            </w:pPr>
            <w:r>
              <w:rPr>
                <w:sz w:val="18"/>
                <w:szCs w:val="18"/>
              </w:rPr>
              <w:t xml:space="preserve">105,217 records, 6 yr, LoRa WSN</w:t>
            </w:r>
          </w:p>
        </w:tc>
        <w:tc>
          <w:tcPr>
            <w:tcW w:type="dxa" w:w="1375"/>
            <w:tcMar>
              <w:top w:type="dxa" w:w="70"/>
              <w:left w:type="dxa" w:w="110"/>
              <w:bottom w:type="dxa" w:w="70"/>
              <w:right w:type="dxa" w:w="110"/>
            </w:tcMar>
          </w:tcPr>
          <w:p>
            <w:pPr>
              <w:spacing w:after="0" w:line="250"/>
            </w:pPr>
            <w:r>
              <w:rPr>
                <w:sz w:val="18"/>
                <w:szCs w:val="18"/>
              </w:rPr>
              <w:t xml:space="preserve">RF / NN / SVM / DT</w:t>
            </w:r>
          </w:p>
        </w:tc>
        <w:tc>
          <w:tcPr>
            <w:tcW w:type="dxa" w:w="2301"/>
            <w:tcMar>
              <w:top w:type="dxa" w:w="70"/>
              <w:left w:type="dxa" w:w="110"/>
              <w:bottom w:type="dxa" w:w="70"/>
              <w:right w:type="dxa" w:w="110"/>
            </w:tcMar>
          </w:tcPr>
          <w:p>
            <w:pPr>
              <w:spacing w:after="0" w:line="250"/>
            </w:pPr>
            <w:r>
              <w:rPr>
                <w:sz w:val="18"/>
                <w:szCs w:val="18"/>
              </w:rPr>
              <w:t xml:space="preserve">RF 84.6%; up to 60% water saved</w:t>
            </w:r>
          </w:p>
        </w:tc>
        <w:tc>
          <w:tcPr>
            <w:tcW w:type="dxa" w:w="2625"/>
            <w:tcMar>
              <w:top w:type="dxa" w:w="70"/>
              <w:left w:type="dxa" w:w="110"/>
              <w:bottom w:type="dxa" w:w="70"/>
              <w:right w:type="dxa" w:w="110"/>
            </w:tcMar>
          </w:tcPr>
          <w:p>
            <w:pPr>
              <w:spacing w:after="0" w:line="250"/>
            </w:pPr>
            <w:r>
              <w:rPr>
                <w:sz w:val="18"/>
                <w:szCs w:val="18"/>
              </w:rPr>
              <w:t xml:space="preserve">RF &gt; NN on tabular sensor data</w:t>
            </w:r>
          </w:p>
        </w:tc>
      </w:tr>
      <w:tr>
        <w:trPr>
          <w:tblHeader w:val="false"/>
        </w:trPr>
        <w:tc>
          <w:tcPr>
            <w:tcW w:type="dxa" w:w="1642"/>
            <w:tcMar>
              <w:top w:type="dxa" w:w="70"/>
              <w:left w:type="dxa" w:w="110"/>
              <w:bottom w:type="dxa" w:w="70"/>
              <w:right w:type="dxa" w:w="110"/>
            </w:tcMar>
          </w:tcPr>
          <w:p>
            <w:pPr>
              <w:spacing w:after="0" w:line="250"/>
            </w:pPr>
            <w:r>
              <w:rPr>
                <w:sz w:val="18"/>
                <w:szCs w:val="18"/>
              </w:rPr>
              <w:t xml:space="preserve">Kashyap et al. (2021)</w:t>
            </w:r>
          </w:p>
        </w:tc>
        <w:tc>
          <w:tcPr>
            <w:tcW w:type="dxa" w:w="1417"/>
            <w:tcMar>
              <w:top w:type="dxa" w:w="70"/>
              <w:left w:type="dxa" w:w="110"/>
              <w:bottom w:type="dxa" w:w="70"/>
              <w:right w:type="dxa" w:w="110"/>
            </w:tcMar>
          </w:tcPr>
          <w:p>
            <w:pPr>
              <w:spacing w:after="0" w:line="250"/>
            </w:pPr>
            <w:r>
              <w:rPr>
                <w:sz w:val="18"/>
                <w:szCs w:val="18"/>
              </w:rPr>
              <w:t xml:space="preserve">IoT sensor sequences</w:t>
            </w:r>
          </w:p>
        </w:tc>
        <w:tc>
          <w:tcPr>
            <w:tcW w:type="dxa" w:w="1375"/>
            <w:tcMar>
              <w:top w:type="dxa" w:w="70"/>
              <w:left w:type="dxa" w:w="110"/>
              <w:bottom w:type="dxa" w:w="70"/>
              <w:right w:type="dxa" w:w="110"/>
            </w:tcMar>
          </w:tcPr>
          <w:p>
            <w:pPr>
              <w:spacing w:after="0" w:line="250"/>
            </w:pPr>
            <w:r>
              <w:rPr>
                <w:sz w:val="18"/>
                <w:szCs w:val="18"/>
              </w:rPr>
              <w:t xml:space="preserve">Deep neural network</w:t>
            </w:r>
          </w:p>
        </w:tc>
        <w:tc>
          <w:tcPr>
            <w:tcW w:type="dxa" w:w="2301"/>
            <w:tcMar>
              <w:top w:type="dxa" w:w="70"/>
              <w:left w:type="dxa" w:w="110"/>
              <w:bottom w:type="dxa" w:w="70"/>
              <w:right w:type="dxa" w:w="110"/>
            </w:tcMar>
          </w:tcPr>
          <w:p>
            <w:pPr>
              <w:spacing w:after="0" w:line="250"/>
            </w:pPr>
            <w:r>
              <w:rPr>
                <w:sz w:val="18"/>
                <w:szCs w:val="18"/>
              </w:rPr>
              <w:t xml:space="preserve">Improved prediction</w:t>
            </w:r>
          </w:p>
        </w:tc>
        <w:tc>
          <w:tcPr>
            <w:tcW w:type="dxa" w:w="2625"/>
            <w:tcMar>
              <w:top w:type="dxa" w:w="70"/>
              <w:left w:type="dxa" w:w="110"/>
              <w:bottom w:type="dxa" w:w="70"/>
              <w:right w:type="dxa" w:w="110"/>
            </w:tcMar>
          </w:tcPr>
          <w:p>
            <w:pPr>
              <w:spacing w:after="0" w:line="250"/>
            </w:pPr>
            <w:r>
              <w:rPr>
                <w:sz w:val="18"/>
                <w:szCs w:val="18"/>
              </w:rPr>
              <w:t xml:space="preserve">Needs sequences + a server — out of scope here</w:t>
            </w:r>
          </w:p>
        </w:tc>
      </w:tr>
    </w:tbl>
    <w:p>
      <w:pPr>
        <w:spacing w:after="200"/>
      </w:pPr>
      <w:r>
        <w:t xml:space="preserve"/>
      </w:r>
    </w:p>
    <w:p>
      <w:pPr>
        <w:pBdr>
          <w:bottom w:val="single" w:color="D8DED3" w:sz="6" w:space="1"/>
        </w:pBdr>
        <w:spacing w:after="180" w:before="180"/>
      </w:pPr>
      <w:r>
        <w:t xml:space="preserve"/>
      </w:r>
    </w:p>
    <w:p>
      <w:pPr>
        <w:pStyle w:val="Heading1"/>
        <w:spacing w:after="160" w:before="380"/>
      </w:pPr>
      <w:r>
        <w:rPr>
          <w:rFonts w:ascii="Calibri" w:cs="Calibri" w:eastAsia="Calibri" w:hAnsi="Calibri"/>
          <w:b/>
          <w:bCs/>
          <w:color w:val="1F5C3A"/>
          <w:sz w:val="30"/>
          <w:szCs w:val="30"/>
        </w:rPr>
        <w:t xml:space="preserve">7. Stream C — The Gap: Disease-Aware Irrigation</w:t>
      </w:r>
    </w:p>
    <w:p>
      <w:pPr>
        <w:spacing w:after="140" w:line="276"/>
      </w:pPr>
      <w:r>
        <w:t xml:space="preserve">Searching the intersection of the two streams returns very little. Papers that address both do so by </w:t>
      </w:r>
      <w:r>
        <w:rPr>
          <w:i/>
          <w:iCs/>
        </w:rPr>
        <w:t xml:space="preserve">co-locating</w:t>
      </w:r>
      <w:r>
        <w:t xml:space="preserve"> them — an IoT platform that happens to host a disease classifier and an irrigation controller as independent services — not by </w:t>
      </w:r>
      <w:r>
        <w:rPr>
          <w:i/>
          <w:iCs/>
        </w:rPr>
        <w:t xml:space="preserve">coupling</w:t>
      </w:r>
      <w:r>
        <w:t xml:space="preserve"> them. No surveyed work lets the output of the disease model change the input, timing or method of the irrigation decision.</w:t>
      </w:r>
    </w:p>
    <w:p>
      <w:pPr>
        <w:spacing w:after="140" w:line="276"/>
      </w:pPr>
      <w:r>
        <w:t xml:space="preserve">This is a substantive omission, because the agronomy is well established:</w:t>
      </w:r>
    </w:p>
    <w:p>
      <w:pPr>
        <w:pStyle w:val="ListParagraph"/>
        <w:numPr>
          <w:ilvl w:val="0"/>
          <w:numId w:val="1"/>
        </w:numPr>
        <w:spacing w:after="70" w:line="276"/>
      </w:pPr>
      <w:r>
        <w:t xml:space="preserve">Foliar fungal and oomycete pathogens — </w:t>
      </w:r>
      <w:r>
        <w:rPr>
          <w:i/>
          <w:iCs/>
        </w:rPr>
        <w:t xml:space="preserve">Phytophthora infestans</w:t>
      </w:r>
      <w:r>
        <w:t xml:space="preserve"> (late blight), </w:t>
      </w:r>
      <w:r>
        <w:rPr>
          <w:i/>
          <w:iCs/>
        </w:rPr>
        <w:t xml:space="preserve">Alternaria solani</w:t>
      </w:r>
      <w:r>
        <w:t xml:space="preserve"> (early blight), </w:t>
      </w:r>
      <w:r>
        <w:rPr>
          <w:i/>
          <w:iCs/>
        </w:rPr>
        <w:t xml:space="preserve">Septoria lycopersici</w:t>
      </w:r>
      <w:r>
        <w:t xml:space="preserve">, </w:t>
      </w:r>
      <w:r>
        <w:rPr>
          <w:i/>
          <w:iCs/>
        </w:rPr>
        <w:t xml:space="preserve">Fulvia fulva</w:t>
      </w:r>
      <w:r>
        <w:t xml:space="preserve"> (leaf mould) — require extended </w:t>
      </w:r>
      <w:r>
        <w:rPr>
          <w:b/>
          <w:bCs/>
        </w:rPr>
        <w:t xml:space="preserve">leaf wetness duration</w:t>
      </w:r>
      <w:r>
        <w:t xml:space="preserve"> and high canopy humidity to germinate and sporulate. Overhead irrigation, and especially evening irrigation that leaves foliage wet overnight, directly increases that risk.</w:t>
      </w:r>
    </w:p>
    <w:p>
      <w:pPr>
        <w:pStyle w:val="ListParagraph"/>
        <w:numPr>
          <w:ilvl w:val="0"/>
          <w:numId w:val="1"/>
        </w:numPr>
        <w:spacing w:after="70" w:line="276"/>
      </w:pPr>
      <w:r>
        <w:t xml:space="preserve">Bacterial pathogens such as </w:t>
      </w:r>
      <w:r>
        <w:rPr>
          <w:i/>
          <w:iCs/>
        </w:rPr>
        <w:t xml:space="preserve">Xanthomonas</w:t>
      </w:r>
      <w:r>
        <w:t xml:space="preserve"> spp. (bacterial spot) are </w:t>
      </w:r>
      <w:r>
        <w:rPr>
          <w:b/>
          <w:bCs/>
        </w:rPr>
        <w:t xml:space="preserve">splash-dispersed</w:t>
      </w:r>
      <w:r>
        <w:t xml:space="preserve">; overhead irrigation actively spreads them between plants.</w:t>
      </w:r>
    </w:p>
    <w:p>
      <w:pPr>
        <w:pStyle w:val="ListParagraph"/>
        <w:numPr>
          <w:ilvl w:val="0"/>
          <w:numId w:val="1"/>
        </w:numPr>
        <w:spacing w:after="70" w:line="276"/>
      </w:pPr>
      <w:r>
        <w:t xml:space="preserve">Conversely, </w:t>
      </w:r>
      <w:r>
        <w:rPr>
          <w:b/>
          <w:bCs/>
        </w:rPr>
        <w:t xml:space="preserve">spider mite</w:t>
      </w:r>
      <w:r>
        <w:t xml:space="preserve"> infestation is favoured by hot, dry, water-stressed conditions, so the correct response is the opposite: maintain rather than reduce moisture.</w:t>
      </w:r>
    </w:p>
    <w:p>
      <w:pPr>
        <w:pStyle w:val="ListParagraph"/>
        <w:numPr>
          <w:ilvl w:val="0"/>
          <w:numId w:val="1"/>
        </w:numPr>
        <w:spacing w:after="70" w:line="276"/>
      </w:pPr>
      <w:r>
        <w:t xml:space="preserve">And a plant already under water stress has reduced capacity to mount a defence response, so blanket irrigation reduction under disease pressure is also wrong.</w:t>
      </w:r>
    </w:p>
    <w:p>
      <w:pPr>
        <w:spacing w:after="140" w:line="276"/>
      </w:pPr>
      <w:r>
        <w:t xml:space="preserve">The correct advisory is therefore neither "irrigate less" nor "irrigate more" but </w:t>
      </w:r>
      <w:r>
        <w:rPr>
          <w:b/>
          <w:bCs/>
        </w:rPr>
        <w:t xml:space="preserve">pathogen-conditional</w:t>
      </w:r>
      <w:r>
        <w:t xml:space="preserve">: keep the soil-water decision as computed, and modify the </w:t>
      </w:r>
      <w:r>
        <w:rPr>
          <w:i/>
          <w:iCs/>
        </w:rPr>
        <w:t xml:space="preserve">method and timing</w:t>
      </w:r>
      <w:r>
        <w:t xml:space="preserve"> (switch from overhead to drip; move irrigation to early morning so foliage dries within the day; extend the interval slightly for splash-dispersed bacteria). No system in the surveyed literature does this.</w:t>
      </w:r>
    </w:p>
    <w:p>
      <w:pPr>
        <w:spacing w:after="140" w:line="276"/>
      </w:pPr>
      <w:r>
        <w:rPr>
          <w:b/>
          <w:bCs/>
        </w:rPr>
        <w:t xml:space="preserve">This is the gap the present project occupies.</w:t>
      </w:r>
      <w:r>
        <w:t xml:space="preserve"> Not a new classifier and not a new irrigation model, but an explicit, auditable </w:t>
      </w:r>
      <w:r>
        <w:rPr>
          <w:b/>
          <w:bCs/>
        </w:rPr>
        <w:t xml:space="preserve">fusion decision table</w:t>
      </w:r>
      <w:r>
        <w:t xml:space="preserve"> in which the detected disease class conditions the irrigation recommendation — implemented, deployed and demonstrable end-to-end offline in a browser.</w:t>
      </w:r>
    </w:p>
    <w:p>
      <w:pPr>
        <w:pBdr>
          <w:bottom w:val="single" w:color="D8DED3" w:sz="6" w:space="1"/>
        </w:pBdr>
        <w:spacing w:after="180" w:before="180"/>
      </w:pPr>
      <w:r>
        <w:t xml:space="preserve"/>
      </w:r>
    </w:p>
    <w:p>
      <w:pPr>
        <w:pStyle w:val="Heading1"/>
        <w:spacing w:after="160" w:before="380"/>
      </w:pPr>
      <w:r>
        <w:rPr>
          <w:rFonts w:ascii="Calibri" w:cs="Calibri" w:eastAsia="Calibri" w:hAnsi="Calibri"/>
          <w:b/>
          <w:bCs/>
          <w:color w:val="1F5C3A"/>
          <w:sz w:val="30"/>
          <w:szCs w:val="30"/>
        </w:rPr>
        <w:t xml:space="preserve">8. Identified Research Gaps</w:t>
      </w:r>
    </w:p>
    <w:tbl>
      <w:tblPr>
        <w:tblW w:type="dxa" w:w="9360"/>
        <w:tblBorders>
          <w:top w:val="single" w:color="D8DED3" w:sz="4"/>
          <w:left w:val="none" w:color="FFFFFF" w:sz="0"/>
          <w:bottom w:val="single" w:color="D8DED3" w:sz="4"/>
          <w:right w:val="none" w:color="FFFFFF" w:sz="0"/>
          <w:insideH w:val="single" w:color="D8DED3" w:sz="2"/>
          <w:insideV w:val="none" w:color="FFFFFF" w:sz="0"/>
        </w:tblBorders>
      </w:tblPr>
      <w:tblGrid>
        <w:gridCol w:w="900"/>
        <w:gridCol w:w="3477"/>
        <w:gridCol w:w="2299"/>
        <w:gridCol w:w="2684"/>
      </w:tblGrid>
      <w:tr>
        <w:trPr>
          <w:tblHeader/>
        </w:trPr>
        <w:tc>
          <w:tcPr>
            <w:tcW w:type="dxa" w:w="900"/>
            <w:shd w:fill="E4EDE6" w:val="clear"/>
            <w:tcMar>
              <w:top w:type="dxa" w:w="70"/>
              <w:left w:type="dxa" w:w="110"/>
              <w:bottom w:type="dxa" w:w="70"/>
              <w:right w:type="dxa" w:w="110"/>
            </w:tcMar>
          </w:tcPr>
          <w:p>
            <w:pPr>
              <w:spacing w:after="0" w:line="250"/>
            </w:pPr>
            <w:r>
              <w:rPr>
                <w:b/>
                <w:bCs/>
                <w:sz w:val="18"/>
                <w:szCs w:val="18"/>
              </w:rPr>
              <w:t xml:space="preserve">#</w:t>
            </w:r>
          </w:p>
        </w:tc>
        <w:tc>
          <w:tcPr>
            <w:tcW w:type="dxa" w:w="3477"/>
            <w:shd w:fill="E4EDE6" w:val="clear"/>
            <w:tcMar>
              <w:top w:type="dxa" w:w="70"/>
              <w:left w:type="dxa" w:w="110"/>
              <w:bottom w:type="dxa" w:w="70"/>
              <w:right w:type="dxa" w:w="110"/>
            </w:tcMar>
          </w:tcPr>
          <w:p>
            <w:pPr>
              <w:spacing w:after="0" w:line="250"/>
            </w:pPr>
            <w:r>
              <w:rPr>
                <w:b/>
                <w:bCs/>
                <w:sz w:val="18"/>
                <w:szCs w:val="18"/>
              </w:rPr>
              <w:t xml:space="preserve">Gap</w:t>
            </w:r>
          </w:p>
        </w:tc>
        <w:tc>
          <w:tcPr>
            <w:tcW w:type="dxa" w:w="2299"/>
            <w:shd w:fill="E4EDE6" w:val="clear"/>
            <w:tcMar>
              <w:top w:type="dxa" w:w="70"/>
              <w:left w:type="dxa" w:w="110"/>
              <w:bottom w:type="dxa" w:w="70"/>
              <w:right w:type="dxa" w:w="110"/>
            </w:tcMar>
          </w:tcPr>
          <w:p>
            <w:pPr>
              <w:spacing w:after="0" w:line="250"/>
            </w:pPr>
            <w:r>
              <w:rPr>
                <w:b/>
                <w:bCs/>
                <w:sz w:val="18"/>
                <w:szCs w:val="18"/>
              </w:rPr>
              <w:t xml:space="preserve">Evidence</w:t>
            </w:r>
          </w:p>
        </w:tc>
        <w:tc>
          <w:tcPr>
            <w:tcW w:type="dxa" w:w="2684"/>
            <w:shd w:fill="E4EDE6" w:val="clear"/>
            <w:tcMar>
              <w:top w:type="dxa" w:w="70"/>
              <w:left w:type="dxa" w:w="110"/>
              <w:bottom w:type="dxa" w:w="70"/>
              <w:right w:type="dxa" w:w="110"/>
            </w:tcMar>
          </w:tcPr>
          <w:p>
            <w:pPr>
              <w:spacing w:after="0" w:line="250"/>
            </w:pPr>
            <w:r>
              <w:rPr>
                <w:b/>
                <w:bCs/>
                <w:sz w:val="18"/>
                <w:szCs w:val="18"/>
              </w:rPr>
              <w:t xml:space="preserve">How this project responds</w:t>
            </w:r>
          </w:p>
        </w:tc>
      </w:tr>
      <w:tr>
        <w:trPr>
          <w:tblHeader w:val="false"/>
        </w:trPr>
        <w:tc>
          <w:tcPr>
            <w:tcW w:type="dxa" w:w="900"/>
            <w:tcMar>
              <w:top w:type="dxa" w:w="70"/>
              <w:left w:type="dxa" w:w="110"/>
              <w:bottom w:type="dxa" w:w="70"/>
              <w:right w:type="dxa" w:w="110"/>
            </w:tcMar>
          </w:tcPr>
          <w:p>
            <w:pPr>
              <w:spacing w:after="0" w:line="250"/>
            </w:pPr>
            <w:r>
              <w:rPr>
                <w:sz w:val="18"/>
                <w:szCs w:val="18"/>
              </w:rPr>
              <w:t xml:space="preserve">G1</w:t>
            </w:r>
          </w:p>
        </w:tc>
        <w:tc>
          <w:tcPr>
            <w:tcW w:type="dxa" w:w="3477"/>
            <w:tcMar>
              <w:top w:type="dxa" w:w="70"/>
              <w:left w:type="dxa" w:w="110"/>
              <w:bottom w:type="dxa" w:w="70"/>
              <w:right w:type="dxa" w:w="110"/>
            </w:tcMar>
          </w:tcPr>
          <w:p>
            <w:pPr>
              <w:spacing w:after="0" w:line="250"/>
            </w:pPr>
            <w:r>
              <w:rPr>
                <w:sz w:val="18"/>
                <w:szCs w:val="18"/>
              </w:rPr>
              <w:t xml:space="preserve">The PlantVillage benchmark is saturated; incremental accuracy on it is not a contribution</w:t>
            </w:r>
          </w:p>
        </w:tc>
        <w:tc>
          <w:tcPr>
            <w:tcW w:type="dxa" w:w="2299"/>
            <w:tcMar>
              <w:top w:type="dxa" w:w="70"/>
              <w:left w:type="dxa" w:w="110"/>
              <w:bottom w:type="dxa" w:w="70"/>
              <w:right w:type="dxa" w:w="110"/>
            </w:tcMar>
          </w:tcPr>
          <w:p>
            <w:pPr>
              <w:spacing w:after="0" w:line="250"/>
            </w:pPr>
            <w:r>
              <w:rPr>
                <w:sz w:val="18"/>
                <w:szCs w:val="18"/>
              </w:rPr>
              <w:t xml:space="preserve">Mohanty 99.35%; Ferentinos 99.53%; Sridhar 99.0%</w:t>
            </w:r>
          </w:p>
        </w:tc>
        <w:tc>
          <w:tcPr>
            <w:tcW w:type="dxa" w:w="2684"/>
            <w:tcMar>
              <w:top w:type="dxa" w:w="70"/>
              <w:left w:type="dxa" w:w="110"/>
              <w:bottom w:type="dxa" w:w="70"/>
              <w:right w:type="dxa" w:w="110"/>
            </w:tcMar>
          </w:tcPr>
          <w:p>
            <w:pPr>
              <w:spacing w:after="0" w:line="250"/>
            </w:pPr>
            <w:r>
              <w:rPr>
                <w:sz w:val="18"/>
                <w:szCs w:val="18"/>
              </w:rPr>
              <w:t xml:space="preserve">Do not compete on benchmark accuracy. Compete on deployability, interpretability and honest OOD reporting</w:t>
            </w:r>
          </w:p>
        </w:tc>
      </w:tr>
      <w:tr>
        <w:trPr>
          <w:tblHeader w:val="false"/>
        </w:trPr>
        <w:tc>
          <w:tcPr>
            <w:tcW w:type="dxa" w:w="900"/>
            <w:tcMar>
              <w:top w:type="dxa" w:w="70"/>
              <w:left w:type="dxa" w:w="110"/>
              <w:bottom w:type="dxa" w:w="70"/>
              <w:right w:type="dxa" w:w="110"/>
            </w:tcMar>
          </w:tcPr>
          <w:p>
            <w:pPr>
              <w:spacing w:after="0" w:line="250"/>
            </w:pPr>
            <w:r>
              <w:rPr>
                <w:sz w:val="18"/>
                <w:szCs w:val="18"/>
              </w:rPr>
              <w:t xml:space="preserve">G2</w:t>
            </w:r>
          </w:p>
        </w:tc>
        <w:tc>
          <w:tcPr>
            <w:tcW w:type="dxa" w:w="3477"/>
            <w:tcMar>
              <w:top w:type="dxa" w:w="70"/>
              <w:left w:type="dxa" w:w="110"/>
              <w:bottom w:type="dxa" w:w="70"/>
              <w:right w:type="dxa" w:w="110"/>
            </w:tcMar>
          </w:tcPr>
          <w:p>
            <w:pPr>
              <w:spacing w:after="0" w:line="250"/>
            </w:pPr>
            <w:r>
              <w:rPr>
                <w:sz w:val="18"/>
                <w:szCs w:val="18"/>
              </w:rPr>
              <w:t xml:space="preserve">Laboratory-to-field generalisation is rarely measured, and collapses when it is</w:t>
            </w:r>
          </w:p>
        </w:tc>
        <w:tc>
          <w:tcPr>
            <w:tcW w:type="dxa" w:w="2299"/>
            <w:tcMar>
              <w:top w:type="dxa" w:w="70"/>
              <w:left w:type="dxa" w:w="110"/>
              <w:bottom w:type="dxa" w:w="70"/>
              <w:right w:type="dxa" w:w="110"/>
            </w:tcMar>
          </w:tcPr>
          <w:p>
            <w:pPr>
              <w:spacing w:after="0" w:line="250"/>
            </w:pPr>
            <w:r>
              <w:rPr>
                <w:sz w:val="18"/>
                <w:szCs w:val="18"/>
              </w:rPr>
              <w:t xml:space="preserve">Mohanty ~31% on unseen conditions; Ahmed 98.79% → 82.47%</w:t>
            </w:r>
          </w:p>
        </w:tc>
        <w:tc>
          <w:tcPr>
            <w:tcW w:type="dxa" w:w="2684"/>
            <w:tcMar>
              <w:top w:type="dxa" w:w="70"/>
              <w:left w:type="dxa" w:w="110"/>
              <w:bottom w:type="dxa" w:w="70"/>
              <w:right w:type="dxa" w:w="110"/>
            </w:tcMar>
          </w:tcPr>
          <w:p>
            <w:pPr>
              <w:spacing w:after="0" w:line="250"/>
            </w:pPr>
            <w:r>
              <w:rPr>
                <w:sz w:val="18"/>
                <w:szCs w:val="18"/>
              </w:rPr>
              <w:t xml:space="preserve">OOD stress test is a mandatory, pre-registered deliverable (Outline §9)</w:t>
            </w:r>
          </w:p>
        </w:tc>
      </w:tr>
      <w:tr>
        <w:trPr>
          <w:tblHeader w:val="false"/>
        </w:trPr>
        <w:tc>
          <w:tcPr>
            <w:tcW w:type="dxa" w:w="900"/>
            <w:tcMar>
              <w:top w:type="dxa" w:w="70"/>
              <w:left w:type="dxa" w:w="110"/>
              <w:bottom w:type="dxa" w:w="70"/>
              <w:right w:type="dxa" w:w="110"/>
            </w:tcMar>
          </w:tcPr>
          <w:p>
            <w:pPr>
              <w:spacing w:after="0" w:line="250"/>
            </w:pPr>
            <w:r>
              <w:rPr>
                <w:sz w:val="18"/>
                <w:szCs w:val="18"/>
              </w:rPr>
              <w:t xml:space="preserve">G3</w:t>
            </w:r>
          </w:p>
        </w:tc>
        <w:tc>
          <w:tcPr>
            <w:tcW w:type="dxa" w:w="3477"/>
            <w:tcMar>
              <w:top w:type="dxa" w:w="70"/>
              <w:left w:type="dxa" w:w="110"/>
              <w:bottom w:type="dxa" w:w="70"/>
              <w:right w:type="dxa" w:w="110"/>
            </w:tcMar>
          </w:tcPr>
          <w:p>
            <w:pPr>
              <w:spacing w:after="0" w:line="250"/>
            </w:pPr>
            <w:r>
              <w:rPr>
                <w:sz w:val="18"/>
                <w:szCs w:val="18"/>
              </w:rPr>
              <w:t xml:space="preserve">State-of-the-art models are undeployable where they are most needed — offline, low-end devices, no server</w:t>
            </w:r>
          </w:p>
        </w:tc>
        <w:tc>
          <w:tcPr>
            <w:tcW w:type="dxa" w:w="2299"/>
            <w:tcMar>
              <w:top w:type="dxa" w:w="70"/>
              <w:left w:type="dxa" w:w="110"/>
              <w:bottom w:type="dxa" w:w="70"/>
              <w:right w:type="dxa" w:w="110"/>
            </w:tcMar>
          </w:tcPr>
          <w:p>
            <w:pPr>
              <w:spacing w:after="0" w:line="250"/>
            </w:pPr>
            <w:r>
              <w:rPr>
                <w:sz w:val="18"/>
                <w:szCs w:val="18"/>
              </w:rPr>
              <w:t xml:space="preserve">Too et al.'s model-size comparison</w:t>
            </w:r>
          </w:p>
        </w:tc>
        <w:tc>
          <w:tcPr>
            <w:tcW w:type="dxa" w:w="2684"/>
            <w:tcMar>
              <w:top w:type="dxa" w:w="70"/>
              <w:left w:type="dxa" w:w="110"/>
              <w:bottom w:type="dxa" w:w="70"/>
              <w:right w:type="dxa" w:w="110"/>
            </w:tcMar>
          </w:tcPr>
          <w:p>
            <w:pPr>
              <w:spacing w:after="0" w:line="250"/>
            </w:pPr>
            <w:r>
              <w:rPr>
                <w:sz w:val="18"/>
                <w:szCs w:val="18"/>
              </w:rPr>
              <w:t xml:space="preserve">Entire run-time system is a static web page: ~100 kB of JSON plus vanilla JS, no backend</w:t>
            </w:r>
          </w:p>
        </w:tc>
      </w:tr>
      <w:tr>
        <w:trPr>
          <w:tblHeader w:val="false"/>
        </w:trPr>
        <w:tc>
          <w:tcPr>
            <w:tcW w:type="dxa" w:w="900"/>
            <w:tcMar>
              <w:top w:type="dxa" w:w="70"/>
              <w:left w:type="dxa" w:w="110"/>
              <w:bottom w:type="dxa" w:w="70"/>
              <w:right w:type="dxa" w:w="110"/>
            </w:tcMar>
          </w:tcPr>
          <w:p>
            <w:pPr>
              <w:spacing w:after="0" w:line="250"/>
            </w:pPr>
            <w:r>
              <w:rPr>
                <w:sz w:val="18"/>
                <w:szCs w:val="18"/>
              </w:rPr>
              <w:t xml:space="preserve">G4</w:t>
            </w:r>
          </w:p>
        </w:tc>
        <w:tc>
          <w:tcPr>
            <w:tcW w:type="dxa" w:w="3477"/>
            <w:tcMar>
              <w:top w:type="dxa" w:w="70"/>
              <w:left w:type="dxa" w:w="110"/>
              <w:bottom w:type="dxa" w:w="70"/>
              <w:right w:type="dxa" w:w="110"/>
            </w:tcMar>
          </w:tcPr>
          <w:p>
            <w:pPr>
              <w:spacing w:after="0" w:line="250"/>
            </w:pPr>
            <w:r>
              <w:rPr>
                <w:sz w:val="18"/>
                <w:szCs w:val="18"/>
              </w:rPr>
              <w:t xml:space="preserve">Hand-crafted feature pipelines are rarely specified precisely enough to be reimplemented exactly</w:t>
            </w:r>
          </w:p>
        </w:tc>
        <w:tc>
          <w:tcPr>
            <w:tcW w:type="dxa" w:w="2299"/>
            <w:tcMar>
              <w:top w:type="dxa" w:w="70"/>
              <w:left w:type="dxa" w:w="110"/>
              <w:bottom w:type="dxa" w:w="70"/>
              <w:right w:type="dxa" w:w="110"/>
            </w:tcMar>
          </w:tcPr>
          <w:p>
            <w:pPr>
              <w:spacing w:after="0" w:line="250"/>
            </w:pPr>
            <w:r>
              <w:rPr>
                <w:sz w:val="18"/>
                <w:szCs w:val="18"/>
              </w:rPr>
              <w:t xml:space="preserve">Feature counts given, exact definitions usually not</w:t>
            </w:r>
          </w:p>
        </w:tc>
        <w:tc>
          <w:tcPr>
            <w:tcW w:type="dxa" w:w="2684"/>
            <w:tcMar>
              <w:top w:type="dxa" w:w="70"/>
              <w:left w:type="dxa" w:w="110"/>
              <w:bottom w:type="dxa" w:w="70"/>
              <w:right w:type="dxa" w:w="110"/>
            </w:tcMar>
          </w:tcPr>
          <w:p>
            <w:pPr>
              <w:spacing w:after="0" w:line="250"/>
            </w:pPr>
            <w:r>
              <w:rPr>
                <w:sz w:val="18"/>
                <w:szCs w:val="18"/>
              </w:rPr>
              <w:t xml:space="preserve">A formal 97-feature contract (Outline §7) implemented twice — Python and JavaScript — with an automated parity test</w:t>
            </w:r>
          </w:p>
        </w:tc>
      </w:tr>
      <w:tr>
        <w:trPr>
          <w:tblHeader w:val="false"/>
        </w:trPr>
        <w:tc>
          <w:tcPr>
            <w:tcW w:type="dxa" w:w="900"/>
            <w:tcMar>
              <w:top w:type="dxa" w:w="70"/>
              <w:left w:type="dxa" w:w="110"/>
              <w:bottom w:type="dxa" w:w="70"/>
              <w:right w:type="dxa" w:w="110"/>
            </w:tcMar>
          </w:tcPr>
          <w:p>
            <w:pPr>
              <w:spacing w:after="0" w:line="250"/>
            </w:pPr>
            <w:r>
              <w:rPr>
                <w:sz w:val="18"/>
                <w:szCs w:val="18"/>
              </w:rPr>
              <w:t xml:space="preserve">G5</w:t>
            </w:r>
          </w:p>
        </w:tc>
        <w:tc>
          <w:tcPr>
            <w:tcW w:type="dxa" w:w="3477"/>
            <w:tcMar>
              <w:top w:type="dxa" w:w="70"/>
              <w:left w:type="dxa" w:w="110"/>
              <w:bottom w:type="dxa" w:w="70"/>
              <w:right w:type="dxa" w:w="110"/>
            </w:tcMar>
          </w:tcPr>
          <w:p>
            <w:pPr>
              <w:spacing w:after="0" w:line="250"/>
            </w:pPr>
            <w:r>
              <w:rPr>
                <w:sz w:val="18"/>
                <w:szCs w:val="18"/>
              </w:rPr>
              <w:t xml:space="preserve">Disease detection and irrigation control are treated as independent problems despite well-documented agronomic coupling</w:t>
            </w:r>
          </w:p>
        </w:tc>
        <w:tc>
          <w:tcPr>
            <w:tcW w:type="dxa" w:w="2299"/>
            <w:tcMar>
              <w:top w:type="dxa" w:w="70"/>
              <w:left w:type="dxa" w:w="110"/>
              <w:bottom w:type="dxa" w:w="70"/>
              <w:right w:type="dxa" w:w="110"/>
            </w:tcMar>
          </w:tcPr>
          <w:p>
            <w:pPr>
              <w:spacing w:after="0" w:line="250"/>
            </w:pPr>
            <w:r>
              <w:rPr>
                <w:sz w:val="18"/>
                <w:szCs w:val="18"/>
              </w:rPr>
              <w:t xml:space="preserve">No coupled system found in streams A or B</w:t>
            </w:r>
          </w:p>
        </w:tc>
        <w:tc>
          <w:tcPr>
            <w:tcW w:type="dxa" w:w="2684"/>
            <w:tcMar>
              <w:top w:type="dxa" w:w="70"/>
              <w:left w:type="dxa" w:w="110"/>
              <w:bottom w:type="dxa" w:w="70"/>
              <w:right w:type="dxa" w:w="110"/>
            </w:tcMar>
          </w:tcPr>
          <w:p>
            <w:pPr>
              <w:spacing w:after="0" w:line="250"/>
            </w:pPr>
            <w:r>
              <w:rPr>
                <w:sz w:val="18"/>
                <w:szCs w:val="18"/>
              </w:rPr>
              <w:t xml:space="preserve">An explicit pathogen-conditional fusion decision table linking the two models</w:t>
            </w:r>
          </w:p>
        </w:tc>
      </w:tr>
    </w:tbl>
    <w:p>
      <w:pPr>
        <w:spacing w:after="200"/>
      </w:pPr>
      <w:r>
        <w:t xml:space="preserve"/>
      </w:r>
    </w:p>
    <w:p>
      <w:pPr>
        <w:pBdr>
          <w:bottom w:val="single" w:color="D8DED3" w:sz="6" w:space="1"/>
        </w:pBdr>
        <w:spacing w:after="180" w:before="180"/>
      </w:pPr>
      <w:r>
        <w:t xml:space="preserve"/>
      </w:r>
    </w:p>
    <w:p>
      <w:pPr>
        <w:pStyle w:val="Heading1"/>
        <w:spacing w:after="160" w:before="380"/>
      </w:pPr>
      <w:r>
        <w:rPr>
          <w:rFonts w:ascii="Calibri" w:cs="Calibri" w:eastAsia="Calibri" w:hAnsi="Calibri"/>
          <w:b/>
          <w:bCs/>
          <w:color w:val="1F5C3A"/>
          <w:sz w:val="30"/>
          <w:szCs w:val="30"/>
        </w:rPr>
        <w:t xml:space="preserve">9. Positioning of the Proposed Work</w:t>
      </w:r>
    </w:p>
    <w:tbl>
      <w:tblPr>
        <w:tblW w:type="dxa" w:w="9360"/>
        <w:tblBorders>
          <w:top w:val="single" w:color="D8DED3" w:sz="4"/>
          <w:left w:val="none" w:color="FFFFFF" w:sz="0"/>
          <w:bottom w:val="single" w:color="D8DED3" w:sz="4"/>
          <w:right w:val="none" w:color="FFFFFF" w:sz="0"/>
          <w:insideH w:val="single" w:color="D8DED3" w:sz="2"/>
          <w:insideV w:val="none" w:color="FFFFFF" w:sz="0"/>
        </w:tblBorders>
      </w:tblPr>
      <w:tblGrid>
        <w:gridCol w:w="2043"/>
        <w:gridCol w:w="2795"/>
        <w:gridCol w:w="4522"/>
      </w:tblGrid>
      <w:tr>
        <w:trPr>
          <w:tblHeader/>
        </w:trPr>
        <w:tc>
          <w:tcPr>
            <w:tcW w:type="dxa" w:w="2043"/>
            <w:shd w:fill="E4EDE6" w:val="clear"/>
            <w:tcMar>
              <w:top w:type="dxa" w:w="70"/>
              <w:left w:type="dxa" w:w="110"/>
              <w:bottom w:type="dxa" w:w="70"/>
              <w:right w:type="dxa" w:w="110"/>
            </w:tcMar>
          </w:tcPr>
          <w:p>
            <w:pPr>
              <w:spacing w:after="0" w:line="250"/>
            </w:pPr>
            <w:r>
              <w:rPr>
                <w:b/>
                <w:bCs/>
                <w:sz w:val="18"/>
                <w:szCs w:val="18"/>
              </w:rPr>
              <w:t xml:space="preserve">Dimension</w:t>
            </w:r>
          </w:p>
        </w:tc>
        <w:tc>
          <w:tcPr>
            <w:tcW w:type="dxa" w:w="2795"/>
            <w:shd w:fill="E4EDE6" w:val="clear"/>
            <w:tcMar>
              <w:top w:type="dxa" w:w="70"/>
              <w:left w:type="dxa" w:w="110"/>
              <w:bottom w:type="dxa" w:w="70"/>
              <w:right w:type="dxa" w:w="110"/>
            </w:tcMar>
          </w:tcPr>
          <w:p>
            <w:pPr>
              <w:spacing w:after="0" w:line="250"/>
            </w:pPr>
            <w:r>
              <w:rPr>
                <w:b/>
                <w:bCs/>
                <w:sz w:val="18"/>
                <w:szCs w:val="18"/>
              </w:rPr>
              <w:t xml:space="preserve">Prevailing literature</w:t>
            </w:r>
          </w:p>
        </w:tc>
        <w:tc>
          <w:tcPr>
            <w:tcW w:type="dxa" w:w="4522"/>
            <w:shd w:fill="E4EDE6" w:val="clear"/>
            <w:tcMar>
              <w:top w:type="dxa" w:w="70"/>
              <w:left w:type="dxa" w:w="110"/>
              <w:bottom w:type="dxa" w:w="70"/>
              <w:right w:type="dxa" w:w="110"/>
            </w:tcMar>
          </w:tcPr>
          <w:p>
            <w:pPr>
              <w:spacing w:after="0" w:line="250"/>
            </w:pPr>
            <w:r>
              <w:rPr>
                <w:b/>
                <w:bCs/>
                <w:sz w:val="18"/>
                <w:szCs w:val="18"/>
              </w:rPr>
              <w:t xml:space="preserve">This project</w:t>
            </w:r>
          </w:p>
        </w:tc>
      </w:tr>
      <w:tr>
        <w:trPr>
          <w:tblHeader w:val="false"/>
        </w:trPr>
        <w:tc>
          <w:tcPr>
            <w:tcW w:type="dxa" w:w="2043"/>
            <w:tcMar>
              <w:top w:type="dxa" w:w="70"/>
              <w:left w:type="dxa" w:w="110"/>
              <w:bottom w:type="dxa" w:w="70"/>
              <w:right w:type="dxa" w:w="110"/>
            </w:tcMar>
          </w:tcPr>
          <w:p>
            <w:pPr>
              <w:spacing w:after="0" w:line="250"/>
            </w:pPr>
            <w:r>
              <w:rPr>
                <w:sz w:val="18"/>
                <w:szCs w:val="18"/>
              </w:rPr>
              <w:t xml:space="preserve">Model family</w:t>
            </w:r>
          </w:p>
        </w:tc>
        <w:tc>
          <w:tcPr>
            <w:tcW w:type="dxa" w:w="2795"/>
            <w:tcMar>
              <w:top w:type="dxa" w:w="70"/>
              <w:left w:type="dxa" w:w="110"/>
              <w:bottom w:type="dxa" w:w="70"/>
              <w:right w:type="dxa" w:w="110"/>
            </w:tcMar>
          </w:tcPr>
          <w:p>
            <w:pPr>
              <w:spacing w:after="0" w:line="250"/>
            </w:pPr>
            <w:r>
              <w:rPr>
                <w:sz w:val="18"/>
                <w:szCs w:val="18"/>
              </w:rPr>
              <w:t xml:space="preserve">Deep CNN (VGG, ResNet, DenseNet, Inception)</w:t>
            </w:r>
          </w:p>
        </w:tc>
        <w:tc>
          <w:tcPr>
            <w:tcW w:type="dxa" w:w="4522"/>
            <w:tcMar>
              <w:top w:type="dxa" w:w="70"/>
              <w:left w:type="dxa" w:w="110"/>
              <w:bottom w:type="dxa" w:w="70"/>
              <w:right w:type="dxa" w:w="110"/>
            </w:tcMar>
          </w:tcPr>
          <w:p>
            <w:pPr>
              <w:spacing w:after="0" w:line="250"/>
            </w:pPr>
            <w:r>
              <w:rPr>
                <w:sz w:val="18"/>
                <w:szCs w:val="18"/>
              </w:rPr>
              <w:t xml:space="preserve">Hand-crafted features + SVM / RF / gradient boosting</w:t>
            </w:r>
          </w:p>
        </w:tc>
      </w:tr>
      <w:tr>
        <w:trPr>
          <w:tblHeader w:val="false"/>
        </w:trPr>
        <w:tc>
          <w:tcPr>
            <w:tcW w:type="dxa" w:w="2043"/>
            <w:tcMar>
              <w:top w:type="dxa" w:w="70"/>
              <w:left w:type="dxa" w:w="110"/>
              <w:bottom w:type="dxa" w:w="70"/>
              <w:right w:type="dxa" w:w="110"/>
            </w:tcMar>
          </w:tcPr>
          <w:p>
            <w:pPr>
              <w:spacing w:after="0" w:line="250"/>
            </w:pPr>
            <w:r>
              <w:rPr>
                <w:sz w:val="18"/>
                <w:szCs w:val="18"/>
              </w:rPr>
              <w:t xml:space="preserve">Training hardware</w:t>
            </w:r>
          </w:p>
        </w:tc>
        <w:tc>
          <w:tcPr>
            <w:tcW w:type="dxa" w:w="2795"/>
            <w:tcMar>
              <w:top w:type="dxa" w:w="70"/>
              <w:left w:type="dxa" w:w="110"/>
              <w:bottom w:type="dxa" w:w="70"/>
              <w:right w:type="dxa" w:w="110"/>
            </w:tcMar>
          </w:tcPr>
          <w:p>
            <w:pPr>
              <w:spacing w:after="0" w:line="250"/>
            </w:pPr>
            <w:r>
              <w:rPr>
                <w:sz w:val="18"/>
                <w:szCs w:val="18"/>
              </w:rPr>
              <w:t xml:space="preserve">GPU</w:t>
            </w:r>
          </w:p>
        </w:tc>
        <w:tc>
          <w:tcPr>
            <w:tcW w:type="dxa" w:w="4522"/>
            <w:tcMar>
              <w:top w:type="dxa" w:w="70"/>
              <w:left w:type="dxa" w:w="110"/>
              <w:bottom w:type="dxa" w:w="70"/>
              <w:right w:type="dxa" w:w="110"/>
            </w:tcMar>
          </w:tcPr>
          <w:p>
            <w:pPr>
              <w:spacing w:after="0" w:line="250"/>
            </w:pPr>
            <w:r>
              <w:rPr>
                <w:sz w:val="18"/>
                <w:szCs w:val="18"/>
              </w:rPr>
              <w:t xml:space="preserve">CPU laptop</w:t>
            </w:r>
          </w:p>
        </w:tc>
      </w:tr>
      <w:tr>
        <w:trPr>
          <w:tblHeader w:val="false"/>
        </w:trPr>
        <w:tc>
          <w:tcPr>
            <w:tcW w:type="dxa" w:w="2043"/>
            <w:tcMar>
              <w:top w:type="dxa" w:w="70"/>
              <w:left w:type="dxa" w:w="110"/>
              <w:bottom w:type="dxa" w:w="70"/>
              <w:right w:type="dxa" w:w="110"/>
            </w:tcMar>
          </w:tcPr>
          <w:p>
            <w:pPr>
              <w:spacing w:after="0" w:line="250"/>
            </w:pPr>
            <w:r>
              <w:rPr>
                <w:sz w:val="18"/>
                <w:szCs w:val="18"/>
              </w:rPr>
              <w:t xml:space="preserve">Deployed artefact</w:t>
            </w:r>
          </w:p>
        </w:tc>
        <w:tc>
          <w:tcPr>
            <w:tcW w:type="dxa" w:w="2795"/>
            <w:tcMar>
              <w:top w:type="dxa" w:w="70"/>
              <w:left w:type="dxa" w:w="110"/>
              <w:bottom w:type="dxa" w:w="70"/>
              <w:right w:type="dxa" w:w="110"/>
            </w:tcMar>
          </w:tcPr>
          <w:p>
            <w:pPr>
              <w:spacing w:after="0" w:line="250"/>
            </w:pPr>
            <w:r>
              <w:rPr>
                <w:sz w:val="18"/>
                <w:szCs w:val="18"/>
              </w:rPr>
              <w:t xml:space="preserve">10–500 MB weights + inference server</w:t>
            </w:r>
          </w:p>
        </w:tc>
        <w:tc>
          <w:tcPr>
            <w:tcW w:type="dxa" w:w="4522"/>
            <w:tcMar>
              <w:top w:type="dxa" w:w="70"/>
              <w:left w:type="dxa" w:w="110"/>
              <w:bottom w:type="dxa" w:w="70"/>
              <w:right w:type="dxa" w:w="110"/>
            </w:tcMar>
          </w:tcPr>
          <w:p>
            <w:pPr>
              <w:spacing w:after="0" w:line="250"/>
            </w:pPr>
            <w:r>
              <w:rPr>
                <w:sz w:val="18"/>
                <w:szCs w:val="18"/>
              </w:rPr>
              <w:t xml:space="preserve">~100 kB JSON in a static page</w:t>
            </w:r>
          </w:p>
        </w:tc>
      </w:tr>
      <w:tr>
        <w:trPr>
          <w:tblHeader w:val="false"/>
        </w:trPr>
        <w:tc>
          <w:tcPr>
            <w:tcW w:type="dxa" w:w="2043"/>
            <w:tcMar>
              <w:top w:type="dxa" w:w="70"/>
              <w:left w:type="dxa" w:w="110"/>
              <w:bottom w:type="dxa" w:w="70"/>
              <w:right w:type="dxa" w:w="110"/>
            </w:tcMar>
          </w:tcPr>
          <w:p>
            <w:pPr>
              <w:spacing w:after="0" w:line="250"/>
            </w:pPr>
            <w:r>
              <w:rPr>
                <w:sz w:val="18"/>
                <w:szCs w:val="18"/>
              </w:rPr>
              <w:t xml:space="preserve">Connectivity at inference</w:t>
            </w:r>
          </w:p>
        </w:tc>
        <w:tc>
          <w:tcPr>
            <w:tcW w:type="dxa" w:w="2795"/>
            <w:tcMar>
              <w:top w:type="dxa" w:w="70"/>
              <w:left w:type="dxa" w:w="110"/>
              <w:bottom w:type="dxa" w:w="70"/>
              <w:right w:type="dxa" w:w="110"/>
            </w:tcMar>
          </w:tcPr>
          <w:p>
            <w:pPr>
              <w:spacing w:after="0" w:line="250"/>
            </w:pPr>
            <w:r>
              <w:rPr>
                <w:sz w:val="18"/>
                <w:szCs w:val="18"/>
              </w:rPr>
              <w:t xml:space="preserve">Required</w:t>
            </w:r>
          </w:p>
        </w:tc>
        <w:tc>
          <w:tcPr>
            <w:tcW w:type="dxa" w:w="4522"/>
            <w:tcMar>
              <w:top w:type="dxa" w:w="70"/>
              <w:left w:type="dxa" w:w="110"/>
              <w:bottom w:type="dxa" w:w="70"/>
              <w:right w:type="dxa" w:w="110"/>
            </w:tcMar>
          </w:tcPr>
          <w:p>
            <w:pPr>
              <w:spacing w:after="0" w:line="250"/>
            </w:pPr>
            <w:r>
              <w:rPr>
                <w:b/>
                <w:bCs/>
                <w:sz w:val="18"/>
                <w:szCs w:val="18"/>
              </w:rPr>
              <w:t xml:space="preserve">None</w:t>
            </w:r>
          </w:p>
        </w:tc>
      </w:tr>
      <w:tr>
        <w:trPr>
          <w:tblHeader w:val="false"/>
        </w:trPr>
        <w:tc>
          <w:tcPr>
            <w:tcW w:type="dxa" w:w="2043"/>
            <w:tcMar>
              <w:top w:type="dxa" w:w="70"/>
              <w:left w:type="dxa" w:w="110"/>
              <w:bottom w:type="dxa" w:w="70"/>
              <w:right w:type="dxa" w:w="110"/>
            </w:tcMar>
          </w:tcPr>
          <w:p>
            <w:pPr>
              <w:spacing w:after="0" w:line="250"/>
            </w:pPr>
            <w:r>
              <w:rPr>
                <w:sz w:val="18"/>
                <w:szCs w:val="18"/>
              </w:rPr>
              <w:t xml:space="preserve">Interpretability</w:t>
            </w:r>
          </w:p>
        </w:tc>
        <w:tc>
          <w:tcPr>
            <w:tcW w:type="dxa" w:w="2795"/>
            <w:tcMar>
              <w:top w:type="dxa" w:w="70"/>
              <w:left w:type="dxa" w:w="110"/>
              <w:bottom w:type="dxa" w:w="70"/>
              <w:right w:type="dxa" w:w="110"/>
            </w:tcMar>
          </w:tcPr>
          <w:p>
            <w:pPr>
              <w:spacing w:after="0" w:line="250"/>
            </w:pPr>
            <w:r>
              <w:rPr>
                <w:sz w:val="18"/>
                <w:szCs w:val="18"/>
              </w:rPr>
              <w:t xml:space="preserve">Post-hoc saliency</w:t>
            </w:r>
          </w:p>
        </w:tc>
        <w:tc>
          <w:tcPr>
            <w:tcW w:type="dxa" w:w="4522"/>
            <w:tcMar>
              <w:top w:type="dxa" w:w="70"/>
              <w:left w:type="dxa" w:w="110"/>
              <w:bottom w:type="dxa" w:w="70"/>
              <w:right w:type="dxa" w:w="110"/>
            </w:tcMar>
          </w:tcPr>
          <w:p>
            <w:pPr>
              <w:spacing w:after="0" w:line="250"/>
            </w:pPr>
            <w:r>
              <w:rPr>
                <w:sz w:val="18"/>
                <w:szCs w:val="18"/>
              </w:rPr>
              <w:t xml:space="preserve">97 named, physically meaningful features + permutation importance</w:t>
            </w:r>
          </w:p>
        </w:tc>
      </w:tr>
      <w:tr>
        <w:trPr>
          <w:tblHeader w:val="false"/>
        </w:trPr>
        <w:tc>
          <w:tcPr>
            <w:tcW w:type="dxa" w:w="2043"/>
            <w:tcMar>
              <w:top w:type="dxa" w:w="70"/>
              <w:left w:type="dxa" w:w="110"/>
              <w:bottom w:type="dxa" w:w="70"/>
              <w:right w:type="dxa" w:w="110"/>
            </w:tcMar>
          </w:tcPr>
          <w:p>
            <w:pPr>
              <w:spacing w:after="0" w:line="250"/>
            </w:pPr>
            <w:r>
              <w:rPr>
                <w:sz w:val="18"/>
                <w:szCs w:val="18"/>
              </w:rPr>
              <w:t xml:space="preserve">Headline accuracy</w:t>
            </w:r>
          </w:p>
        </w:tc>
        <w:tc>
          <w:tcPr>
            <w:tcW w:type="dxa" w:w="2795"/>
            <w:tcMar>
              <w:top w:type="dxa" w:w="70"/>
              <w:left w:type="dxa" w:w="110"/>
              <w:bottom w:type="dxa" w:w="70"/>
              <w:right w:type="dxa" w:w="110"/>
            </w:tcMar>
          </w:tcPr>
          <w:p>
            <w:pPr>
              <w:spacing w:after="0" w:line="250"/>
            </w:pPr>
            <w:r>
              <w:rPr>
                <w:sz w:val="18"/>
                <w:szCs w:val="18"/>
              </w:rPr>
              <w:t xml:space="preserve">99%+ on PlantVillage</w:t>
            </w:r>
          </w:p>
        </w:tc>
        <w:tc>
          <w:tcPr>
            <w:tcW w:type="dxa" w:w="4522"/>
            <w:tcMar>
              <w:top w:type="dxa" w:w="70"/>
              <w:left w:type="dxa" w:w="110"/>
              <w:bottom w:type="dxa" w:w="70"/>
              <w:right w:type="dxa" w:w="110"/>
            </w:tcMar>
          </w:tcPr>
          <w:p>
            <w:pPr>
              <w:spacing w:after="0" w:line="250"/>
            </w:pPr>
            <w:r>
              <w:rPr>
                <w:sz w:val="18"/>
                <w:szCs w:val="18"/>
              </w:rPr>
              <w:t xml:space="preserve">Target ≥ 90% macro-F1 — with the field gap measured and published</w:t>
            </w:r>
          </w:p>
        </w:tc>
      </w:tr>
      <w:tr>
        <w:trPr>
          <w:tblHeader w:val="false"/>
        </w:trPr>
        <w:tc>
          <w:tcPr>
            <w:tcW w:type="dxa" w:w="2043"/>
            <w:tcMar>
              <w:top w:type="dxa" w:w="70"/>
              <w:left w:type="dxa" w:w="110"/>
              <w:bottom w:type="dxa" w:w="70"/>
              <w:right w:type="dxa" w:w="110"/>
            </w:tcMar>
          </w:tcPr>
          <w:p>
            <w:pPr>
              <w:spacing w:after="0" w:line="250"/>
            </w:pPr>
            <w:r>
              <w:rPr>
                <w:sz w:val="18"/>
                <w:szCs w:val="18"/>
              </w:rPr>
              <w:t xml:space="preserve">Irrigation coupling</w:t>
            </w:r>
          </w:p>
        </w:tc>
        <w:tc>
          <w:tcPr>
            <w:tcW w:type="dxa" w:w="2795"/>
            <w:tcMar>
              <w:top w:type="dxa" w:w="70"/>
              <w:left w:type="dxa" w:w="110"/>
              <w:bottom w:type="dxa" w:w="70"/>
              <w:right w:type="dxa" w:w="110"/>
            </w:tcMar>
          </w:tcPr>
          <w:p>
            <w:pPr>
              <w:spacing w:after="0" w:line="250"/>
            </w:pPr>
            <w:r>
              <w:rPr>
                <w:sz w:val="18"/>
                <w:szCs w:val="18"/>
              </w:rPr>
              <w:t xml:space="preserve">Absent or co-located</w:t>
            </w:r>
          </w:p>
        </w:tc>
        <w:tc>
          <w:tcPr>
            <w:tcW w:type="dxa" w:w="4522"/>
            <w:tcMar>
              <w:top w:type="dxa" w:w="70"/>
              <w:left w:type="dxa" w:w="110"/>
              <w:bottom w:type="dxa" w:w="70"/>
              <w:right w:type="dxa" w:w="110"/>
            </w:tcMar>
          </w:tcPr>
          <w:p>
            <w:pPr>
              <w:spacing w:after="0" w:line="250"/>
            </w:pPr>
            <w:r>
              <w:rPr>
                <w:sz w:val="18"/>
                <w:szCs w:val="18"/>
              </w:rPr>
              <w:t xml:space="preserve">Explicit pathogen-conditional fusion table</w:t>
            </w:r>
          </w:p>
        </w:tc>
      </w:tr>
      <w:tr>
        <w:trPr>
          <w:tblHeader w:val="false"/>
        </w:trPr>
        <w:tc>
          <w:tcPr>
            <w:tcW w:type="dxa" w:w="2043"/>
            <w:tcMar>
              <w:top w:type="dxa" w:w="70"/>
              <w:left w:type="dxa" w:w="110"/>
              <w:bottom w:type="dxa" w:w="70"/>
              <w:right w:type="dxa" w:w="110"/>
            </w:tcMar>
          </w:tcPr>
          <w:p>
            <w:pPr>
              <w:spacing w:after="0" w:line="250"/>
            </w:pPr>
            <w:r>
              <w:rPr>
                <w:sz w:val="18"/>
                <w:szCs w:val="18"/>
              </w:rPr>
              <w:t xml:space="preserve">Irrigation ground truth</w:t>
            </w:r>
          </w:p>
        </w:tc>
        <w:tc>
          <w:tcPr>
            <w:tcW w:type="dxa" w:w="2795"/>
            <w:tcMar>
              <w:top w:type="dxa" w:w="70"/>
              <w:left w:type="dxa" w:w="110"/>
              <w:bottom w:type="dxa" w:w="70"/>
              <w:right w:type="dxa" w:w="110"/>
            </w:tcMar>
          </w:tcPr>
          <w:p>
            <w:pPr>
              <w:spacing w:after="0" w:line="250"/>
            </w:pPr>
            <w:r>
              <w:rPr>
                <w:sz w:val="18"/>
                <w:szCs w:val="18"/>
              </w:rPr>
              <w:t xml:space="preserve">Agronomist logs (Goldstein) or unvetted CSVs</w:t>
            </w:r>
          </w:p>
        </w:tc>
        <w:tc>
          <w:tcPr>
            <w:tcW w:type="dxa" w:w="4522"/>
            <w:tcMar>
              <w:top w:type="dxa" w:w="70"/>
              <w:left w:type="dxa" w:w="110"/>
              <w:bottom w:type="dxa" w:w="70"/>
              <w:right w:type="dxa" w:w="110"/>
            </w:tcMar>
          </w:tcPr>
          <w:p>
            <w:pPr>
              <w:spacing w:after="0" w:line="250"/>
            </w:pPr>
            <w:r>
              <w:rPr>
                <w:sz w:val="18"/>
                <w:szCs w:val="18"/>
              </w:rPr>
              <w:t xml:space="preserve">FAO-56 reference water balance, fully documented and regenerable</w:t>
            </w:r>
          </w:p>
        </w:tc>
      </w:tr>
    </w:tbl>
    <w:p>
      <w:pPr>
        <w:spacing w:after="200"/>
      </w:pPr>
      <w:r>
        <w:t xml:space="preserve"/>
      </w:r>
    </w:p>
    <w:p>
      <w:pPr>
        <w:spacing w:after="140" w:line="276"/>
      </w:pPr>
      <w:r>
        <w:t xml:space="preserve">The claim of this work is deliberately narrow and defensible: </w:t>
      </w:r>
      <w:r>
        <w:rPr>
          <w:b/>
          <w:bCs/>
        </w:rPr>
        <w:t xml:space="preserve">not that classical machine learning is better than deep learning for plant disease recognition, but that at a fraction of the size, cost and infrastructure it reaches an accuracy that is useful for field triage — and that within that budget there is room left over to do something the larger models have not done, namely couple the diagnosis to the irrigation decision.</w:t>
      </w:r>
    </w:p>
    <w:p>
      <w:pPr>
        <w:pBdr>
          <w:bottom w:val="single" w:color="D8DED3" w:sz="6" w:space="1"/>
        </w:pBdr>
        <w:spacing w:after="180" w:before="180"/>
      </w:pPr>
      <w:r>
        <w:t xml:space="preserve"/>
      </w:r>
    </w:p>
    <w:p>
      <w:pPr>
        <w:pStyle w:val="Heading1"/>
        <w:spacing w:after="160" w:before="380"/>
      </w:pPr>
      <w:r>
        <w:rPr>
          <w:rFonts w:ascii="Calibri" w:cs="Calibri" w:eastAsia="Calibri" w:hAnsi="Calibri"/>
          <w:b/>
          <w:bCs/>
          <w:color w:val="1F5C3A"/>
          <w:sz w:val="30"/>
          <w:szCs w:val="30"/>
        </w:rPr>
        <w:t xml:space="preserve">10. References</w:t>
      </w:r>
    </w:p>
    <w:p>
      <w:pPr>
        <w:spacing w:after="140" w:line="276"/>
      </w:pPr>
      <w:r>
        <w:t xml:space="preserve">[1] T. Rumpf, A.-K. Mahlein, U. Steiner, E.-C. Oerke, H.-W. Dehne, and L. Plümer, "Early detection and classification of plant diseases with Support Vector Machines based on hyperspectral reflectance," </w:t>
      </w:r>
      <w:r>
        <w:rPr>
          <w:i/>
          <w:iCs/>
        </w:rPr>
        <w:t xml:space="preserve">Computers and Electronics in Agriculture</w:t>
      </w:r>
      <w:r>
        <w:t xml:space="preserve">, vol. 74, no. 1, pp. 91–99, 2010. doi:10.1016/j.compag.2010.06.009</w:t>
      </w:r>
    </w:p>
    <w:p>
      <w:pPr>
        <w:spacing w:after="140" w:line="276"/>
      </w:pPr>
      <w:r>
        <w:t xml:space="preserve">[2] V. Singh and A. K. Misra, "Detection of plant leaf diseases using image segmentation and soft computing techniques," </w:t>
      </w:r>
      <w:r>
        <w:rPr>
          <w:i/>
          <w:iCs/>
        </w:rPr>
        <w:t xml:space="preserve">Information Processing in Agriculture</w:t>
      </w:r>
      <w:r>
        <w:t xml:space="preserve">, vol. 4, no. 1, pp. 41–49, 2017. doi:10.1016/j.inpa.2016.10.005</w:t>
      </w:r>
    </w:p>
    <w:p>
      <w:pPr>
        <w:spacing w:after="140" w:line="276"/>
      </w:pPr>
      <w:r>
        <w:t xml:space="preserve">[3] N. Ahmed, H. M. S. Asif, and G. Saleem, "Leaf image-based plant disease identification using color and texture features," </w:t>
      </w:r>
      <w:r>
        <w:rPr>
          <w:i/>
          <w:iCs/>
        </w:rPr>
        <w:t xml:space="preserve">Wireless Personal Communications</w:t>
      </w:r>
      <w:r>
        <w:t xml:space="preserve">, 2021. Preprint: arXiv:2102.04515</w:t>
      </w:r>
    </w:p>
    <w:p>
      <w:pPr>
        <w:spacing w:after="140" w:line="276"/>
      </w:pPr>
      <w:r>
        <w:t xml:space="preserve">[4] A. Tabbakh and S. S. Barpanda, "Evaluation of machine learning models for plant disease classification using modified GLCM and wavelet based statistical features," </w:t>
      </w:r>
      <w:r>
        <w:rPr>
          <w:i/>
          <w:iCs/>
        </w:rPr>
        <w:t xml:space="preserve">Traitement du Signal</w:t>
      </w:r>
      <w:r>
        <w:t xml:space="preserve">, vol. 39, no. 6, pp. 1893–1905, 2022. doi:10.18280/ts.390602</w:t>
      </w:r>
    </w:p>
    <w:p>
      <w:pPr>
        <w:spacing w:after="140" w:line="276"/>
      </w:pPr>
      <w:r>
        <w:t xml:space="preserve">[5] P. Sridhar and P. Angamuthu, "Enhancing image based classification for crop disease detection using a multiclass SVM approach with kernel comparison," </w:t>
      </w:r>
      <w:r>
        <w:rPr>
          <w:i/>
          <w:iCs/>
        </w:rPr>
        <w:t xml:space="preserve">Scientific Reports</w:t>
      </w:r>
      <w:r>
        <w:t xml:space="preserve">, vol. 15, art. 40055, 2025. doi:10.1038/s41598-025-23568-w</w:t>
      </w:r>
    </w:p>
    <w:p>
      <w:pPr>
        <w:spacing w:after="140" w:line="276"/>
      </w:pPr>
      <w:r>
        <w:t xml:space="preserve">[6] R. M. Haralick, K. Shanmugam, and I. Dinstein, "Textural features for image classification," </w:t>
      </w:r>
      <w:r>
        <w:rPr>
          <w:i/>
          <w:iCs/>
        </w:rPr>
        <w:t xml:space="preserve">IEEE Transactions on Systems, Man, and Cybernetics</w:t>
      </w:r>
      <w:r>
        <w:t xml:space="preserve">, vol. SMC-3, no. 6, pp. 610–621, 1973.</w:t>
      </w:r>
    </w:p>
    <w:p>
      <w:pPr>
        <w:spacing w:after="140" w:line="276"/>
      </w:pPr>
      <w:r>
        <w:t xml:space="preserve">[7] T. Ojala, M. Pietikäinen, and T. Mäenpää, "Multiresolution gray-scale and rotation invariant texture classification with local binary patterns," </w:t>
      </w:r>
      <w:r>
        <w:rPr>
          <w:i/>
          <w:iCs/>
        </w:rPr>
        <w:t xml:space="preserve">IEEE Transactions on Pattern Analysis and Machine Intelligence</w:t>
      </w:r>
      <w:r>
        <w:t xml:space="preserve">, vol. 24, no. 7, pp. 971–987, 2002.</w:t>
      </w:r>
    </w:p>
    <w:p>
      <w:pPr>
        <w:spacing w:after="140" w:line="276"/>
      </w:pPr>
      <w:r>
        <w:t xml:space="preserve">[8] D. P. Hughes and M. Salathé, "An open access repository of images on plant health to enable the development of mobile disease diagnostics," arXiv:1511.08060, 2015.</w:t>
      </w:r>
    </w:p>
    <w:p>
      <w:pPr>
        <w:spacing w:after="140" w:line="276"/>
      </w:pPr>
      <w:r>
        <w:t xml:space="preserve">[9] S. P. Mohanty, D. P. Hughes, and M. Salathé, "Using deep learning for image-based plant disease detection," </w:t>
      </w:r>
      <w:r>
        <w:rPr>
          <w:i/>
          <w:iCs/>
        </w:rPr>
        <w:t xml:space="preserve">Frontiers in Plant Science</w:t>
      </w:r>
      <w:r>
        <w:t xml:space="preserve">, vol. 7, art. 1419, 2016. doi:10.3389/fpls.2016.01419</w:t>
      </w:r>
    </w:p>
    <w:p>
      <w:pPr>
        <w:spacing w:after="140" w:line="276"/>
      </w:pPr>
      <w:r>
        <w:t xml:space="preserve">[10] K. P. Ferentinos, "Deep learning models for plant disease detection and diagnosis," </w:t>
      </w:r>
      <w:r>
        <w:rPr>
          <w:i/>
          <w:iCs/>
        </w:rPr>
        <w:t xml:space="preserve">Computers and Electronics in Agriculture</w:t>
      </w:r>
      <w:r>
        <w:t xml:space="preserve">, vol. 145, pp. 311–318, 2018. doi:10.1016/j.compag.2018.01.009</w:t>
      </w:r>
    </w:p>
    <w:p>
      <w:pPr>
        <w:spacing w:after="140" w:line="276"/>
      </w:pPr>
      <w:r>
        <w:t xml:space="preserve">[11] E. C. Too, L. Yujian, S. Njuki, and L. Yingchun, "A comparative study of fine-tuning deep learning models for plant disease identification," </w:t>
      </w:r>
      <w:r>
        <w:rPr>
          <w:i/>
          <w:iCs/>
        </w:rPr>
        <w:t xml:space="preserve">Computers and Electronics in Agriculture</w:t>
      </w:r>
      <w:r>
        <w:t xml:space="preserve">, vol. 161, pp. 272–279, 2019. doi:10.1016/j.compag.2018.03.032</w:t>
      </w:r>
    </w:p>
    <w:p>
      <w:pPr>
        <w:spacing w:after="140" w:line="276"/>
      </w:pPr>
      <w:r>
        <w:t xml:space="preserve">[12] J. G. A. Barbedo, "Impact of dataset size and variety on the effectiveness of deep learning and transfer learning for plant disease classification," </w:t>
      </w:r>
      <w:r>
        <w:rPr>
          <w:i/>
          <w:iCs/>
        </w:rPr>
        <w:t xml:space="preserve">Computers and Electronics in Agriculture</w:t>
      </w:r>
      <w:r>
        <w:t xml:space="preserve">, vol. 153, pp. 46–53, 2018. doi:10.1016/j.compag.2018.08.013</w:t>
      </w:r>
    </w:p>
    <w:p>
      <w:pPr>
        <w:spacing w:after="140" w:line="276"/>
      </w:pPr>
      <w:r>
        <w:t xml:space="preserve">[13] D. Singh, N. Jain, P. Jain, P. Kayal, S. Kumawat, and N. Batra, "PlantDoc: A dataset for visual plant disease detection," in </w:t>
      </w:r>
      <w:r>
        <w:rPr>
          <w:i/>
          <w:iCs/>
        </w:rPr>
        <w:t xml:space="preserve">Proc. 7th ACM IKDD CoDS and 25th COMAD</w:t>
      </w:r>
      <w:r>
        <w:t xml:space="preserve">, 2020, pp. 249–253. doi:10.1145/3371158.3371196</w:t>
      </w:r>
    </w:p>
    <w:p>
      <w:pPr>
        <w:spacing w:after="140" w:line="276"/>
      </w:pPr>
      <w:r>
        <w:t xml:space="preserve">[14] R. G. Allen, L. S. Pereira, D. Raes, and M. Smith, </w:t>
      </w:r>
      <w:r>
        <w:rPr>
          <w:i/>
          <w:iCs/>
        </w:rPr>
        <w:t xml:space="preserve">Crop Evapotranspiration — Guidelines for Computing Crop Water Requirements</w:t>
      </w:r>
      <w:r>
        <w:t xml:space="preserve">, FAO Irrigation and Drainage Paper 56. Rome: FAO, 1998.</w:t>
      </w:r>
    </w:p>
    <w:p>
      <w:pPr>
        <w:spacing w:after="140" w:line="276"/>
      </w:pPr>
      <w:r>
        <w:t xml:space="preserve">[15] G. H. Hargreaves and Z. A. Samani, "Reference crop evapotranspiration from temperature," </w:t>
      </w:r>
      <w:r>
        <w:rPr>
          <w:i/>
          <w:iCs/>
        </w:rPr>
        <w:t xml:space="preserve">Applied Engineering in Agriculture</w:t>
      </w:r>
      <w:r>
        <w:t xml:space="preserve">, vol. 1, no. 2, pp. 96–99, 1985.</w:t>
      </w:r>
    </w:p>
    <w:p>
      <w:pPr>
        <w:spacing w:after="140" w:line="276"/>
      </w:pPr>
      <w:r>
        <w:t xml:space="preserve">[16] O. Adeyemi, I. Grove, S. Peets, and T. Norton, "Advanced monitoring and management systems for improving sustainability in precision irrigation," </w:t>
      </w:r>
      <w:r>
        <w:rPr>
          <w:i/>
          <w:iCs/>
        </w:rPr>
        <w:t xml:space="preserve">Sustainability</w:t>
      </w:r>
      <w:r>
        <w:t xml:space="preserve">, vol. 9, no. 3, art. 353, 2017. doi:10.3390/su9030353</w:t>
      </w:r>
    </w:p>
    <w:p>
      <w:pPr>
        <w:spacing w:after="140" w:line="276"/>
      </w:pPr>
      <w:r>
        <w:t xml:space="preserve">[17] A. Goldstein, L. Fink, A. Meitin, S. Bohadana, O. Lutenberg, and G. Ravid, "Applying machine learning on sensor data for irrigation recommendations: revealing the agronomist's tacit knowledge," </w:t>
      </w:r>
      <w:r>
        <w:rPr>
          <w:i/>
          <w:iCs/>
        </w:rPr>
        <w:t xml:space="preserve">Precision Agriculture</w:t>
      </w:r>
      <w:r>
        <w:t xml:space="preserve">, vol. 19, no. 3, pp. 421–444, 2018. doi:10.1007/s11119-017-9527-4</w:t>
      </w:r>
    </w:p>
    <w:p>
      <w:pPr>
        <w:spacing w:after="140" w:line="276"/>
      </w:pPr>
      <w:r>
        <w:t xml:space="preserve">[18] A. Glória, J. Cardoso, and P. Sebastião, "Sustainable irrigation system for farming supported by machine learning and real-time sensor data," </w:t>
      </w:r>
      <w:r>
        <w:rPr>
          <w:i/>
          <w:iCs/>
        </w:rPr>
        <w:t xml:space="preserve">Sensors</w:t>
      </w:r>
      <w:r>
        <w:t xml:space="preserve">, vol. 21, no. 9, art. 3079, 2021. doi:10.3390/s21093079</w:t>
      </w:r>
    </w:p>
    <w:p>
      <w:pPr>
        <w:spacing w:after="140" w:line="276"/>
      </w:pPr>
      <w:r>
        <w:t xml:space="preserve">[19] P. K. Kashyap et al., "Towards precision agriculture: IoT-enabled intelligent irrigation systems using deep learning neural network," </w:t>
      </w:r>
      <w:r>
        <w:rPr>
          <w:i/>
          <w:iCs/>
        </w:rPr>
        <w:t xml:space="preserve">IEEE Sensors Journal</w:t>
      </w:r>
      <w:r>
        <w:t xml:space="preserve">, vol. 21, no. 16, pp. 17479–17491, 2021. doi:10.1109/JSEN.2021.3069266</w:t>
      </w:r>
    </w:p>
    <w:p>
      <w:pPr>
        <w:spacing w:after="140" w:line="276"/>
      </w:pPr>
      <w:r>
        <w:t xml:space="preserve">[20] F. Pedregosa et al., "Scikit-learn: Machine learning in Python," </w:t>
      </w:r>
      <w:r>
        <w:rPr>
          <w:i/>
          <w:iCs/>
        </w:rPr>
        <w:t xml:space="preserve">Journal of Machine Learning Research</w:t>
      </w:r>
      <w:r>
        <w:t xml:space="preserve">, vol. 12, pp. 2825–2830, 2011.</w:t>
      </w:r>
    </w:p>
    <w:p>
      <w:pPr>
        <w:pBdr>
          <w:bottom w:val="single" w:color="D8DED3" w:sz="6" w:space="1"/>
        </w:pBdr>
        <w:spacing w:after="180" w:before="180"/>
      </w:pPr>
      <w:r>
        <w:t xml:space="preserve"/>
      </w:r>
    </w:p>
    <w:p>
      <w:pPr>
        <w:pStyle w:val="Heading2"/>
        <w:spacing w:after="120" w:before="300"/>
      </w:pPr>
      <w:r>
        <w:rPr>
          <w:rFonts w:ascii="Calibri" w:cs="Calibri" w:eastAsia="Calibri" w:hAnsi="Calibri"/>
          <w:b/>
          <w:bCs/>
          <w:color w:val="1B2019"/>
          <w:sz w:val="25"/>
          <w:szCs w:val="25"/>
        </w:rPr>
        <w:t xml:space="preserve">Note on citation verification</w:t>
      </w:r>
    </w:p>
    <w:p>
      <w:pPr>
        <w:spacing w:after="140" w:line="276"/>
      </w:pPr>
      <w:r>
        <w:t xml:space="preserve">All references were located and their bibliographic details checked against publisher or indexing records during preparation of this survey.</w:t>
      </w:r>
    </w:p>
    <w:p>
      <w:pPr>
        <w:spacing w:after="140" w:line="276"/>
      </w:pPr>
      <w:r>
        <w:rPr>
          <w:b/>
          <w:bCs/>
        </w:rPr>
        <w:t xml:space="preserve">Numeric results confirmed directly from the publisher record:</w:t>
      </w:r>
      <w:r>
        <w:t xml:space="preserve"> [3] (98.79% ± 0.57 CV, 82.47% self-collected, 91.40% binary), [4] (LightGBM 94.76%, SVM 93.51%), [5] (99.0% linear kernel, 9 111 images), [17] (GBRT ~93%, boosted-tree classifier ~95%, 22 sensors), [18] (RF 84.6% / NN 80.2% / SVM 79.3% / DT 77.0%, 105 217 records, up to 60% water saving).</w:t>
      </w:r>
    </w:p>
    <w:p>
      <w:pPr>
        <w:spacing w:after="140" w:line="276"/>
      </w:pPr>
      <w:r>
        <w:rPr>
          <w:b/>
          <w:bCs/>
        </w:rPr>
        <w:t xml:space="preserve">Figures quoted at second hand and to be verified before final submission:</w:t>
      </w:r>
      <w:r>
        <w:t xml:space="preserve"> the accuracy in [2]; the 97% / &gt;86% split in [1]; the ~31% out-of-condition figure attributed to [9]; the full author list for [19], abbreviated here with </w:t>
      </w:r>
      <w:r>
        <w:rPr>
          <w:i/>
          <w:iCs/>
        </w:rPr>
        <w:t xml:space="preserve">et al.</w:t>
      </w:r>
    </w:p>
    <w:p>
      <w:pPr>
        <w:spacing w:after="140" w:line="276"/>
      </w:pPr>
      <w:r>
        <w:t xml:space="preserve">No reported accuracy has been independently reproduced. Where a number matters to an argument in this project, the argument is written so that it survives a small correction to the number.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6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D3" w:sz="4" w:space="6"/>
      </w:pBdr>
      <w:spacing w:after="200"/>
      <w:jc w:val="right"/>
    </w:pPr>
    <w:r>
      <w:rPr>
        <w:color w:val="5C6659"/>
        <w:sz w:val="16"/>
        <w:szCs w:val="16"/>
      </w:rPr>
      <w:t xml:space="preserve">AgriSense · Literature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0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Calibri" w:cs="Calibri" w:eastAsia="Calibri" w:hAnsi="Calibri"/>
    </w:rPr>
  </w:style>
  <w:style w:type="paragraph" w:styleId="Heading2">
    <w:name w:val="Heading 2"/>
    <w:basedOn w:val="Normal"/>
    <w:next w:val="Normal"/>
    <w:qFormat/>
    <w:pPr>
      <w:outlineLvl w:val="1"/>
    </w:pPr>
    <w:rPr>
      <w:rFonts w:ascii="Calibri" w:cs="Calibri" w:eastAsia="Calibri" w:hAnsi="Calibri"/>
    </w:rPr>
  </w:style>
  <w:style w:type="paragraph" w:styleId="Heading3">
    <w:name w:val="Heading 3"/>
    <w:basedOn w:val="Normal"/>
    <w:next w:val="Normal"/>
    <w:qFormat/>
    <w:pPr>
      <w:outlineLvl w:val="2"/>
    </w:pPr>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AgriSense</dc:title>
  <dc:creator>AgriSense project</dc:creator>
  <dc:description>AI-Powered Plant Disease Detection and Smart Irrigation</dc:description>
  <cp:lastModifiedBy>Un-named</cp:lastModifiedBy>
  <cp:revision>1</cp:revision>
  <dcterms:created xsi:type="dcterms:W3CDTF">2026-08-30T12:17:31.957Z</dcterms:created>
  <dcterms:modified xsi:type="dcterms:W3CDTF">2026-08-30T12:17:31.957Z</dcterms:modified>
</cp:coreProperties>
</file>

<file path=docProps/custom.xml><?xml version="1.0" encoding="utf-8"?>
<Properties xmlns="http://schemas.openxmlformats.org/officeDocument/2006/custom-properties" xmlns:vt="http://schemas.openxmlformats.org/officeDocument/2006/docPropsVTypes"/>
</file>