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1F5C3A"/>
          <w:spacing w:val="60"/>
          <w:sz w:val="22"/>
          <w:szCs w:val="22"/>
        </w:rPr>
        <w:t xml:space="preserve">PROJECT OUTLINE  ·  DELIVERABLE 1</w:t>
      </w:r>
    </w:p>
    <w:p>
      <w:pPr>
        <w:pBdr>
          <w:bottom w:val="single" w:color="1F5C3A" w:sz="12" w:space="10"/>
        </w:pBdr>
        <w:spacing w:after="0" w:before="40"/>
      </w:pPr>
      <w:r>
        <w:t xml:space="preserve"/>
      </w:r>
    </w:p>
    <w:p>
      <w:pPr>
        <w:spacing w:after="120" w:before="420"/>
      </w:pPr>
      <w:r>
        <w:rPr>
          <w:rFonts w:ascii="Calibri" w:cs="Calibri" w:eastAsia="Calibri" w:hAnsi="Calibri"/>
          <w:b/>
          <w:bCs/>
          <w:color w:val="1B2019"/>
          <w:sz w:val="52"/>
          <w:szCs w:val="52"/>
        </w:rPr>
        <w:t xml:space="preserve">AgriSense</w:t>
      </w:r>
    </w:p>
    <w:p>
      <w:pPr>
        <w:spacing w:after="60"/>
      </w:pPr>
      <w:r>
        <w:rPr>
          <w:rFonts w:ascii="Calibri" w:cs="Calibri" w:eastAsia="Calibri" w:hAnsi="Calibri"/>
          <w:color w:val="1B2019"/>
          <w:sz w:val="28"/>
          <w:szCs w:val="28"/>
        </w:rPr>
        <w:t xml:space="preserve">AI-Powered Plant Disease Detection and Smart Irrigation Advisory</w:t>
      </w:r>
    </w:p>
    <w:p>
      <w:pPr>
        <w:spacing w:after="700"/>
      </w:pPr>
      <w:r>
        <w:rPr>
          <w:i/>
          <w:iCs/>
          <w:color w:val="5C6659"/>
          <w:sz w:val="22"/>
          <w:szCs w:val="22"/>
        </w:rPr>
        <w:t xml:space="preserve">A Classical Machine Learning Approach for Low-Resource Deployment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2107"/>
        <w:gridCol w:w="7253"/>
      </w:tblGrid>
      <w:tr>
        <w:trPr>
          <w:tblHeader/>
        </w:trPr>
        <w:tc>
          <w:tcPr>
            <w:tcW w:type="dxa" w:w="2107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253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AgriSense — AGRISENSE-2026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Machine Learning · Computer Vision · Precision Agriculture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Software-only (no hardware dependency)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Compute budget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CPU-only, commodity laptop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Fully client-side static web application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1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30 August 2026</w:t>
            </w:r>
          </w:p>
        </w:tc>
      </w:tr>
    </w:tbl>
    <w:p>
      <w:pPr>
        <w:spacing w:before="900"/>
      </w:pPr>
      <w:r>
        <w:rPr>
          <w:i/>
          <w:iCs/>
          <w:color w:val="5C6659"/>
          <w:sz w:val="18"/>
          <w:szCs w:val="18"/>
        </w:rPr>
        <w:t xml:space="preserve">Scope, system architecture, feature specification, evaluation methodology, timeline and risk register.</w:t>
      </w:r>
    </w:p>
    <w:p>
      <w:r>
        <w:br w:type="pag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1. Problem Statement</w:t>
      </w:r>
    </w:p>
    <w:p>
      <w:pPr>
        <w:spacing w:after="140" w:line="276"/>
      </w:pPr>
      <w:r>
        <w:t xml:space="preserve">Two decisions dominate day-to-day smallholder crop management, and both are currently made by eye: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Is this plant diseased, and with what?</w:t>
      </w:r>
      <w:r>
        <w:t xml:space="preserve"> Misdiagnosis leads to the wrong agro-chemical being applied, or to no action until the infection is systemic. The FAO attributes 20–40% of global crop production loss annually to pests and pathogens.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Should I irrigate today, and how much?</w:t>
      </w:r>
      <w:r>
        <w:t xml:space="preserve"> Irrigation on a fixed calendar schedule ignores rainfall, evaporative demand and the actual water already held in the root zone. Over-irrigation wastes water and energy; it also raises canopy humidity and leaf wetness duration, which is precisely the condition that most fungal foliar pathogens require to sporulate.</w:t>
      </w:r>
    </w:p>
    <w:p>
      <w:pPr>
        <w:spacing w:after="140" w:line="276"/>
      </w:pPr>
      <w:r>
        <w:t xml:space="preserve">These two problems are almost always solved separately in the literature. They are not independent: </w:t>
      </w:r>
      <w:r>
        <w:rPr>
          <w:b/>
          <w:bCs/>
        </w:rPr>
        <w:t xml:space="preserve">the disease state of a crop should change the irrigation recommendation</w:t>
      </w:r>
      <w:r>
        <w:t xml:space="preserve">, and irrigation practice changes disease pressure. This project treats them as one coupled advisory problem.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1.1 The engineering constraint that shapes this project</w:t>
      </w:r>
    </w:p>
    <w:p>
      <w:pPr>
        <w:spacing w:after="140" w:line="276"/>
      </w:pPr>
      <w:r>
        <w:t xml:space="preserve">Nearly all recent published work solves the disease-detection half with deep convolutional networks (see Literature Survey, §4). Those models need a GPU to train, tens to hundreds of megabytes to store, and a server to run inference. That excludes exactly the deployment target that matters — an offline, low-end device in the field.</w:t>
      </w:r>
    </w:p>
    <w:p>
      <w:pPr>
        <w:spacing w:after="140" w:line="276"/>
      </w:pPr>
      <w:r>
        <w:t xml:space="preserve">This project therefore deliberately adopts a </w:t>
      </w:r>
      <w:r>
        <w:rPr>
          <w:b/>
          <w:bCs/>
        </w:rPr>
        <w:t xml:space="preserve">classical machine-learning pipeline</w:t>
      </w:r>
      <w:r>
        <w:t xml:space="preserve">: explicit, hand-designed colour/texture/shape features followed by a conventional classifier (SVM / Random Forest / Gradient Boosting). The consequences are not merely a compromise; they are the contribution: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Trains in minutes on a CPU, with no GPU and no cloud cost.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The final model is small enough (tens to a few hundred kB of JSON) to be </w:t>
      </w:r>
      <w:r>
        <w:rPr>
          <w:b/>
          <w:bCs/>
        </w:rPr>
        <w:t xml:space="preserve">shipped inside a web page</w:t>
      </w:r>
      <w:r>
        <w:t xml:space="preserve"> and executed in the browser with zero backend.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Every feature is interpretable, so a wrong prediction can be explained ("lesion-brown pixel fraction was high, GLCM contrast was high") rather than being a black box.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The whole system runs </w:t>
      </w:r>
      <w:r>
        <w:rPr>
          <w:b/>
          <w:bCs/>
        </w:rPr>
        <w:t xml:space="preserve">offline</w:t>
      </w:r>
      <w:r>
        <w:t xml:space="preserve">, which is the realistic connectivity assumption in a field.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2. Objectives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900"/>
        <w:gridCol w:w="4608"/>
        <w:gridCol w:w="3852"/>
      </w:tblGrid>
      <w:tr>
        <w:trPr>
          <w:tblHeader/>
        </w:trPr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608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3852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Measurable success criterion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O1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Build a reproducible dataset pipeline over a 3-crop subset of PlantVillage (Tomato, Potato, Bell Pepper — 15 classes)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Deterministic, seeded train/val/test split; class manifest committed to the repo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O2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Design an interpretable feature extractor (colour, lesion-chromaticity, GLCM texture, LBP) computable identically in Python and JavaScript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≤ 120 features; Python↔JS feature parity error &lt; 1e-4 on a fixed test image set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O3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Train and compare ≥ 5 classical classifiers for disease classification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Best model ≥ 90% macro-F1 on a held-out test split; full comparison table reported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O4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Build a physically-grounded irrigation decision model (FAO-56 soil water balance) and learn it with a classical regressor/classifier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Irrigation-decision accuracy ≥ 95% vs. the agronomic reference policy; water-depth MAE ≤ 2 mm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O5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Fuse the two models into a single advisory that modifies irrigation guidance based on detected disease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Documented, rule-explicit fusion layer with a decision table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O6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Deploy as a fully client-side web application with live prediction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Page loads and predicts with no network calls after first load; works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file://</w:t>
            </w:r>
            <w:r>
              <w:rPr>
                <w:sz w:val="18"/>
                <w:szCs w:val="18"/>
              </w:rPr>
              <w:t xml:space="preserve"> and from GitHub Pages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O7</w:t>
            </w:r>
          </w:p>
        </w:tc>
        <w:tc>
          <w:tcPr>
            <w:tcW w:type="dxa" w:w="4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Produce a rigorous evaluation, including honest failure analysis</w:t>
            </w:r>
          </w:p>
        </w:tc>
        <w:tc>
          <w:tcPr>
            <w:tcW w:type="dxa" w:w="3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Confusion matrix, per-class report, cross-validation with std-dev, and a documented limitations section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3. Scope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3.1 In scope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Leaf-level disease classification from a single RGB image, 15 classes across 3 crops.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Irrigation decision (irrigate / do not irrigate) and depth (mm) from 9 agro-meteorological inputs.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A rule-based fusion layer coupling the two.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A static, offline-capable web front-end for live demonstration.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Full evaluation, documentation and a reproducible training notebook.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3.2 Out of scope (and why)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Deep learning / CNNs</w:t>
      </w:r>
      <w:r>
        <w:t xml:space="preserve"> — excluded by design (see §1.1). A CNN baseline is </w:t>
      </w:r>
      <w:r>
        <w:rPr>
          <w:i/>
          <w:iCs/>
        </w:rPr>
        <w:t xml:space="preserve">cited</w:t>
      </w:r>
      <w:r>
        <w:t xml:space="preserve"> from literature for comparison but not trained.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Physical IoT hardware</w:t>
      </w:r>
      <w:r>
        <w:t xml:space="preserve"> — the irrigation model consumes sensor </w:t>
      </w:r>
      <w:r>
        <w:rPr>
          <w:i/>
          <w:iCs/>
        </w:rPr>
        <w:t xml:space="preserve">values</w:t>
      </w:r>
      <w:r>
        <w:t xml:space="preserve">; whether they arrive from an ESP32, a manual reading or the demo sliders is an interface detail. A hardware integration spec is given in §14 as future work.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Disease severity quantification / lesion segmentation for area %</w:t>
      </w:r>
      <w:r>
        <w:t xml:space="preserve"> — classification only.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Field-condition images (PlantDoc-style)</w:t>
      </w:r>
      <w:r>
        <w:t xml:space="preserve"> — used only as a </w:t>
      </w:r>
      <w:r>
        <w:rPr>
          <w:i/>
          <w:iCs/>
        </w:rPr>
        <w:t xml:space="preserve">stress test</w:t>
      </w:r>
      <w:r>
        <w:t xml:space="preserve"> to report the generalisation gap honestly, not as a training target.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Multi-leaf / whole-canopy imagery.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3.3 Assumptions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Input image contains a single, roughly centred leaf occupying &gt; 25% of the frame.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Images are RGB, ≥ 128×128 px.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Sensor inputs to the irrigation model are pre-calibrated (volumetric water content in %, not raw ADC counts).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4. System Architecture</w:t>
      </w:r>
    </w:p>
    <w:p>
      <w:pPr>
        <w:pBdr>
          <w:top w:val="single" w:color="F2F4EF" w:sz="2" w:space="4"/>
          <w:left w:val="single" w:color="C7D2C4" w:sz="12" w:space="8"/>
        </w:pBdr>
        <w:shd w:fill="F2F4EF" w:val="clear"/>
        <w:spacing w:after="0" w:before="10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┌──────────────────────────────────────────┐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│           OFFLINE  (training)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└──────────────────────────────────────────┘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PlantVillage subset          src/features.py            scikit-learn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(Tomato/Potato/Pepper)  ──►  ┌───────────────┐   ──►   ┌──────────────────┐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15 classes, ~400 img/cls     │ Segment leaf  │         │ LinearSVC / RBF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│ Colour stats  │         │ SVM / RandomFor. │  ──┐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│ HSV histogram │         │ HistGradBoost    │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│ Lesion ratios │         │ (grid-searched)  │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│ GLCM (4 dir)  │         └──────────────────┘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│ Uniform LBP   │                     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└───────────────┘                     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                                                  ▼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src/irrigation_sim.py                                              src/export_json.py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FAO-56 water balance   ──►   9 tabular features   ──►  RF classifier + RF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+ stochastic weather         (VWC, ET0, rain, …)      regressor  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                                      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┌──────────────────────────────────────────┐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│      ONLINE  (browser, no server)        │  ◄───────┘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└──────────────────────────────────────────┘          models/*.json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web/features.js  ── mirrors features.py exactly (parity-tested)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▼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┌───────────────────┐   ┌────────────────────┐   ┌──────────────────────┐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│ &lt;canvas&gt; pixel    │   │ irrigation sliders │   │  FUSION LAYER   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│ extraction        │   │ / sensor JSON      │   │  disease × water 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└─────────┬─────────┘   └─────────┬──────────┘   │  → final advisory    │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│                       │              └──────────┬───────────┘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▼                       ▼                         ▼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disease_model.json      irrigation_model.json      Rendered advisory card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(JS inference)          (JS inference)             + top-3 probabilities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                                                    + treatment guidance</w:t>
      </w:r>
    </w:p>
    <w:p>
      <w:pPr>
        <w:spacing w:after="120"/>
      </w:pPr>
      <w:r>
        <w:t xml:space="preserve"/>
      </w:r>
    </w:p>
    <w:p>
      <w:pPr>
        <w:spacing w:after="140" w:line="276"/>
      </w:pPr>
      <w:r>
        <w:t xml:space="preserve">Everything to the right of the dashed boundary is a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.json</w:t>
      </w:r>
      <w:r>
        <w:t xml:space="preserve"> file and plain JavaScript. There is no Python at run time, no API, and no server.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5. Module Breakdown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900"/>
        <w:gridCol w:w="1788"/>
        <w:gridCol w:w="1990"/>
        <w:gridCol w:w="4682"/>
      </w:tblGrid>
      <w:tr>
        <w:trPr>
          <w:tblHeader/>
        </w:trPr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88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99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682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Dataset acquisition &amp; manifest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src/dataset.py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Download/locate PlantVillage subset, cap per-class counts, build seeded stratified splits, write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data/processed/manifest.csv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 extraction (Python)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src/features.py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Leaf segmentation + 4 feature blocks → fixed-length vector with named columns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 extraction (JavaScript)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web/features.js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Bit-for-bit mirror of M2 for browser inference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model training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notebooks/01_disease_model.ipynb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 caching, model comparison, hyper-parameter search, evaluation, export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data synthesis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src/irrigation_sim.py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FAO-56 root-zone water balance driven by stochastic weather → labelled dataset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model training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notebooks/02_irrigation_model.ipynb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RF classifier (irrigate?) + RF regressor (mm), evaluation, export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Model export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src/export_json.py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Serialise scaler + PCA + linear model </w:t>
            </w:r>
            <w:r>
              <w:rPr>
                <w:i/>
                <w:iCs/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tree ensemble into compact JSON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Inference engine (JS)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web/inference.js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Generic JSON-model evaluator: linear and tree-ensemble paths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Fusion &amp; advisory logic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web/advisory.js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Decision table coupling disease class → irrigation modifier + treatment text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Web UI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web/index.html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web/app.js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web/styles.css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Upload/camera, live prediction, irrigation panel, explainability panel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M11</w:t>
            </w:r>
          </w:p>
        </w:tc>
        <w:tc>
          <w:tcPr>
            <w:tcW w:type="dxa" w:w="17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Parity test</w:t>
            </w:r>
          </w:p>
        </w:tc>
        <w:tc>
          <w:tcPr>
            <w:tcW w:type="dxa" w:w="1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src/parity_test.py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web/parity.html</w:t>
            </w:r>
          </w:p>
        </w:tc>
        <w:tc>
          <w:tcPr>
            <w:tcW w:type="dxa" w:w="46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Assert Python and JS produce the same feature vector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6. Dataset Plan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6.1 Disease images — PlantVillage (3-crop subset)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900"/>
        <w:gridCol w:w="4276"/>
        <w:gridCol w:w="4184"/>
      </w:tblGrid>
      <w:tr>
        <w:trPr>
          <w:tblHeader/>
        </w:trPr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Crop</w:t>
            </w:r>
          </w:p>
        </w:tc>
        <w:tc>
          <w:tcPr>
            <w:tcW w:type="dxa" w:w="4276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Classes</w:t>
            </w:r>
          </w:p>
        </w:tc>
        <w:tc>
          <w:tcPr>
            <w:tcW w:type="dxa" w:w="4184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Tomato</w:t>
            </w:r>
          </w:p>
        </w:tc>
        <w:tc>
          <w:tcPr>
            <w:tcW w:type="dxa" w:w="4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10 (Bacterial spot, Early blight, Late blight, Leaf Mold, Septoria leaf spot, Spider mites, Target Spot, Yellow Leaf Curl Virus, Mosaic Virus, Healthy)</w:t>
            </w:r>
          </w:p>
        </w:tc>
        <w:tc>
          <w:tcPr>
            <w:tcW w:type="dxa" w:w="41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The hardest and most agronomically relevant crop in the set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Potato</w:t>
            </w:r>
          </w:p>
        </w:tc>
        <w:tc>
          <w:tcPr>
            <w:tcW w:type="dxa" w:w="4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(Early blight, Late blight, Healthy)</w:t>
            </w:r>
          </w:p>
        </w:tc>
        <w:tc>
          <w:tcPr>
            <w:tcW w:type="dxa" w:w="41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Shares </w:t>
            </w:r>
            <w:r>
              <w:rPr>
                <w:i/>
                <w:iCs/>
                <w:sz w:val="18"/>
                <w:szCs w:val="18"/>
              </w:rPr>
              <w:t xml:space="preserve">Alternaria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i/>
                <w:iCs/>
                <w:sz w:val="18"/>
                <w:szCs w:val="18"/>
              </w:rPr>
              <w:t xml:space="preserve">Phytophthora</w:t>
            </w:r>
            <w:r>
              <w:rPr>
                <w:sz w:val="18"/>
                <w:szCs w:val="18"/>
              </w:rPr>
              <w:t xml:space="preserve"> pathogens with tomato — tests cross-crop confusion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Bell Pepper</w:t>
            </w:r>
          </w:p>
        </w:tc>
        <w:tc>
          <w:tcPr>
            <w:tcW w:type="dxa" w:w="4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 (Bacterial spot, Healthy)</w:t>
            </w:r>
          </w:p>
        </w:tc>
        <w:tc>
          <w:tcPr>
            <w:tcW w:type="dxa" w:w="41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Adds a third leaf morphology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4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15 classes</w:t>
            </w:r>
          </w:p>
        </w:tc>
        <w:tc>
          <w:tcPr>
            <w:tcW w:type="dxa" w:w="41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≈ 20,600 images available; capped at 400/class ⇒ ≈ 6,000 images used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Source: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https://www.kaggle.com/datasets/emmarex/plantdisease</w:t>
      </w:r>
      <w:r>
        <w:t xml:space="preserve"> (the standard "PlantVillage" 3-crop segmented subset), or the canonical repository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https://github.com/spMohanty/PlantVillage-Dataset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tfds</w:t>
      </w:r>
      <w:r>
        <w:t xml:space="preserve"> catalogue entry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plant_village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Licence:</w:t>
      </w:r>
      <w:r>
        <w:t xml:space="preserve"> CC0 1.0 Public Domain (original PlantVillage release).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Capping rationale:</w:t>
      </w:r>
      <w:r>
        <w:t xml:space="preserve"> 400 images/class keeps the feature-extraction pass under ~10 minutes on a CPU and mitigates the 5:1 class imbalance in the raw set.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Known limitation, stated up front:</w:t>
      </w:r>
      <w:r>
        <w:t xml:space="preserve"> PlantVillage images are captured on uniform laboratory backgrounds. Models trained on it are known to over-fit background and lighting cues (Barbedo 2018; Singh et al. 2020). This is addressed by (a) background removal in M2 so the classifier never sees the background, and (b) a stress-test on out-of-distribution field images reported in the evaluation.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2019"/>
          <w:sz w:val="25"/>
          <w:szCs w:val="25"/>
        </w:rPr>
        <w:t xml:space="preserve">6.2 Irrigation data — synthesised, physically grounded</w:t>
      </w:r>
    </w:p>
    <w:p>
      <w:pPr>
        <w:spacing w:after="140" w:line="276"/>
      </w:pPr>
      <w:r>
        <w:t xml:space="preserve">There is no widely-adopted public benchmark that pairs soil-moisture sensor traces with expert irrigation decisions for a specific crop and soil. Rather than adopt an unvetted scraped CSV, this project </w:t>
      </w:r>
      <w:r>
        <w:rPr>
          <w:b/>
          <w:bCs/>
        </w:rPr>
        <w:t xml:space="preserve">generates</w:t>
      </w:r>
      <w:r>
        <w:t xml:space="preserve"> its dataset from the FAO Irrigation &amp; Drainage Paper 56 root-zone water-balance model, which is the international reference method for irrigation scheduling:</w:t>
      </w:r>
    </w:p>
    <w:p>
      <w:pPr>
        <w:pBdr>
          <w:top w:val="single" w:color="F2F4EF" w:sz="2" w:space="4"/>
          <w:left w:val="single" w:color="C7D2C4" w:sz="12" w:space="8"/>
        </w:pBdr>
        <w:shd w:fill="F2F4EF" w:val="clear"/>
        <w:spacing w:after="0" w:before="10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Dr,i = Dr,i-1 − (P − RO)i − Ii − CRi + ETc,i + DPi      (FAO-56, Eq. 85)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ETc  = Kc · ET0            ET0 estimated by Hargreaves-Samani from Tmax, Tmin, Ra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Irrigate when   Dr ≥ RAW = p · TAW,   TAW = 1000 (θFC − θWP) Zr</w:t>
      </w:r>
    </w:p>
    <w:p>
      <w:pPr>
        <w:spacing w:after="120"/>
      </w:pPr>
      <w:r>
        <w:t xml:space="preserve"/>
      </w:r>
    </w:p>
    <w:p>
      <w:pPr>
        <w:spacing w:after="140" w:line="276"/>
      </w:pPr>
      <w:r>
        <w:t xml:space="preserve">A stochastic weather generator (seasonal temperature sinusoid + Markov-chain rainfall occurrence + gamma rainfall depth) drives the balance over multiple simulated seasons and soil types. The reference agronomic policy provides the labels; the ML model must </w:t>
      </w:r>
      <w:r>
        <w:rPr>
          <w:b/>
          <w:bCs/>
        </w:rPr>
        <w:t xml:space="preserve">learn that policy from noisy sensor observations</w:t>
      </w:r>
      <w:r>
        <w:t xml:space="preserve"> — which is the realistic task, since a field deployment sees noisy sensors, not a perfect water balance.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1149"/>
        <w:gridCol w:w="8211"/>
      </w:tblGrid>
      <w:tr>
        <w:trPr>
          <w:tblHeader/>
        </w:trPr>
        <w:tc>
          <w:tcPr>
            <w:tcW w:type="dxa" w:w="1149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8211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1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Rows</w:t>
            </w:r>
          </w:p>
        </w:tc>
        <w:tc>
          <w:tcPr>
            <w:tcW w:type="dxa" w:w="82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30,000 (3 soil types × 5 crops-stages × 2,000 days)</w:t>
            </w:r>
          </w:p>
        </w:tc>
      </w:tr>
      <w:tr>
        <w:trPr>
          <w:tblHeader w:val="false"/>
        </w:trPr>
        <w:tc>
          <w:tcPr>
            <w:tcW w:type="dxa" w:w="11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Features</w:t>
            </w:r>
          </w:p>
        </w:tc>
        <w:tc>
          <w:tcPr>
            <w:tcW w:type="dxa" w:w="82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soil VWC %, soil temp °C, air temp °C, RH %, rain last 24 h, forecast rain next 24 h, ET0 mm, crop-stage Kc, days since last irrigation, soil type (one-hot)</w:t>
            </w:r>
          </w:p>
        </w:tc>
      </w:tr>
      <w:tr>
        <w:trPr>
          <w:tblHeader w:val="false"/>
        </w:trPr>
        <w:tc>
          <w:tcPr>
            <w:tcW w:type="dxa" w:w="11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type="dxa" w:w="82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irrigate</w:t>
            </w:r>
            <w:r>
              <w:rPr>
                <w:sz w:val="18"/>
                <w:szCs w:val="18"/>
              </w:rPr>
              <w:t xml:space="preserve"> ∈ {0,1};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depth_mm</w:t>
            </w:r>
            <w:r>
              <w:rPr>
                <w:sz w:val="18"/>
                <w:szCs w:val="18"/>
              </w:rPr>
              <w:t xml:space="preserve"> ∈ ℝ⁺</w:t>
            </w:r>
          </w:p>
        </w:tc>
      </w:tr>
      <w:tr>
        <w:trPr>
          <w:tblHeader w:val="false"/>
        </w:trPr>
        <w:tc>
          <w:tcPr>
            <w:tcW w:type="dxa" w:w="11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Realism injected</w:t>
            </w:r>
          </w:p>
        </w:tc>
        <w:tc>
          <w:tcPr>
            <w:tcW w:type="dxa" w:w="82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Gaussian sensor noise on VWC (σ = 1.5%), 2% label flip, 3% missing forecast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t xml:space="preserve">Two public datasets are cross-referenced as an optional external validation: the Kaggle </w:t>
      </w:r>
      <w:r>
        <w:rPr>
          <w:i/>
          <w:iCs/>
        </w:rPr>
        <w:t xml:space="preserve">Smart Agriculture / auto-irrigation</w:t>
      </w:r>
      <w:r>
        <w:t xml:space="preserve"> sensor logs and the </w:t>
      </w:r>
      <w:r>
        <w:rPr>
          <w:i/>
          <w:iCs/>
        </w:rPr>
        <w:t xml:space="preserve">IoT Agriculture 2024</w:t>
      </w:r>
      <w:r>
        <w:t xml:space="preserve"> set. These are documented in the notebook as an appendix, not as the primary source.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7. Feature Specification (M2/M3 contract)</w:t>
      </w:r>
    </w:p>
    <w:p>
      <w:pPr>
        <w:spacing w:after="140" w:line="276"/>
      </w:pPr>
      <w:r>
        <w:t xml:space="preserve">This is the interface both the Python trainer and the JavaScript inference engine must satisfy. Any change here must be made in both files and re-verified by M11.</w:t>
      </w:r>
    </w:p>
    <w:p>
      <w:pPr>
        <w:spacing w:after="140" w:line="276"/>
      </w:pPr>
      <w:r>
        <w:rPr>
          <w:b/>
          <w:bCs/>
        </w:rPr>
        <w:t xml:space="preserve">Pre-processing:</w:t>
      </w:r>
      <w:r>
        <w:t xml:space="preserve"> resize to 160×160 (bilinear, aspect-preserving with centre crop) → RGB float [0,1].</w:t>
      </w:r>
    </w:p>
    <w:p>
      <w:pPr>
        <w:spacing w:after="140" w:line="276"/>
      </w:pPr>
      <w:r>
        <w:rPr>
          <w:b/>
          <w:bCs/>
        </w:rPr>
        <w:t xml:space="preserve">Leaf mask:</w:t>
      </w:r>
      <w:r>
        <w:t xml:space="preserve"> Excess-Green minus Excess-Red index,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ExGR = 2G − R − B − (1.4R − G)</w:t>
      </w:r>
      <w:r>
        <w:t xml:space="preserve">, thresholded by Otsu, then largest-connected-component + hole fill. Falls back to the whole frame if the mask covers &lt; 5% of pixels.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1684"/>
        <w:gridCol w:w="7414"/>
        <w:gridCol w:w="262"/>
      </w:tblGrid>
      <w:tr>
        <w:trPr>
          <w:tblHeader/>
        </w:trPr>
        <w:tc>
          <w:tcPr>
            <w:tcW w:type="dxa" w:w="1684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7414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Features</w:t>
            </w:r>
          </w:p>
        </w:tc>
        <w:tc>
          <w:tcPr>
            <w:tcW w:type="dxa" w:w="262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B1 · Colour moments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mean, std, skewness of R, G, B, H, S, V over leaf pixels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B2 · HSV histogram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 (16 bins) + S (8) + V (8), L1-normalised over leaf pixels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B3 · Lesion chromaticity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pixel fraction in each of 6 pathology-relevant HSV boxes (healthy-green, chlorotic-yellow, necrotic-brown, dark-lesion, grey-mould, purple/bronze), + mask coverage, + green/(green+brown) ratio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B4 · GLCM texture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grey quantised to 16 levels; 4 offsets ((1,0),(0,1),(1,1),(1,−1)); contrast, dissimilarity, homogeneity, energy, correlation, entropy per offset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B5 · Uniform LBP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P=8, R=1, 10-bin uniform-pattern histogram over leaf pixels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B6 · Shape</w:t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mask area fraction, perimeter², circularity, extent, eccentricity of the leaf blob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6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4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97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8. Model Selection Plan</w:t>
      </w:r>
    </w:p>
    <w:p>
      <w:pPr>
        <w:spacing w:after="140" w:line="276"/>
      </w:pPr>
      <w:r>
        <w:t xml:space="preserve">Candidates, all CPU-cheap: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Logistic Regression (multinomial, L2) — linear baseline, tiniest export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Linear SVM (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LinearSVC</w:t>
      </w:r>
      <w:r>
        <w:t xml:space="preserve">, one-vs-rest)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RBF-kernel SVM (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SVC</w:t>
      </w:r>
      <w:r>
        <w:t xml:space="preserve">, probability-calibrated)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Random Forest (300 trees, depth-limited)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Extra Trees (300 trees)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Histogram Gradient Boosting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k-NN (k=5, distance-weighted) — sanity baseline</w:t>
      </w:r>
    </w:p>
    <w:p>
      <w:pPr>
        <w:spacing w:after="140" w:line="276"/>
      </w:pPr>
      <w:r>
        <w:t xml:space="preserve">Protocol: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StandardScaler</w:t>
      </w:r>
      <w:r>
        <w:t xml:space="preserve"> → optional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PCA(0.98 variance)</w:t>
      </w:r>
      <w:r>
        <w:t xml:space="preserve"> → classifier. 5-fold stratified CV on the training split for model selection and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RandomizedSearchCV</w:t>
      </w:r>
      <w:r>
        <w:t xml:space="preserve"> for the top two; final numbers reported </w:t>
      </w:r>
      <w:r>
        <w:rPr>
          <w:b/>
          <w:bCs/>
        </w:rPr>
        <w:t xml:space="preserve">once</w:t>
      </w:r>
      <w:r>
        <w:t xml:space="preserve"> on the untouched test split.</w:t>
      </w:r>
    </w:p>
    <w:p>
      <w:pPr>
        <w:spacing w:after="140" w:line="276"/>
      </w:pPr>
      <w:r>
        <w:rPr>
          <w:b/>
          <w:bCs/>
        </w:rPr>
        <w:t xml:space="preserve">Export constraint:</w:t>
      </w:r>
      <w:r>
        <w:t xml:space="preserve"> whichever model wins, it must serialise to JSON that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web/inference.js</w:t>
      </w:r>
      <w:r>
        <w:t xml:space="preserve"> can evaluate. Linear models export as a coefficient matrix; tree ensembles export as flat arrays per tree. Kernel SVM exports as support vectors + duals (acceptable if the support-vector count stays under ~2,000, otherwise the runner-up is deployed and the trade-off is documented).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9. Evaluation Methodology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2178"/>
        <w:gridCol w:w="7182"/>
      </w:tblGrid>
      <w:tr>
        <w:trPr>
          <w:tblHeader/>
        </w:trPr>
        <w:tc>
          <w:tcPr>
            <w:tcW w:type="dxa" w:w="2178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7182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Metric / method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primary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Macro-F1 on held-out test split (class-imbalance-robust)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secondary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Accuracy, per-class precision/recall, 15×15 confusion matrix, top-3 accuracy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stability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5-fold CV mean ± std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ablation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Drop each feature block B1–B6 and re-measure; report Δ macro-F1 (proves each block earns its place)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explainability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Permutation importance over the 97 named features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honesty check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Accuracy on out-of-distribution field photographs; report the drop, do not hide it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Disease — literature context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Compare against published CNN numbers on the same subset (cited, not re-trained)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— decision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Accuracy, precision/recall on the "irrigate" class, confusion matrix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— depth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MAE, RMSE in mm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— impact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Simulated seasonal water use vs. a fixed-calendar baseline (target: measurable % saving)</w:t>
            </w:r>
          </w:p>
        </w:tc>
      </w:tr>
      <w:tr>
        <w:trPr>
          <w:tblHeader w:val="false"/>
        </w:trPr>
        <w:tc>
          <w:tcPr>
            <w:tcW w:type="dxa" w:w="21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7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Browser inference latency (ms), model payload size (kB), cold-load time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10. Deployment Architecture</w:t>
      </w:r>
    </w:p>
    <w:p>
      <w:pPr>
        <w:spacing w:after="140" w:line="276"/>
      </w:pPr>
      <w:r>
        <w:t xml:space="preserve">Static files only.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web/</w:t>
      </w:r>
      <w:r>
        <w:t xml:space="preserve"> can be opened directly from disk or served from GitHub Pages / Netlify / any static host.</w:t>
      </w:r>
    </w:p>
    <w:p>
      <w:pPr>
        <w:pBdr>
          <w:top w:val="single" w:color="F2F4EF" w:sz="2" w:space="4"/>
          <w:left w:val="single" w:color="C7D2C4" w:sz="12" w:space="8"/>
        </w:pBdr>
        <w:shd w:fill="F2F4EF" w:val="clear"/>
        <w:spacing w:after="0" w:before="10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web/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index.html          UI shell, three panels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styles.css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features.js         M3 — mirror of features.py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inference.js        M8 — generic JSON model evaluator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advisory.js         M9 — fusion decision table + treatment knowledge base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├── app.js              wiring, canvas handling, camera capture, rendering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└── models/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├── disease_model.json      exported by notebook 01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├── irrigation_model.json   exported by notebook 02</w:t>
      </w:r>
    </w:p>
    <w:p>
      <w:pPr>
        <w:pBdr>
          <w:left w:val="single" w:color="C7D2C4" w:sz="12" w:space="8"/>
        </w:pBdr>
        <w:shd w:fill="F2F4EF" w:val="clear"/>
        <w:spacing w:after="0" w:before="0" w:line="230"/>
        <w:ind w:left="220" w:right="220"/>
      </w:pPr>
      <w:r>
        <w:rPr>
          <w:rFonts w:ascii="Consolas" w:cs="Consolas" w:eastAsia="Consolas" w:hAnsi="Consolas"/>
          <w:color w:val="2B3327"/>
          <w:sz w:val="16"/>
          <w:szCs w:val="16"/>
        </w:rPr>
        <w:t xml:space="preserve">    └── labels.json</w:t>
      </w:r>
    </w:p>
    <w:p>
      <w:pPr>
        <w:spacing w:after="120"/>
      </w:pPr>
      <w:r>
        <w:t xml:space="preserve"/>
      </w:r>
    </w:p>
    <w:p>
      <w:pPr>
        <w:spacing w:after="140" w:line="276"/>
      </w:pPr>
      <w:r>
        <w:t xml:space="preserve">No build step, no npm, no bundler, no framework. This is deliberate: the examiner can open one file and read the whole run-time system.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11. Technology Stack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1532"/>
        <w:gridCol w:w="3355"/>
        <w:gridCol w:w="4473"/>
      </w:tblGrid>
      <w:tr>
        <w:trPr>
          <w:tblHeader/>
        </w:trPr>
        <w:tc>
          <w:tcPr>
            <w:tcW w:type="dxa" w:w="1532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355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473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Language (training)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Python 3.10+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Ecosystem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Numerics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NumPy, Pandas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Imaging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Pillow, scikit-image (GLCM, LBP, Otsu)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Reference implementations of the exact texture descriptors specified in §7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ML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scikit-learn 1.4+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All seven candidate models, CPU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Notebooks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JupyterLab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Deliverable requirement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Plots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Matplotlib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Report figures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Front-end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Vanilla HTML/CSS/JS (ES modules)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Zero-dependency, auditable, offline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GitHub Pages (static)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Free, no server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VCS</w:t>
            </w:r>
          </w:p>
        </w:tc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44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12. Timeline (12 weeks)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900"/>
        <w:gridCol w:w="4970"/>
        <w:gridCol w:w="3490"/>
      </w:tblGrid>
      <w:tr>
        <w:trPr>
          <w:tblHeader/>
        </w:trPr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497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349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Exit criterion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Literature survey, problem finalisation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This document + Literature Survey signed off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Dataset acquisition, manifest, EDA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manifest.csv</w:t>
            </w:r>
            <w:r>
              <w:rPr>
                <w:sz w:val="18"/>
                <w:szCs w:val="18"/>
              </w:rPr>
              <w:t xml:space="preserve"> + class-distribution figure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features.py</w:t>
            </w:r>
            <w:r>
              <w:rPr>
                <w:sz w:val="18"/>
                <w:szCs w:val="18"/>
              </w:rPr>
              <w:t xml:space="preserve"> implemented, segmentation validated visually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 matrix cached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.npy</w:t>
            </w:r>
            <w:r>
              <w:rPr>
                <w:sz w:val="18"/>
                <w:szCs w:val="18"/>
              </w:rPr>
              <w:t xml:space="preserve"> for full subset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Baseline models trained, first confusion matrix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≥ 80% macro-F1 achieved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Model comparison + hyper-parameter search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Comparison table complete, best model chosen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Ablation + permutation importance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Ablation table complete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irrigation_sim.py</w:t>
            </w:r>
            <w:r>
              <w:rPr>
                <w:sz w:val="18"/>
                <w:szCs w:val="18"/>
              </w:rPr>
              <w:t xml:space="preserve">, FAO-56 balance validated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Water-balance trace figure; dataset generated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models trained and evaluated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Decision accuracy + depth MAE recorded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JSON export +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inference.js</w:t>
            </w:r>
            <w:r>
              <w:rPr>
                <w:sz w:val="18"/>
                <w:szCs w:val="18"/>
              </w:rPr>
              <w:t xml:space="preserve"> + parity test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Parity error &lt; 1e-4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Web UI, fusion advisory layer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End-to-end live demo working offline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OOD stress test, latency benchmarks, figures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Evaluation chapter drafted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9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Report, viva demo rehearsal, buffer</w:t>
            </w:r>
          </w:p>
        </w:tc>
        <w:tc>
          <w:tcPr>
            <w:tcW w:type="dxa" w:w="34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Final submission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13. Deliverables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docs/01_Project_Outline.md</w:t>
      </w:r>
      <w:r>
        <w:t xml:space="preserve"> — this document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docs/02_Literature_Survey.md</w:t>
      </w:r>
      <w:r>
        <w:t xml:space="preserve"> — surveyed prior art and research gap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notebooks/01_disease_model.ipynb</w:t>
      </w:r>
      <w:r>
        <w:t xml:space="preserve"> — end-to-end disease pipeline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notebooks/02_irrigation_model.ipynb</w:t>
      </w:r>
      <w:r>
        <w:t xml:space="preserve"> — end-to-end irrigation pipeline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src/</w:t>
      </w:r>
      <w:r>
        <w:t xml:space="preserve"> — reusable, importable modules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web/</w:t>
      </w:r>
      <w:r>
        <w:t xml:space="preserve"> — deployable client-side demonstrator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models/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web/models/</w:t>
      </w:r>
      <w:r>
        <w:t xml:space="preserve"> — exported model artefacts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  <w:shd w:fill="F2F4EF" w:val="clear"/>
        </w:rPr>
        <w:t xml:space="preserve">reports/</w:t>
      </w:r>
      <w:r>
        <w:t xml:space="preserve"> — figures, tables, evaluation outputs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Final project report and presentation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14. Risks and Mitigations</w:t>
      </w:r>
    </w:p>
    <w:tbl>
      <w:tblPr>
        <w:tblW w:type="dxa" w:w="9360"/>
        <w:tblBorders>
          <w:top w:val="single" w:color="D8DED3" w:sz="4"/>
          <w:left w:val="none" w:color="FFFFFF" w:sz="0"/>
          <w:bottom w:val="single" w:color="D8DED3" w:sz="4"/>
          <w:right w:val="none" w:color="FFFFFF" w:sz="0"/>
          <w:insideH w:val="single" w:color="D8DED3" w:sz="2"/>
          <w:insideV w:val="none" w:color="FFFFFF" w:sz="0"/>
        </w:tblBorders>
      </w:tblPr>
      <w:tblGrid>
        <w:gridCol w:w="900"/>
        <w:gridCol w:w="3956"/>
        <w:gridCol w:w="900"/>
        <w:gridCol w:w="900"/>
        <w:gridCol w:w="2704"/>
      </w:tblGrid>
      <w:tr>
        <w:trPr>
          <w:tblHeader/>
        </w:trPr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56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900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2704"/>
            <w:shd w:fill="E4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Classical features plateau well below CNN accuracy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This is an expected, </w:t>
            </w:r>
            <w:r>
              <w:rPr>
                <w:i/>
                <w:iCs/>
                <w:sz w:val="18"/>
                <w:szCs w:val="18"/>
              </w:rPr>
              <w:t xml:space="preserve">reportable</w:t>
            </w:r>
            <w:r>
              <w:rPr>
                <w:sz w:val="18"/>
                <w:szCs w:val="18"/>
              </w:rPr>
              <w:t xml:space="preserve"> result. Frame the trade-off quantitatively (accuracy vs. model size, energy, offline capability). Ablation shows where the ceiling comes from.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Python↔JS feature mismatch causes silently wrong browser predictions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M11 parity test is a hard gate; the browser also ships a self-check page comparing against 5 committed reference vectors.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Feature extraction too slow for ~6,000 images on CPU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160×160 resize, 16-level GLCM quantisation, vectorised NumPy, cached </w:t>
            </w:r>
            <w:r>
              <w:rPr>
                <w:rFonts w:ascii="Consolas" w:cs="Consolas" w:eastAsia="Consolas" w:hAnsi="Consolas"/>
                <w:sz w:val="19"/>
                <w:szCs w:val="19"/>
                <w:shd w:fill="F2F4EF" w:val="clear"/>
              </w:rPr>
              <w:t xml:space="preserve">.npy</w:t>
            </w:r>
            <w:r>
              <w:rPr>
                <w:sz w:val="18"/>
                <w:szCs w:val="18"/>
              </w:rPr>
              <w:t xml:space="preserve"> feature matrix so extraction runs once.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Kernel SVM wins but exports too large for the browser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Fall back to the best tree/linear model; document the accuracy cost.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Irrigation model criticised as "trained on synthetic data"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Pre-empt it: the generator is the FAO-56 international reference standard, fully documented and cited; add optional validation on public sensor logs.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PlantVillage background bias undermines the result's credibility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Background is removed before feature extraction; an OOD stress test is reported explicitly rather than omitted.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39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Scope creep into hardware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7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Hardware is fenced into §3.2 / future work from day one.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15. Stated Contributions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</w:t>
      </w:r>
      <w:r>
        <w:rPr>
          <w:b/>
          <w:bCs/>
        </w:rPr>
        <w:t xml:space="preserve">97-feature interpretable descriptor</w:t>
      </w:r>
      <w:r>
        <w:t xml:space="preserve"> for leaf disease that is specified precisely enough to be implemented identically in two languages, with a parity test proving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demonstration that </w:t>
      </w:r>
      <w:r>
        <w:rPr>
          <w:b/>
          <w:bCs/>
        </w:rPr>
        <w:t xml:space="preserve">classical ML deployed entirely client-side</w:t>
      </w:r>
      <w:r>
        <w:t xml:space="preserve"> is a viable operating point for plant disease triage, with the accuracy/size/offline trade-off quantified rather than assumed.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</w:t>
      </w:r>
      <w:r>
        <w:rPr>
          <w:b/>
          <w:bCs/>
        </w:rPr>
        <w:t xml:space="preserve">coupled disease–irrigation advisory</w:t>
      </w:r>
      <w:r>
        <w:t xml:space="preserve">: an explicit decision table in which detected foliar pathology modifies irrigation timing and method (e.g. suppressing evening overhead irrigation under late-blight risk), addressing a gap where the two problems are almost universally treated in isolation.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reproducible, physically-grounded </w:t>
      </w:r>
      <w:r>
        <w:rPr>
          <w:b/>
          <w:bCs/>
        </w:rPr>
        <w:t xml:space="preserve">FAO-56 irrigation dataset generator</w:t>
      </w:r>
      <w:r>
        <w:t xml:space="preserve"> released with the project.</w:t>
      </w:r>
    </w:p>
    <w:p>
      <w:pPr>
        <w:pBdr>
          <w:bottom w:val="single" w:color="D8DED3" w:sz="6" w:space="1"/>
        </w:pBdr>
        <w:spacing w:after="180" w:before="180"/>
      </w:pPr>
      <w:r>
        <w:t xml:space="preserve"/>
      </w:r>
    </w:p>
    <w:p>
      <w:pPr>
        <w:pStyle w:val="Heading1"/>
        <w:spacing w:after="160" w:before="380"/>
      </w:pPr>
      <w:r>
        <w:rPr>
          <w:rFonts w:ascii="Calibri" w:cs="Calibri" w:eastAsia="Calibri" w:hAnsi="Calibri"/>
          <w:b/>
          <w:bCs/>
          <w:color w:val="1F5C3A"/>
          <w:sz w:val="30"/>
          <w:szCs w:val="30"/>
        </w:rPr>
        <w:t xml:space="preserve">16. Future Work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ESP32 + capacitive soil-moisture / DHT22 hardware node publishing over MQTT into the same model interface.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Fine-tuning on field-condition imagery (PlantDoc, Tomato-Village) to close the OOD gap.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Disease severity regression (lesion area %) to drive dosage, not just identification.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A quantised MobileNet baseline as a direct on-device deep-learning comparison point.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Multilingual advisory text and a PWA install target for genuine field use.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6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D3" w:sz="4" w:space="6"/>
      </w:pBdr>
      <w:spacing w:after="200"/>
      <w:jc w:val="right"/>
    </w:pPr>
    <w:r>
      <w:rPr>
        <w:color w:val="5C6659"/>
        <w:sz w:val="16"/>
        <w:szCs w:val="16"/>
      </w:rPr>
      <w:t xml:space="preserve">AgriSense · Project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AgriSense</dc:title>
  <dc:creator>AgriSense project</dc:creator>
  <dc:description>AI-Powered Plant Disease Detection and Smart Irrigation Advisory</dc:description>
  <cp:lastModifiedBy>Un-named</cp:lastModifiedBy>
  <cp:revision>1</cp:revision>
  <dcterms:created xsi:type="dcterms:W3CDTF">2026-08-30T12:17:31.638Z</dcterms:created>
  <dcterms:modified xsi:type="dcterms:W3CDTF">2026-08-30T12:17:31.658Z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