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Arial" w:cs="Arial" w:eastAsia="Arial" w:hAnsi="Arial"/>
          <w:b/>
          <w:bCs/>
          <w:color w:val="B91C1C"/>
          <w:sz w:val="56"/>
          <w:szCs w:val="56"/>
        </w:rPr>
        <w:t xml:space="preserve">DATAPILOT AGENT OS</w:t>
      </w:r>
    </w:p>
    <w:p>
      <w:pPr>
        <w:spacing w:after="300"/>
        <w:jc w:val="center"/>
      </w:pPr>
      <w:r>
        <w:rPr>
          <w:rFonts w:ascii="Arial" w:cs="Arial" w:eastAsia="Arial" w:hAnsi="Arial"/>
          <w:color w:val="1F2937"/>
          <w:sz w:val="32"/>
          <w:szCs w:val="32"/>
        </w:rPr>
        <w:t xml:space="preserve">Consolidated Demo Script &amp; Live Walkthrough Record</w:t>
      </w:r>
    </w:p>
    <w:p>
      <w:pPr>
        <w:spacing w:after="40"/>
        <w:jc w:val="center"/>
      </w:pPr>
      <w:r>
        <w:rPr>
          <w:rFonts w:ascii="Arial" w:cs="Arial" w:eastAsia="Arial" w:hAnsi="Arial"/>
          <w:i/>
          <w:iCs/>
          <w:color w:val="6B7280"/>
          <w:sz w:val="22"/>
          <w:szCs w:val="22"/>
        </w:rPr>
        <w:t xml:space="preserve">Merges: Demo Storyboard · Run of Show &amp; Speaker Script · Anticipated Q&amp;A · SQL Server Demo Guide</w:t>
      </w:r>
    </w:p>
    <w:p>
      <w:pPr>
        <w:spacing w:after="40"/>
        <w:jc w:val="center"/>
      </w:pPr>
      <w:r>
        <w:rPr>
          <w:rFonts w:ascii="Arial" w:cs="Arial" w:eastAsia="Arial" w:hAnsi="Arial"/>
          <w:i/>
          <w:iCs/>
          <w:color w:val="6B7280"/>
          <w:sz w:val="22"/>
          <w:szCs w:val="22"/>
        </w:rPr>
        <w:t xml:space="preserve">Plus: real screenshots captured by driving the live running application this session</w:t>
      </w:r>
    </w:p>
    <w:p>
      <w:pPr>
        <w:spacing w:after="40" w:before="600"/>
        <w:jc w:val="center"/>
      </w:pPr>
      <w:r>
        <w:rPr>
          <w:rFonts w:ascii="Arial" w:cs="Arial" w:eastAsia="Arial" w:hAnsi="Arial"/>
          <w:color w:val="6B7280"/>
          <w:sz w:val="20"/>
          <w:szCs w:val="20"/>
        </w:rPr>
        <w:t xml:space="preserve">Prepared for Balaji · August 9, 2026</w:t>
      </w:r>
    </w:p>
    <w:p>
      <w:r>
        <w:br w:type="page"/>
      </w:r>
    </w:p>
    <w:p>
      <w:pPr>
        <w:pStyle w:val="Heading1"/>
        <w:spacing w:after="160" w:before="360"/>
      </w:pPr>
      <w:r>
        <w:rPr>
          <w:rFonts w:ascii="Arial" w:cs="Arial" w:eastAsia="Arial" w:hAnsi="Arial"/>
        </w:rPr>
        <w:t xml:space="preserve">Why This Document Exists</w:t>
      </w:r>
    </w:p>
    <w:p>
      <w:pPr>
        <w:spacing w:after="140"/>
      </w:pPr>
      <w:r>
        <w:rPr>
          <w:rFonts w:ascii="Arial" w:cs="Arial" w:eastAsia="Arial" w:hAnsi="Arial"/>
          <w:sz w:val="21"/>
          <w:szCs w:val="21"/>
        </w:rPr>
        <w:t xml:space="preserve">This is the single, consolidated demo script for DataPilot Agent OS — merging the four previously separate presentation documents (Demo Storyboard, Run of Show &amp; Speaker Script, Anticipated Q&amp;A, and the SQL Server Express Demo guide) into one walkthrough, and replacing every planned/placeholder screenshot reference with a real capture taken by driving the actual running application (Docker Compose stack, localhost:3000) in this session.</w:t>
      </w:r>
    </w:p>
    <w:p>
      <w:pPr>
        <w:spacing w:after="140"/>
      </w:pPr>
      <w:r>
        <w:rPr>
          <w:rFonts w:ascii="Arial" w:cs="Arial" w:eastAsia="Arial" w:hAnsi="Arial"/>
          <w:sz w:val="21"/>
          <w:szCs w:val="21"/>
        </w:rPr>
        <w:t xml:space="preserve">Every numbered step below was executed live against the real app, not just described. Where the app behaved as designed, the screenshot and narration are marked confirmed. Where a real bug was found mid-walkthrough, it's called out explicitly rather than smoothed over — see "Known Issues Found This Session" for full detail and root cause.</w:t>
      </w:r>
    </w:p>
    <w:p>
      <w:pPr>
        <w:spacing w:after="140"/>
      </w:pPr>
      <w:r>
        <w:rPr>
          <w:rFonts w:ascii="Arial" w:cs="Arial" w:eastAsia="Arial" w:hAnsi="Arial"/>
          <w:sz w:val="21"/>
          <w:szCs w:val="21"/>
        </w:rPr>
        <w:t xml:space="preserve">This revision adds two things on top of the first pass: (1) both bugs found live now have code fixes written and committed (see Known Issues below — both need a container rebuild to verify live), and (2) full application coverage — 32 screenshots total, up from 17, spanning every nav section including Semantic layer, Tool registry (internal + external gateway), all six Admin sub-tabs, Evaluations, and a live embedded Superset dashboard (see Section 2.5).</w:t>
      </w:r>
    </w:p>
    <w:p>
      <w:pPr>
        <w:spacing w:after="140"/>
      </w:pPr>
      <w:r>
        <w:rPr>
          <w:rFonts w:ascii="Arial" w:cs="Arial" w:eastAsia="Arial" w:hAnsi="Arial"/>
          <w:sz w:val="21"/>
          <w:szCs w:val="21"/>
        </w:rPr>
        <w:t xml:space="preserve">Companion deliverables from this same pass: DataPilot_Spec_Completion_Tracker.xlsx (completed vs. partial vs. not-started, reconciled against the code) and the updated architecture + demo PPT.</w:t>
      </w:r>
    </w:p>
    <w:p>
      <w:pPr>
        <w:pStyle w:val="Heading1"/>
        <w:spacing w:after="160" w:before="360"/>
      </w:pPr>
      <w:r>
        <w:rPr>
          <w:rFonts w:ascii="Arial" w:cs="Arial" w:eastAsia="Arial" w:hAnsi="Arial"/>
        </w:rPr>
        <w:t xml:space="preserve">1. Environment &amp; Credentials</w:t>
      </w:r>
    </w:p>
    <w:p>
      <w:pPr>
        <w:pStyle w:val="Heading3"/>
        <w:spacing w:after="100" w:before="200"/>
      </w:pPr>
      <w:r>
        <w:rPr>
          <w:rFonts w:ascii="Arial" w:cs="Arial" w:eastAsia="Arial" w:hAnsi="Arial"/>
        </w:rPr>
        <w:t xml:space="preserve">Starting the stack</w:t>
      </w:r>
    </w:p>
    <w:p>
      <w:pPr>
        <w:pStyle w:val="ListParagraph"/>
        <w:numPr>
          <w:ilvl w:val="0"/>
          <w:numId w:val="1"/>
        </w:numPr>
        <w:spacing w:after="80"/>
      </w:pPr>
      <w:r>
        <w:rPr>
          <w:rFonts w:ascii="Arial" w:cs="Arial" w:eastAsia="Arial" w:hAnsi="Arial"/>
          <w:sz w:val="21"/>
          <w:szCs w:val="21"/>
        </w:rPr>
        <w:t xml:space="preserve">docker compose up --build (add --profile analytics for Superset) from the project root.</w:t>
      </w:r>
    </w:p>
    <w:p>
      <w:pPr>
        <w:pStyle w:val="ListParagraph"/>
        <w:numPr>
          <w:ilvl w:val="0"/>
          <w:numId w:val="1"/>
        </w:numPr>
        <w:spacing w:after="80"/>
      </w:pPr>
      <w:r>
        <w:rPr>
          <w:rFonts w:ascii="Arial" w:cs="Arial" w:eastAsia="Arial" w:hAnsi="Arial"/>
          <w:sz w:val="21"/>
          <w:szCs w:val="21"/>
        </w:rPr>
        <w:t xml:space="preserve">Wait for http://localhost:8000/health/ready to report healthy.</w:t>
      </w:r>
    </w:p>
    <w:p>
      <w:pPr>
        <w:pStyle w:val="ListParagraph"/>
        <w:numPr>
          <w:ilvl w:val="0"/>
          <w:numId w:val="1"/>
        </w:numPr>
        <w:spacing w:after="80"/>
      </w:pPr>
      <w:r>
        <w:rPr>
          <w:rFonts w:ascii="Arial" w:cs="Arial" w:eastAsia="Arial" w:hAnsi="Arial"/>
          <w:sz w:val="21"/>
          <w:szCs w:val="21"/>
        </w:rPr>
        <w:t xml:space="preserve">Web app: http://localhost:3000 (this session's running instance; docs elsewhere reference :3001 — both are configured in compose.yaml).</w:t>
      </w:r>
    </w:p>
    <w:p>
      <w:pPr>
        <w:pStyle w:val="ListParagraph"/>
        <w:numPr>
          <w:ilvl w:val="0"/>
          <w:numId w:val="1"/>
        </w:numPr>
        <w:spacing w:after="80"/>
      </w:pPr>
      <w:r>
        <w:rPr>
          <w:rFonts w:ascii="Arial" w:cs="Arial" w:eastAsia="Arial" w:hAnsi="Arial"/>
          <w:sz w:val="21"/>
          <w:szCs w:val="21"/>
        </w:rPr>
        <w:t xml:space="preserve">A ready-to-upload sample file is already in the repo: sample_data/banking/transactions.csv.</w:t>
      </w:r>
    </w:p>
    <w:p>
      <w:pPr>
        <w:spacing w:after="200"/>
      </w:pPr>
    </w:p>
    <w:p>
      <w:pPr>
        <w:pStyle w:val="Heading3"/>
        <w:spacing w:after="100" w:before="200"/>
      </w:pPr>
      <w:r>
        <w:rPr>
          <w:rFonts w:ascii="Arial" w:cs="Arial" w:eastAsia="Arial" w:hAnsi="Arial"/>
        </w:rPr>
        <w:t xml:space="preserve">Logins used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rPr>
          <w:tblHeader/>
        </w:trPr>
        <w:tc>
          <w:tcPr>
            <w:tcW w:type="dxa" w:w="2400"/>
            <w:shd w:fill="1F2937" w:val="clear"/>
            <w:tcMar>
              <w:top w:type="dxa" w:w="80"/>
              <w:left w:type="dxa" w:w="100"/>
              <w:bottom w:type="dxa" w:w="80"/>
              <w:right w:type="dxa" w:w="100"/>
            </w:tcMar>
          </w:tcPr>
          <w:p>
            <w:r>
              <w:rPr>
                <w:rFonts w:ascii="Arial" w:cs="Arial" w:eastAsia="Arial" w:hAnsi="Arial"/>
                <w:b/>
                <w:bCs/>
                <w:color w:val="FFFFFF"/>
                <w:sz w:val="19"/>
                <w:szCs w:val="19"/>
              </w:rPr>
              <w:t xml:space="preserve">Persona / Role</w:t>
            </w:r>
          </w:p>
        </w:tc>
        <w:tc>
          <w:tcPr>
            <w:tcW w:type="dxa" w:w="2600"/>
            <w:shd w:fill="1F2937" w:val="clear"/>
            <w:tcMar>
              <w:top w:type="dxa" w:w="80"/>
              <w:left w:type="dxa" w:w="100"/>
              <w:bottom w:type="dxa" w:w="80"/>
              <w:right w:type="dxa" w:w="100"/>
            </w:tcMar>
          </w:tcPr>
          <w:p>
            <w:r>
              <w:rPr>
                <w:rFonts w:ascii="Arial" w:cs="Arial" w:eastAsia="Arial" w:hAnsi="Arial"/>
                <w:b/>
                <w:bCs/>
                <w:color w:val="FFFFFF"/>
                <w:sz w:val="19"/>
                <w:szCs w:val="19"/>
              </w:rPr>
              <w:t xml:space="preserve">Email</w:t>
            </w:r>
          </w:p>
        </w:tc>
        <w:tc>
          <w:tcPr>
            <w:tcW w:type="dxa" w:w="2600"/>
            <w:shd w:fill="1F2937" w:val="clear"/>
            <w:tcMar>
              <w:top w:type="dxa" w:w="80"/>
              <w:left w:type="dxa" w:w="100"/>
              <w:bottom w:type="dxa" w:w="80"/>
              <w:right w:type="dxa" w:w="100"/>
            </w:tcMar>
          </w:tcPr>
          <w:p>
            <w:r>
              <w:rPr>
                <w:rFonts w:ascii="Arial" w:cs="Arial" w:eastAsia="Arial" w:hAnsi="Arial"/>
                <w:b/>
                <w:bCs/>
                <w:color w:val="FFFFFF"/>
                <w:sz w:val="19"/>
                <w:szCs w:val="19"/>
              </w:rPr>
              <w:t xml:space="preserve">Password</w:t>
            </w:r>
          </w:p>
        </w:tc>
        <w:tc>
          <w:tcPr>
            <w:tcW w:type="dxa" w:w="1760"/>
            <w:shd w:fill="1F2937" w:val="clear"/>
            <w:tcMar>
              <w:top w:type="dxa" w:w="80"/>
              <w:left w:type="dxa" w:w="100"/>
              <w:bottom w:type="dxa" w:w="80"/>
              <w:right w:type="dxa" w:w="100"/>
            </w:tcMar>
          </w:tcPr>
          <w:p>
            <w:r>
              <w:rPr>
                <w:rFonts w:ascii="Arial" w:cs="Arial" w:eastAsia="Arial" w:hAnsi="Arial"/>
                <w:b/>
                <w:bCs/>
                <w:color w:val="FFFFFF"/>
                <w:sz w:val="19"/>
                <w:szCs w:val="19"/>
              </w:rPr>
              <w:t xml:space="preserve">Landing experience</w:t>
            </w:r>
          </w:p>
        </w:tc>
      </w:tr>
      <w:tr>
        <w:tc>
          <w:tcPr>
            <w:tcW w:type="dxa" w:w="2400"/>
            <w:tcMar>
              <w:top w:type="dxa" w:w="80"/>
              <w:left w:type="dxa" w:w="100"/>
              <w:bottom w:type="dxa" w:w="80"/>
              <w:right w:type="dxa" w:w="100"/>
            </w:tcMar>
          </w:tcPr>
          <w:p>
            <w:r>
              <w:rPr>
                <w:rFonts w:ascii="Arial" w:cs="Arial" w:eastAsia="Arial" w:hAnsi="Arial"/>
                <w:b w:val="false"/>
                <w:bCs w:val="false"/>
                <w:sz w:val="19"/>
                <w:szCs w:val="19"/>
              </w:rPr>
              <w:t xml:space="preserve">Administrator</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admin@datapilot.local</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ChangeMe123! (temporary — forced change on first login)</w:t>
            </w:r>
          </w:p>
        </w:tc>
        <w:tc>
          <w:tcPr>
            <w:tcW w:type="dxa" w:w="1760"/>
            <w:tcMar>
              <w:top w:type="dxa" w:w="80"/>
              <w:left w:type="dxa" w:w="100"/>
              <w:bottom w:type="dxa" w:w="80"/>
              <w:right w:type="dxa" w:w="100"/>
            </w:tcMar>
          </w:tcPr>
          <w:p>
            <w:r>
              <w:rPr>
                <w:rFonts w:ascii="Arial" w:cs="Arial" w:eastAsia="Arial" w:hAnsi="Arial"/>
                <w:b w:val="false"/>
                <w:bCs w:val="false"/>
                <w:sz w:val="19"/>
                <w:szCs w:val="19"/>
              </w:rPr>
              <w:t xml:space="preserve">Full workspace: catalog, admin, connectors, agents, approvals, quality, pipelines, security</w:t>
            </w:r>
          </w:p>
        </w:tc>
      </w:tr>
      <w:tr>
        <w:tc>
          <w:tcPr>
            <w:tcW w:type="dxa" w:w="2400"/>
            <w:tcMar>
              <w:top w:type="dxa" w:w="80"/>
              <w:left w:type="dxa" w:w="100"/>
              <w:bottom w:type="dxa" w:w="80"/>
              <w:right w:type="dxa" w:w="100"/>
            </w:tcMar>
          </w:tcPr>
          <w:p>
            <w:r>
              <w:rPr>
                <w:rFonts w:ascii="Arial" w:cs="Arial" w:eastAsia="Arial" w:hAnsi="Arial"/>
                <w:b w:val="false"/>
                <w:bCs w:val="false"/>
                <w:sz w:val="19"/>
                <w:szCs w:val="19"/>
              </w:rPr>
              <w:t xml:space="preserve">Analyst</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analyst@datapilot.local</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ChangeMe123! (seeded default)</w:t>
            </w:r>
          </w:p>
        </w:tc>
        <w:tc>
          <w:tcPr>
            <w:tcW w:type="dxa" w:w="1760"/>
            <w:tcMar>
              <w:top w:type="dxa" w:w="80"/>
              <w:left w:type="dxa" w:w="100"/>
              <w:bottom w:type="dxa" w:w="80"/>
              <w:right w:type="dxa" w:w="100"/>
            </w:tcMar>
          </w:tcPr>
          <w:p>
            <w:r>
              <w:rPr>
                <w:rFonts w:ascii="Arial" w:cs="Arial" w:eastAsia="Arial" w:hAnsi="Arial"/>
                <w:b w:val="false"/>
                <w:bCs w:val="false"/>
                <w:sz w:val="19"/>
                <w:szCs w:val="19"/>
              </w:rPr>
              <w:t xml:space="preserve">Role-based landing page tuned for SQL / conversation workflows</w:t>
            </w:r>
          </w:p>
        </w:tc>
      </w:tr>
      <w:tr>
        <w:tc>
          <w:tcPr>
            <w:tcW w:type="dxa" w:w="2400"/>
            <w:tcMar>
              <w:top w:type="dxa" w:w="80"/>
              <w:left w:type="dxa" w:w="100"/>
              <w:bottom w:type="dxa" w:w="80"/>
              <w:right w:type="dxa" w:w="100"/>
            </w:tcMar>
          </w:tcPr>
          <w:p>
            <w:r>
              <w:rPr>
                <w:rFonts w:ascii="Arial" w:cs="Arial" w:eastAsia="Arial" w:hAnsi="Arial"/>
                <w:b w:val="false"/>
                <w:bCs w:val="false"/>
                <w:sz w:val="19"/>
                <w:szCs w:val="19"/>
              </w:rPr>
              <w:t xml:space="preserve">Engineer</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Created this session via Admin → Users</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Set at creation</w:t>
            </w:r>
          </w:p>
        </w:tc>
        <w:tc>
          <w:tcPr>
            <w:tcW w:type="dxa" w:w="1760"/>
            <w:tcMar>
              <w:top w:type="dxa" w:w="80"/>
              <w:left w:type="dxa" w:w="100"/>
              <w:bottom w:type="dxa" w:w="80"/>
              <w:right w:type="dxa" w:w="100"/>
            </w:tcMar>
          </w:tcPr>
          <w:p>
            <w:r>
              <w:rPr>
                <w:rFonts w:ascii="Arial" w:cs="Arial" w:eastAsia="Arial" w:hAnsi="Arial"/>
                <w:b w:val="false"/>
                <w:bCs w:val="false"/>
                <w:sz w:val="19"/>
                <w:szCs w:val="19"/>
              </w:rPr>
              <w:t xml:space="preserve">Role-based landing tuned for ingestion / pipelines / connectors</w:t>
            </w:r>
          </w:p>
        </w:tc>
      </w:tr>
      <w:tr>
        <w:tc>
          <w:tcPr>
            <w:tcW w:type="dxa" w:w="2400"/>
            <w:tcMar>
              <w:top w:type="dxa" w:w="80"/>
              <w:left w:type="dxa" w:w="100"/>
              <w:bottom w:type="dxa" w:w="80"/>
              <w:right w:type="dxa" w:w="100"/>
            </w:tcMar>
          </w:tcPr>
          <w:p>
            <w:r>
              <w:rPr>
                <w:rFonts w:ascii="Arial" w:cs="Arial" w:eastAsia="Arial" w:hAnsi="Arial"/>
                <w:b w:val="false"/>
                <w:bCs w:val="false"/>
                <w:sz w:val="19"/>
                <w:szCs w:val="19"/>
              </w:rPr>
              <w:t xml:space="preserve">Viewer</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Created this session via Admin → Users</w:t>
            </w:r>
          </w:p>
        </w:tc>
        <w:tc>
          <w:tcPr>
            <w:tcW w:type="dxa" w:w="2600"/>
            <w:tcMar>
              <w:top w:type="dxa" w:w="80"/>
              <w:left w:type="dxa" w:w="100"/>
              <w:bottom w:type="dxa" w:w="80"/>
              <w:right w:type="dxa" w:w="100"/>
            </w:tcMar>
          </w:tcPr>
          <w:p>
            <w:r>
              <w:rPr>
                <w:rFonts w:ascii="Arial" w:cs="Arial" w:eastAsia="Arial" w:hAnsi="Arial"/>
                <w:b w:val="false"/>
                <w:bCs w:val="false"/>
                <w:sz w:val="19"/>
                <w:szCs w:val="19"/>
              </w:rPr>
              <w:t xml:space="preserve">Set at creation</w:t>
            </w:r>
          </w:p>
        </w:tc>
        <w:tc>
          <w:tcPr>
            <w:tcW w:type="dxa" w:w="1760"/>
            <w:tcMar>
              <w:top w:type="dxa" w:w="80"/>
              <w:left w:type="dxa" w:w="100"/>
              <w:bottom w:type="dxa" w:w="80"/>
              <w:right w:type="dxa" w:w="100"/>
            </w:tcMar>
          </w:tcPr>
          <w:p>
            <w:r>
              <w:rPr>
                <w:rFonts w:ascii="Arial" w:cs="Arial" w:eastAsia="Arial" w:hAnsi="Arial"/>
                <w:b w:val="false"/>
                <w:bCs w:val="false"/>
                <w:sz w:val="19"/>
                <w:szCs w:val="19"/>
              </w:rPr>
              <w:t xml:space="preserve">Read-only role-based landing</w:t>
            </w:r>
          </w:p>
        </w:tc>
      </w:tr>
    </w:tbl>
    <w:p>
      <w:pPr>
        <w:spacing w:after="200"/>
      </w:pPr>
    </w:p>
    <w:p>
      <w:pPr>
        <w:spacing w:after="140"/>
      </w:pPr>
      <w:r>
        <w:rPr>
          <w:rFonts w:ascii="Arial" w:cs="Arial" w:eastAsia="Arial" w:hAnsi="Arial"/>
          <w:sz w:val="21"/>
          <w:szCs w:val="21"/>
        </w:rPr>
        <w:t xml:space="preserve">Note: the app defines exactly four system roles — admin, engineer, analyst, viewer — in main.py's role Literal type. Only admin and analyst are auto-seeded; engineer and viewer accounts were created live this session through Admin → Users to demonstrate all four role-based landing pages (see Section 4).</w:t>
      </w:r>
    </w:p>
    <w:p>
      <w:pPr>
        <w:pStyle w:val="Heading1"/>
        <w:spacing w:after="160" w:before="360"/>
      </w:pPr>
      <w:r>
        <w:rPr>
          <w:rFonts w:ascii="Arial" w:cs="Arial" w:eastAsia="Arial" w:hAnsi="Arial"/>
        </w:rPr>
        <w:t xml:space="preserve">2. Full Walkthrough — Step by Step (Executed Live This Session)</w:t>
      </w:r>
    </w:p>
    <w:p>
      <w:pPr>
        <w:spacing w:after="140"/>
      </w:pPr>
      <w:r>
        <w:rPr>
          <w:rFonts w:ascii="Arial" w:cs="Arial" w:eastAsia="Arial" w:hAnsi="Arial"/>
          <w:sz w:val="21"/>
          <w:szCs w:val="21"/>
        </w:rPr>
        <w:t xml:space="preserve">This is the Demo Storyboard's 13-step script, run end to end against the live app. Each step shows the real screenshot captured, what was actually clicked, the planned narration line, and a live-verification note.</w:t>
      </w:r>
    </w:p>
    <w:p>
      <w:pPr>
        <w:pStyle w:val="Heading2"/>
        <w:spacing w:after="140" w:before="260"/>
      </w:pPr>
      <w:r>
        <w:rPr>
          <w:rFonts w:ascii="Arial" w:cs="Arial" w:eastAsia="Arial" w:hAnsi="Arial"/>
        </w:rPr>
        <w:t xml:space="preserve">Step 00 — Admin landing page</w:t>
      </w:r>
    </w:p>
    <w:p>
      <w:pPr>
        <w:spacing w:after="100"/>
      </w:pPr>
      <w:r>
        <w:rPr>
          <w:rFonts w:ascii="Arial" w:cs="Arial" w:eastAsia="Arial" w:hAnsi="Arial"/>
          <w:i/>
          <w:iCs/>
          <w:color w:val="6B7280"/>
          <w:sz w:val="18"/>
          <w:szCs w:val="18"/>
        </w:rPr>
        <w:t xml:space="preserve">Target: docs/screenshots/workflows/00-admin-landing.png    Approx. time: ~10s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Land on the workspace home after sign-in as admin.</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“This is DataPilot — a local-first, governed AI data engineering workspace.”</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Shows catalog asset count, connected sources, active jobs, and the “What do you want to build or understand?” agent objective box.</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00-admin-landing.png</w:t>
      </w:r>
    </w:p>
    <w:p>
      <w:pPr>
        <w:pStyle w:val="Heading2"/>
        <w:spacing w:after="140" w:before="260"/>
      </w:pPr>
      <w:r>
        <w:rPr>
          <w:rFonts w:ascii="Arial" w:cs="Arial" w:eastAsia="Arial" w:hAnsi="Arial"/>
        </w:rPr>
        <w:t xml:space="preserve">Step 01 — Sign in</w:t>
      </w:r>
    </w:p>
    <w:p>
      <w:pPr>
        <w:spacing w:after="100"/>
      </w:pPr>
      <w:r>
        <w:rPr>
          <w:rFonts w:ascii="Arial" w:cs="Arial" w:eastAsia="Arial" w:hAnsi="Arial"/>
          <w:i/>
          <w:iCs/>
          <w:color w:val="6B7280"/>
          <w:sz w:val="18"/>
          <w:szCs w:val="18"/>
        </w:rPr>
        <w:t xml:space="preserve">Target: docs/screenshots/workflows/01-login.png    Approx. time: ~15s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http://localhost:3000, sign in with the seeded admin.</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“Local sign-in, no external identity provider required to evaluate it.”</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First login prompts a forced temporary-password change — dismissed/completed before proceeding.</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01-login.png</w:t>
      </w:r>
    </w:p>
    <w:p>
      <w:pPr>
        <w:pStyle w:val="Heading2"/>
        <w:spacing w:after="140" w:before="260"/>
      </w:pPr>
      <w:r>
        <w:rPr>
          <w:rFonts w:ascii="Arial" w:cs="Arial" w:eastAsia="Arial" w:hAnsi="Arial"/>
        </w:rPr>
        <w:t xml:space="preserve">Step 02 — Upload a file</w:t>
      </w:r>
    </w:p>
    <w:p>
      <w:pPr>
        <w:spacing w:after="100"/>
      </w:pPr>
      <w:r>
        <w:rPr>
          <w:rFonts w:ascii="Arial" w:cs="Arial" w:eastAsia="Arial" w:hAnsi="Arial"/>
          <w:i/>
          <w:iCs/>
          <w:color w:val="6B7280"/>
          <w:sz w:val="18"/>
          <w:szCs w:val="18"/>
        </w:rPr>
        <w:t xml:space="preserve">Target: docs/screenshots/workflows/02-file-upload.png    Approx. time: ~30s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Go to Files, upload sample_data/banking/transactions.csv.</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“CSV, JSON, Excel, or Parquet — the same path handles all four.”</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with one real friction point: the native OS file-picker dialog is outside both computer-use's click-tier browser restriction and claude-in-chrome's session-file scope — needed one manual path paste to complete. Once uploaded, file profiled correctly.</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02-file-upload.png</w:t>
      </w:r>
    </w:p>
    <w:p>
      <w:pPr>
        <w:pStyle w:val="Heading2"/>
        <w:spacing w:after="140" w:before="260"/>
      </w:pPr>
      <w:r>
        <w:rPr>
          <w:rFonts w:ascii="Arial" w:cs="Arial" w:eastAsia="Arial" w:hAnsi="Arial"/>
        </w:rPr>
        <w:t xml:space="preserve">Step 03 — Review &amp; edit mapping</w:t>
      </w:r>
    </w:p>
    <w:p>
      <w:pPr>
        <w:spacing w:after="100"/>
      </w:pPr>
      <w:r>
        <w:rPr>
          <w:rFonts w:ascii="Arial" w:cs="Arial" w:eastAsia="Arial" w:hAnsi="Arial"/>
          <w:i/>
          <w:iCs/>
          <w:color w:val="6B7280"/>
          <w:sz w:val="18"/>
          <w:szCs w:val="18"/>
        </w:rPr>
        <w:t xml:space="preserve">Target: docs/screenshots/workflows/03-mapping-review.png    Approx. time: ~30s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the profiled file, review source-to-target column mapping.</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“We review and edit the mapping before anything is staged — nothing gets loaded blind.”</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Column types and target names editable before staging.</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03-mapping-review.png</w:t>
      </w:r>
    </w:p>
    <w:p>
      <w:pPr>
        <w:pStyle w:val="Heading2"/>
        <w:spacing w:after="140" w:before="260"/>
      </w:pPr>
      <w:r>
        <w:rPr>
          <w:rFonts w:ascii="Arial" w:cs="Arial" w:eastAsia="Arial" w:hAnsi="Arial"/>
        </w:rPr>
        <w:t xml:space="preserve">Step 04 — Stage into PostgreSQL</w:t>
      </w:r>
    </w:p>
    <w:p>
      <w:pPr>
        <w:spacing w:after="100"/>
      </w:pPr>
      <w:r>
        <w:rPr>
          <w:rFonts w:ascii="Arial" w:cs="Arial" w:eastAsia="Arial" w:hAnsi="Arial"/>
          <w:i/>
          <w:iCs/>
          <w:color w:val="6B7280"/>
          <w:sz w:val="18"/>
          <w:szCs w:val="18"/>
        </w:rPr>
        <w:t xml:space="preserve">Target: docs/screenshots/workflows/04-stage-load.png    Approx. time: ~20s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Confirm mapping, choose a load mode, stage.</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“A real, versioned load into PostgreSQL — not a preview.”</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Staged relation appears in the catalog immediately after.</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04-stage-load.png</w:t>
      </w:r>
    </w:p>
    <w:p>
      <w:pPr>
        <w:pStyle w:val="Heading2"/>
        <w:spacing w:after="140" w:before="260"/>
      </w:pPr>
      <w:r>
        <w:rPr>
          <w:rFonts w:ascii="Arial" w:cs="Arial" w:eastAsia="Arial" w:hAnsi="Arial"/>
        </w:rPr>
        <w:t xml:space="preserve">Step 05 — Catalog &amp; hybrid search</w:t>
      </w:r>
    </w:p>
    <w:p>
      <w:pPr>
        <w:spacing w:after="100"/>
      </w:pPr>
      <w:r>
        <w:rPr>
          <w:rFonts w:ascii="Arial" w:cs="Arial" w:eastAsia="Arial" w:hAnsi="Arial"/>
          <w:i/>
          <w:iCs/>
          <w:color w:val="6B7280"/>
          <w:sz w:val="18"/>
          <w:szCs w:val="18"/>
        </w:rPr>
        <w:t xml:space="preserve">Target: docs/screenshots/workflows/05-catalog-search.png    Approx. time: ~25s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the Dataset explorer, search for the newly staged table.</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“Combined PostgreSQL keyword search and Qdrant vector search — the same index the AI grounds its answers in.”</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New asset appears with inferred schema and column list.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05-catalog-search.png</w:t>
      </w:r>
    </w:p>
    <w:p>
      <w:pPr>
        <w:pStyle w:val="Heading2"/>
        <w:spacing w:after="140" w:before="260"/>
      </w:pPr>
      <w:r>
        <w:rPr>
          <w:rFonts w:ascii="Arial" w:cs="Arial" w:eastAsia="Arial" w:hAnsi="Arial"/>
        </w:rPr>
        <w:t xml:space="preserve">Step 06 — Ask a grounded question</w:t>
      </w:r>
    </w:p>
    <w:p>
      <w:pPr>
        <w:spacing w:after="100"/>
      </w:pPr>
      <w:r>
        <w:rPr>
          <w:rFonts w:ascii="Arial" w:cs="Arial" w:eastAsia="Arial" w:hAnsi="Arial"/>
          <w:i/>
          <w:iCs/>
          <w:color w:val="6B7280"/>
          <w:sz w:val="18"/>
          <w:szCs w:val="18"/>
        </w:rPr>
        <w:t xml:space="preserve">Target: docs/screenshots/workflows/06-ask-question-ERROR-bug.png    Approx. time: ~40s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the SQL/conversation workspace, ask a natural-language question about the staged table.</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“The model gets catalog context first, then proposes SQL.”</w:t>
      </w:r>
    </w:p>
    <w:p>
      <w:pPr>
        <w:spacing w:after="140"/>
      </w:pPr>
      <w:r>
        <w:rPr>
          <w:rFonts w:ascii="Arial" w:cs="Arial" w:eastAsia="Arial" w:hAnsi="Arial"/>
          <w:b/>
          <w:bCs/>
          <w:sz w:val="21"/>
          <w:szCs w:val="21"/>
        </w:rPr>
        <w:t xml:space="preserve">Live verification: </w:t>
      </w:r>
      <w:r>
        <w:rPr>
          <w:rFonts w:ascii="Arial" w:cs="Arial" w:eastAsia="Arial" w:hAnsi="Arial"/>
          <w:b/>
          <w:bCs/>
          <w:color w:val="B91C1C"/>
          <w:sz w:val="21"/>
          <w:szCs w:val="21"/>
        </w:rPr>
        <w:t xml:space="preserve">BUG FOUND LIVE: POST /conversations/{id}/messages returned HTTP 500. Root-caused this session (see Known Issues #1) — fix written, pending a container rebuild to verify clean.</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06-ask-question-ERROR-bug.png</w:t>
      </w:r>
    </w:p>
    <w:p>
      <w:pPr>
        <w:pStyle w:val="Heading2"/>
        <w:spacing w:after="140" w:before="260"/>
      </w:pPr>
      <w:r>
        <w:rPr>
          <w:rFonts w:ascii="Arial" w:cs="Arial" w:eastAsia="Arial" w:hAnsi="Arial"/>
        </w:rPr>
        <w:t xml:space="preserve">Step 07 — Guarded SQL preview + “Why this result?”</w:t>
      </w:r>
    </w:p>
    <w:p>
      <w:pPr>
        <w:spacing w:after="100"/>
      </w:pPr>
      <w:r>
        <w:rPr>
          <w:rFonts w:ascii="Arial" w:cs="Arial" w:eastAsia="Arial" w:hAnsi="Arial"/>
          <w:i/>
          <w:iCs/>
          <w:color w:val="6B7280"/>
          <w:sz w:val="18"/>
          <w:szCs w:val="18"/>
        </w:rPr>
        <w:t xml:space="preserve">Target: docs/screenshots/workflows/07-sql-generate-ERROR-bug.png    Approx. time: ~35s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Run the bounded read-only preview in the SQL workspace; open the explainability drawer.</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“One read-only SELECT, enforced server-side — and you can see exactly what grounded the answer.”</w:t>
      </w:r>
    </w:p>
    <w:p>
      <w:pPr>
        <w:spacing w:after="140"/>
      </w:pPr>
      <w:r>
        <w:rPr>
          <w:rFonts w:ascii="Arial" w:cs="Arial" w:eastAsia="Arial" w:hAnsi="Arial"/>
          <w:b/>
          <w:bCs/>
          <w:sz w:val="21"/>
          <w:szCs w:val="21"/>
        </w:rPr>
        <w:t xml:space="preserve">Live verification: </w:t>
      </w:r>
      <w:r>
        <w:rPr>
          <w:rFonts w:ascii="Arial" w:cs="Arial" w:eastAsia="Arial" w:hAnsi="Arial"/>
          <w:b/>
          <w:bCs/>
          <w:color w:val="B91C1C"/>
          <w:sz w:val="21"/>
          <w:szCs w:val="21"/>
        </w:rPr>
        <w:t xml:space="preserve">BUG FOUND LIVE: same root cause as Step 06 — POST /api/sql/generate returned HTTP 500 (TypeError: datetime not JSON serializable). See Known Issues #1.</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07-sql-generate-ERROR-bug.png</w:t>
      </w:r>
    </w:p>
    <w:p>
      <w:pPr>
        <w:pStyle w:val="Heading2"/>
        <w:spacing w:after="140" w:before="260"/>
      </w:pPr>
      <w:r>
        <w:rPr>
          <w:rFonts w:ascii="Arial" w:cs="Arial" w:eastAsia="Arial" w:hAnsi="Arial"/>
        </w:rPr>
        <w:t xml:space="preserve">Step 08 — Start a bounded agent run</w:t>
      </w:r>
    </w:p>
    <w:p>
      <w:pPr>
        <w:spacing w:after="100"/>
      </w:pPr>
      <w:r>
        <w:rPr>
          <w:rFonts w:ascii="Arial" w:cs="Arial" w:eastAsia="Arial" w:hAnsi="Arial"/>
          <w:i/>
          <w:iCs/>
          <w:color w:val="6B7280"/>
          <w:sz w:val="18"/>
          <w:szCs w:val="18"/>
        </w:rPr>
        <w:t xml:space="preserve">Target: docs/screenshots/workflows/08-agent-run.png    Approx. time: ~40s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Start an agent objective related to the staged data; observe the job appear with plan/status.</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“Temporal-backed, bounded to a 3-to-6 step plan, at most 12 tool calls.”</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Job detail view shows the Planner → Metadata → SQL Analyst → Quality → Policy plan stages live.</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08-agent-run.png</w:t>
      </w:r>
    </w:p>
    <w:p>
      <w:pPr>
        <w:pStyle w:val="Heading2"/>
        <w:spacing w:after="140" w:before="260"/>
      </w:pPr>
      <w:r>
        <w:rPr>
          <w:rFonts w:ascii="Arial" w:cs="Arial" w:eastAsia="Arial" w:hAnsi="Arial"/>
        </w:rPr>
        <w:t xml:space="preserve">Step 09 — Approve a risky action</w:t>
      </w:r>
    </w:p>
    <w:p>
      <w:pPr>
        <w:spacing w:after="100"/>
      </w:pPr>
      <w:r>
        <w:rPr>
          <w:rFonts w:ascii="Arial" w:cs="Arial" w:eastAsia="Arial" w:hAnsi="Arial"/>
          <w:i/>
          <w:iCs/>
          <w:color w:val="6B7280"/>
          <w:sz w:val="18"/>
          <w:szCs w:val="18"/>
        </w:rPr>
        <w:t xml:space="preserve">Target: docs/screenshots/workflows/09-approval.png    Approx. time: ~25s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Approvals, approve a pending run/deployment.</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“A risky action stops and waits for exactly this decision.”</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Approval queue entry visible with evidence; approving it unblocks the run.</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09-approval.png</w:t>
      </w:r>
    </w:p>
    <w:p>
      <w:pPr>
        <w:pStyle w:val="Heading2"/>
        <w:spacing w:after="140" w:before="260"/>
      </w:pPr>
      <w:r>
        <w:rPr>
          <w:rFonts w:ascii="Arial" w:cs="Arial" w:eastAsia="Arial" w:hAnsi="Arial"/>
        </w:rPr>
        <w:t xml:space="preserve">Step 10 — Data quality run</w:t>
      </w:r>
    </w:p>
    <w:p>
      <w:pPr>
        <w:spacing w:after="100"/>
      </w:pPr>
      <w:r>
        <w:rPr>
          <w:rFonts w:ascii="Arial" w:cs="Arial" w:eastAsia="Arial" w:hAnsi="Arial"/>
          <w:i/>
          <w:iCs/>
          <w:color w:val="6B7280"/>
          <w:sz w:val="18"/>
          <w:szCs w:val="18"/>
        </w:rPr>
        <w:t xml:space="preserve">Target: docs/screenshots/workflows/10-quality-rules.png    Approx. time: ~30s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Quality, run the AI-suggested “transaction_id is unique” rule against activity.transactions.</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“Failures land in quarantine under physical tables — queryable, not silently dropped.”</w:t>
      </w:r>
    </w:p>
    <w:p>
      <w:pPr>
        <w:spacing w:after="140"/>
      </w:pPr>
      <w:r>
        <w:rPr>
          <w:rFonts w:ascii="Arial" w:cs="Arial" w:eastAsia="Arial" w:hAnsi="Arial"/>
          <w:b/>
          <w:bCs/>
          <w:sz w:val="21"/>
          <w:szCs w:val="21"/>
        </w:rPr>
        <w:t xml:space="preserve">Live verification: </w:t>
      </w:r>
      <w:r>
        <w:rPr>
          <w:rFonts w:ascii="Arial" w:cs="Arial" w:eastAsia="Arial" w:hAnsi="Arial"/>
          <w:b/>
          <w:bCs/>
          <w:color w:val="B91C1C"/>
          <w:sz w:val="21"/>
          <w:szCs w:val="21"/>
        </w:rPr>
        <w:t xml:space="preserve">BUG FOUND LIVE: UI shows “Pass rate: 100%” and “Status: ERROR” simultaneously, with a toast reading “0 rows passed.” Internally inconsistent state — see Known Issues #2 (not yet root-caused).</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10-quality-rules.png</w:t>
      </w:r>
    </w:p>
    <w:p>
      <w:pPr>
        <w:pStyle w:val="Heading2"/>
        <w:spacing w:after="140" w:before="260"/>
      </w:pPr>
      <w:r>
        <w:rPr>
          <w:rFonts w:ascii="Arial" w:cs="Arial" w:eastAsia="Arial" w:hAnsi="Arial"/>
        </w:rPr>
        <w:t xml:space="preserve">Step 11 — Generate &amp; deploy a pipeline, view lineage</w:t>
      </w:r>
    </w:p>
    <w:p>
      <w:pPr>
        <w:spacing w:after="100"/>
      </w:pPr>
      <w:r>
        <w:rPr>
          <w:rFonts w:ascii="Arial" w:cs="Arial" w:eastAsia="Arial" w:hAnsi="Arial"/>
          <w:i/>
          <w:iCs/>
          <w:color w:val="6B7280"/>
          <w:sz w:val="18"/>
          <w:szCs w:val="18"/>
        </w:rPr>
        <w:t xml:space="preserve">Target: docs/screenshots/workflows/11-pipeline-designer.png    Approx. time: ~40s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Generate a pipeline from the staged dataset, approve the view deployment, open the lineage graph.</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“Approved, deployed, and now traceable.”</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Pipeline designer renders the generated view definition and deployment status.</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11-pipeline-designer.png</w:t>
      </w:r>
    </w:p>
    <w:p>
      <w:pPr>
        <w:pStyle w:val="Heading2"/>
        <w:spacing w:after="140" w:before="260"/>
      </w:pPr>
      <w:r>
        <w:rPr>
          <w:rFonts w:ascii="Arial" w:cs="Arial" w:eastAsia="Arial" w:hAnsi="Arial"/>
        </w:rPr>
        <w:t xml:space="preserve">Step 12 — Security posture dashboard</w:t>
      </w:r>
    </w:p>
    <w:p>
      <w:pPr>
        <w:spacing w:after="100"/>
      </w:pPr>
      <w:r>
        <w:rPr>
          <w:rFonts w:ascii="Arial" w:cs="Arial" w:eastAsia="Arial" w:hAnsi="Arial"/>
          <w:i/>
          <w:iCs/>
          <w:color w:val="6B7280"/>
          <w:sz w:val="18"/>
          <w:szCs w:val="18"/>
        </w:rPr>
        <w:t xml:space="preserve">Target: docs/screenshots/workflows/12-security-dashboard.png    Approx. time: ~20s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the security overview / posture dashboard.</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“Prompt-injection, PII exposure, and toxic-content incidents, scored and trended.”</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Dashboard renders score, trend, and top-risks panels.</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12-security-dashboard.png</w:t>
      </w:r>
    </w:p>
    <w:p>
      <w:pPr>
        <w:pStyle w:val="Heading2"/>
        <w:spacing w:after="140" w:before="260"/>
      </w:pPr>
      <w:r>
        <w:rPr>
          <w:rFonts w:ascii="Arial" w:cs="Arial" w:eastAsia="Arial" w:hAnsi="Arial"/>
        </w:rPr>
        <w:t xml:space="preserve">Step 13 — Admin — Users &amp; personas</w:t>
      </w:r>
    </w:p>
    <w:p>
      <w:pPr>
        <w:spacing w:after="100"/>
      </w:pPr>
      <w:r>
        <w:rPr>
          <w:rFonts w:ascii="Arial" w:cs="Arial" w:eastAsia="Arial" w:hAnsi="Arial"/>
          <w:i/>
          <w:iCs/>
          <w:color w:val="6B7280"/>
          <w:sz w:val="18"/>
          <w:szCs w:val="18"/>
        </w:rPr>
        <w:t xml:space="preserve">Target: docs/screenshots/workflows/13-admin-users-personas.png    Approx. time: ~20s</w:t>
      </w:r>
    </w:p>
    <w:p>
      <w:pPr>
        <w:spacing w:after="60"/>
      </w:pPr>
      <w:r>
        <w:rPr>
          <w:rFonts w:ascii="Arial" w:cs="Arial" w:eastAsia="Arial" w:hAnsi="Arial"/>
          <w:b/>
          <w:bCs/>
          <w:sz w:val="21"/>
          <w:szCs w:val="21"/>
        </w:rPr>
        <w:t xml:space="preserve">What to click: </w:t>
      </w:r>
      <w:r>
        <w:rPr>
          <w:rFonts w:ascii="Arial" w:cs="Arial" w:eastAsia="Arial" w:hAnsi="Arial"/>
          <w:sz w:val="21"/>
          <w:szCs w:val="21"/>
        </w:rPr>
        <w:t xml:space="preserve">Open Admin → Users; create the Engineer and Viewer accounts used in Section 4.</w:t>
      </w:r>
    </w:p>
    <w:p>
      <w:pPr>
        <w:spacing w:after="60"/>
      </w:pPr>
      <w:r>
        <w:rPr>
          <w:rFonts w:ascii="Arial" w:cs="Arial" w:eastAsia="Arial" w:hAnsi="Arial"/>
          <w:b/>
          <w:bCs/>
          <w:sz w:val="21"/>
          <w:szCs w:val="21"/>
        </w:rPr>
        <w:t xml:space="preserve">What to say: </w:t>
      </w:r>
      <w:r>
        <w:rPr>
          <w:rFonts w:ascii="Arial" w:cs="Arial" w:eastAsia="Arial" w:hAnsi="Arial"/>
          <w:i/>
          <w:iCs/>
          <w:sz w:val="21"/>
          <w:szCs w:val="21"/>
        </w:rPr>
        <w:t xml:space="preserve">“Four system roles, each with its own landing experience and permission scope.”</w:t>
      </w:r>
    </w:p>
    <w:p>
      <w:pPr>
        <w:spacing w:after="140"/>
      </w:pPr>
      <w:r>
        <w:rPr>
          <w:rFonts w:ascii="Arial" w:cs="Arial" w:eastAsia="Arial" w:hAnsi="Arial"/>
          <w:b/>
          <w:bCs/>
          <w:sz w:val="21"/>
          <w:szCs w:val="21"/>
        </w:rPr>
        <w:t xml:space="preserve">Live verification: </w:t>
      </w:r>
      <w:r>
        <w:rPr>
          <w:rFonts w:ascii="Arial" w:cs="Arial" w:eastAsia="Arial" w:hAnsi="Arial"/>
          <w:b w:val="false"/>
          <w:bCs w:val="false"/>
          <w:color w:val="15803D"/>
          <w:sz w:val="21"/>
          <w:szCs w:val="21"/>
        </w:rPr>
        <w:t xml:space="preserve">Confirmed. User list, edit modal, search, and deactivate-with-confirmation all functional.</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13-admin-users-personas.png</w:t>
      </w:r>
    </w:p>
    <w:p>
      <w:pPr>
        <w:pStyle w:val="Heading1"/>
        <w:spacing w:after="160" w:before="360"/>
      </w:pPr>
      <w:r>
        <w:rPr>
          <w:rFonts w:ascii="Arial" w:cs="Arial" w:eastAsia="Arial" w:hAnsi="Arial"/>
        </w:rPr>
        <w:t xml:space="preserve">2.5 — Complete Application Coverage (Added This Pass)</w:t>
      </w:r>
    </w:p>
    <w:p>
      <w:pPr>
        <w:spacing w:after="140"/>
      </w:pPr>
      <w:r>
        <w:rPr>
          <w:rFonts w:ascii="Arial" w:cs="Arial" w:eastAsia="Arial" w:hAnsi="Arial"/>
          <w:sz w:val="21"/>
          <w:szCs w:val="21"/>
        </w:rPr>
        <w:t xml:space="preserve">The original 13-step storyboard only covers the core demo spine. Following a direct request to “cover the complete application,” every remaining nav section was clicked through and captured live, including the two screens (Semantic layer, Tool registry) that came up in a real navigation question during this session.</w:t>
      </w:r>
    </w:p>
    <w:p>
      <w:pPr>
        <w:pStyle w:val="Heading2"/>
        <w:spacing w:after="140" w:before="260"/>
      </w:pPr>
      <w:r>
        <w:rPr>
          <w:rFonts w:ascii="Arial" w:cs="Arial" w:eastAsia="Arial" w:hAnsi="Arial"/>
        </w:rPr>
        <w:t xml:space="preserve">Semantic layer — table &amp; join graph</w:t>
      </w:r>
    </w:p>
    <w:p>
      <w:pPr>
        <w:spacing w:after="100"/>
      </w:pPr>
      <w:r>
        <w:rPr>
          <w:rFonts w:ascii="Arial" w:cs="Arial" w:eastAsia="Arial" w:hAnsi="Arial"/>
          <w:i/>
          <w:iCs/>
          <w:color w:val="6B7280"/>
          <w:sz w:val="18"/>
          <w:szCs w:val="18"/>
        </w:rPr>
        <w:t xml:space="preserve">Target: docs/screenshots/workflows/14-semantic-layer.png</w:t>
      </w:r>
    </w:p>
    <w:p>
      <w:pPr>
        <w:spacing w:after="140"/>
      </w:pPr>
      <w:r>
        <w:rPr>
          <w:rFonts w:ascii="Arial" w:cs="Arial" w:eastAsia="Arial" w:hAnsi="Arial"/>
          <w:sz w:val="21"/>
          <w:szCs w:val="21"/>
        </w:rPr>
        <w:t xml:space="preserve">Governance &amp; Agents → Semantic layer. Approved joins (solid) vs. column-name-inferred suggestions (dashed) — 0 governed / 27 inferred in this project.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14-semantic-layer.png</w:t>
      </w:r>
    </w:p>
    <w:p>
      <w:pPr>
        <w:pStyle w:val="Heading2"/>
        <w:spacing w:after="140" w:before="260"/>
      </w:pPr>
      <w:r>
        <w:rPr>
          <w:rFonts w:ascii="Arial" w:cs="Arial" w:eastAsia="Arial" w:hAnsi="Arial"/>
        </w:rPr>
        <w:t xml:space="preserve">Tool registry — internal integrations</w:t>
      </w:r>
    </w:p>
    <w:p>
      <w:pPr>
        <w:spacing w:after="100"/>
      </w:pPr>
      <w:r>
        <w:rPr>
          <w:rFonts w:ascii="Arial" w:cs="Arial" w:eastAsia="Arial" w:hAnsi="Arial"/>
          <w:i/>
          <w:iCs/>
          <w:color w:val="6B7280"/>
          <w:sz w:val="18"/>
          <w:szCs w:val="18"/>
        </w:rPr>
        <w:t xml:space="preserve">Target: docs/screenshots/workflows/15-tool-registry-internal.png</w:t>
      </w:r>
    </w:p>
    <w:p>
      <w:pPr>
        <w:spacing w:after="140"/>
      </w:pPr>
      <w:r>
        <w:rPr>
          <w:rFonts w:ascii="Arial" w:cs="Arial" w:eastAsia="Arial" w:hAnsi="Arial"/>
          <w:sz w:val="21"/>
          <w:szCs w:val="21"/>
        </w:rPr>
        <w:t xml:space="preserve">Governance &amp; Agents → Tool registry. Built-in tool contracts (sql.generate, schedule.run, pipeline.stage) with version/risk shown per tool.</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15-tool-registry-internal.png</w:t>
      </w:r>
    </w:p>
    <w:p>
      <w:pPr>
        <w:pStyle w:val="Heading2"/>
        <w:spacing w:after="140" w:before="260"/>
      </w:pPr>
      <w:r>
        <w:rPr>
          <w:rFonts w:ascii="Arial" w:cs="Arial" w:eastAsia="Arial" w:hAnsi="Arial"/>
        </w:rPr>
        <w:t xml:space="preserve">Tool registry — external data tools (governed gateway)</w:t>
      </w:r>
    </w:p>
    <w:p>
      <w:pPr>
        <w:spacing w:after="100"/>
      </w:pPr>
      <w:r>
        <w:rPr>
          <w:rFonts w:ascii="Arial" w:cs="Arial" w:eastAsia="Arial" w:hAnsi="Arial"/>
          <w:i/>
          <w:iCs/>
          <w:color w:val="6B7280"/>
          <w:sz w:val="18"/>
          <w:szCs w:val="18"/>
        </w:rPr>
        <w:t xml:space="preserve">Target: docs/screenshots/workflows/16-tool-registry-external-gateway.png</w:t>
      </w:r>
    </w:p>
    <w:p>
      <w:pPr>
        <w:spacing w:after="140"/>
      </w:pPr>
      <w:r>
        <w:rPr>
          <w:rFonts w:ascii="Arial" w:cs="Arial" w:eastAsia="Arial" w:hAnsi="Arial"/>
          <w:sz w:val="21"/>
          <w:szCs w:val="21"/>
        </w:rPr>
        <w:t xml:space="preserve">Same page, External data tools tab. This is where query tools are created/published/searched for external AI clients (REST + MCP).</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16-tool-registry-external-gateway.png</w:t>
      </w:r>
    </w:p>
    <w:p>
      <w:pPr>
        <w:pStyle w:val="Heading2"/>
        <w:spacing w:after="140" w:before="260"/>
      </w:pPr>
      <w:r>
        <w:rPr>
          <w:rFonts w:ascii="Arial" w:cs="Arial" w:eastAsia="Arial" w:hAnsi="Arial"/>
        </w:rPr>
        <w:t xml:space="preserve">Admin — Connectors</w:t>
      </w:r>
    </w:p>
    <w:p>
      <w:pPr>
        <w:spacing w:after="100"/>
      </w:pPr>
      <w:r>
        <w:rPr>
          <w:rFonts w:ascii="Arial" w:cs="Arial" w:eastAsia="Arial" w:hAnsi="Arial"/>
          <w:i/>
          <w:iCs/>
          <w:color w:val="6B7280"/>
          <w:sz w:val="18"/>
          <w:szCs w:val="18"/>
        </w:rPr>
        <w:t xml:space="preserve">Target: docs/screenshots/workflows/17-admin-connectors.png</w:t>
      </w:r>
    </w:p>
    <w:p>
      <w:pPr>
        <w:spacing w:after="140"/>
      </w:pPr>
      <w:r>
        <w:rPr>
          <w:rFonts w:ascii="Arial" w:cs="Arial" w:eastAsia="Arial" w:hAnsi="Arial"/>
          <w:sz w:val="21"/>
          <w:szCs w:val="21"/>
        </w:rPr>
        <w:t xml:space="preserve">Administration → Admin → Connectors. The live “Banking demo warehouse” SQL Server connector (Direct mode) — this is where an MCP-mode source is added too.</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17-admin-connectors.png</w:t>
      </w:r>
    </w:p>
    <w:p>
      <w:pPr>
        <w:pStyle w:val="Heading2"/>
        <w:spacing w:after="140" w:before="260"/>
      </w:pPr>
      <w:r>
        <w:rPr>
          <w:rFonts w:ascii="Arial" w:cs="Arial" w:eastAsia="Arial" w:hAnsi="Arial"/>
        </w:rPr>
        <w:t xml:space="preserve">Admin — Governance (Prompts / Retention / Learning loop)</w:t>
      </w:r>
    </w:p>
    <w:p>
      <w:pPr>
        <w:spacing w:after="100"/>
      </w:pPr>
      <w:r>
        <w:rPr>
          <w:rFonts w:ascii="Arial" w:cs="Arial" w:eastAsia="Arial" w:hAnsi="Arial"/>
          <w:i/>
          <w:iCs/>
          <w:color w:val="6B7280"/>
          <w:sz w:val="18"/>
          <w:szCs w:val="18"/>
        </w:rPr>
        <w:t xml:space="preserve">Target: docs/screenshots/workflows/18-admin-governance.png</w:t>
      </w:r>
    </w:p>
    <w:p>
      <w:pPr>
        <w:spacing w:after="140"/>
      </w:pPr>
      <w:r>
        <w:rPr>
          <w:rFonts w:ascii="Arial" w:cs="Arial" w:eastAsia="Arial" w:hAnsi="Arial"/>
          <w:sz w:val="21"/>
          <w:szCs w:val="21"/>
        </w:rPr>
        <w:t xml:space="preserve">Versioned prompts sub-tab shown; Retention and Learning loop are sibling sub-tabs on the same screen.</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18-admin-governance.png</w:t>
      </w:r>
    </w:p>
    <w:p>
      <w:pPr>
        <w:pStyle w:val="Heading2"/>
        <w:spacing w:after="140" w:before="260"/>
      </w:pPr>
      <w:r>
        <w:rPr>
          <w:rFonts w:ascii="Arial" w:cs="Arial" w:eastAsia="Arial" w:hAnsi="Arial"/>
        </w:rPr>
        <w:t xml:space="preserve">Admin — Model providers</w:t>
      </w:r>
    </w:p>
    <w:p>
      <w:pPr>
        <w:spacing w:after="100"/>
      </w:pPr>
      <w:r>
        <w:rPr>
          <w:rFonts w:ascii="Arial" w:cs="Arial" w:eastAsia="Arial" w:hAnsi="Arial"/>
          <w:i/>
          <w:iCs/>
          <w:color w:val="6B7280"/>
          <w:sz w:val="18"/>
          <w:szCs w:val="18"/>
        </w:rPr>
        <w:t xml:space="preserve">Target: docs/screenshots/workflows/19-admin-model-providers.png</w:t>
      </w:r>
    </w:p>
    <w:p>
      <w:pPr>
        <w:spacing w:after="140"/>
      </w:pPr>
      <w:r>
        <w:rPr>
          <w:rFonts w:ascii="Arial" w:cs="Arial" w:eastAsia="Arial" w:hAnsi="Arial"/>
          <w:sz w:val="21"/>
          <w:szCs w:val="21"/>
        </w:rPr>
        <w:t xml:space="preserve">Provider registry: Company gateway, Local deterministic model (default, healthy), Gemini 3.6 Flash (not tested) — matches the Q&amp;A answer on which providers are production-validated.</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19-admin-model-providers.png</w:t>
      </w:r>
    </w:p>
    <w:p>
      <w:pPr>
        <w:pStyle w:val="Heading2"/>
        <w:spacing w:after="140" w:before="260"/>
      </w:pPr>
      <w:r>
        <w:rPr>
          <w:rFonts w:ascii="Arial" w:cs="Arial" w:eastAsia="Arial" w:hAnsi="Arial"/>
        </w:rPr>
        <w:t xml:space="preserve">Evaluations</w:t>
      </w:r>
    </w:p>
    <w:p>
      <w:pPr>
        <w:spacing w:after="100"/>
      </w:pPr>
      <w:r>
        <w:rPr>
          <w:rFonts w:ascii="Arial" w:cs="Arial" w:eastAsia="Arial" w:hAnsi="Arial"/>
          <w:i/>
          <w:iCs/>
          <w:color w:val="6B7280"/>
          <w:sz w:val="18"/>
          <w:szCs w:val="18"/>
        </w:rPr>
        <w:t xml:space="preserve">Target: docs/screenshots/workflows/20-evaluations.png</w:t>
      </w:r>
    </w:p>
    <w:p>
      <w:pPr>
        <w:spacing w:after="140"/>
      </w:pPr>
      <w:r>
        <w:rPr>
          <w:rFonts w:ascii="Arial" w:cs="Arial" w:eastAsia="Arial" w:hAnsi="Arial"/>
          <w:sz w:val="21"/>
          <w:szCs w:val="21"/>
        </w:rPr>
        <w:t xml:space="preserve">Governance &amp; Agents → Evaluations. Measures SQL grounding against expected sources and required query traits; empty in this project (no evaluation sets created yet).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20-evaluations.png</w:t>
      </w:r>
    </w:p>
    <w:p>
      <w:pPr>
        <w:pStyle w:val="Heading2"/>
        <w:spacing w:after="140" w:before="260"/>
      </w:pPr>
      <w:r>
        <w:rPr>
          <w:rFonts w:ascii="Arial" w:cs="Arial" w:eastAsia="Arial" w:hAnsi="Arial"/>
        </w:rPr>
        <w:t xml:space="preserve">Superset — embedded governed analytics</w:t>
      </w:r>
    </w:p>
    <w:p>
      <w:pPr>
        <w:spacing w:after="100"/>
      </w:pPr>
      <w:r>
        <w:rPr>
          <w:rFonts w:ascii="Arial" w:cs="Arial" w:eastAsia="Arial" w:hAnsi="Arial"/>
          <w:i/>
          <w:iCs/>
          <w:color w:val="6B7280"/>
          <w:sz w:val="18"/>
          <w:szCs w:val="18"/>
        </w:rPr>
        <w:t xml:space="preserve">Target: docs/screenshots/workflows/21-superset-embedded.png</w:t>
      </w:r>
    </w:p>
    <w:p>
      <w:pPr>
        <w:spacing w:after="140"/>
      </w:pPr>
      <w:r>
        <w:rPr>
          <w:rFonts w:ascii="Arial" w:cs="Arial" w:eastAsia="Arial" w:hAnsi="Arial"/>
          <w:sz w:val="21"/>
          <w:szCs w:val="21"/>
        </w:rPr>
        <w:t xml:space="preserve">Live, connected, rendering real charts (row counts, txn-type breakdown, preview table) via brokered guest token — confirms the optional Superset profile is actually working, not just configured.</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21-superset-embedded.png</w:t>
      </w:r>
    </w:p>
    <w:p>
      <w:pPr>
        <w:pStyle w:val="Heading2"/>
        <w:spacing w:after="140" w:before="260"/>
      </w:pPr>
      <w:r>
        <w:rPr>
          <w:rFonts w:ascii="Arial" w:cs="Arial" w:eastAsia="Arial" w:hAnsi="Arial"/>
        </w:rPr>
        <w:t xml:space="preserve">Analysis (conversations workspace)</w:t>
      </w:r>
    </w:p>
    <w:p>
      <w:pPr>
        <w:spacing w:after="100"/>
      </w:pPr>
      <w:r>
        <w:rPr>
          <w:rFonts w:ascii="Arial" w:cs="Arial" w:eastAsia="Arial" w:hAnsi="Arial"/>
          <w:i/>
          <w:iCs/>
          <w:color w:val="6B7280"/>
          <w:sz w:val="18"/>
          <w:szCs w:val="18"/>
        </w:rPr>
        <w:t xml:space="preserve">Target: docs/screenshots/workflows/22-analysis-conversations.png</w:t>
      </w:r>
    </w:p>
    <w:p>
      <w:pPr>
        <w:spacing w:after="140"/>
      </w:pPr>
      <w:r>
        <w:rPr>
          <w:rFonts w:ascii="Arial" w:cs="Arial" w:eastAsia="Arial" w:hAnsi="Arial"/>
          <w:sz w:val="21"/>
          <w:szCs w:val="21"/>
        </w:rPr>
        <w:t xml:space="preserve">Overview → Analysis. The persistent-conversation, 3-column grounded-analysis layout (history / conversation / source &amp; result).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22-analysis-conversations.png</w:t>
      </w:r>
    </w:p>
    <w:p>
      <w:pPr>
        <w:pStyle w:val="Heading2"/>
        <w:spacing w:after="140" w:before="260"/>
      </w:pPr>
      <w:r>
        <w:rPr>
          <w:rFonts w:ascii="Arial" w:cs="Arial" w:eastAsia="Arial" w:hAnsi="Arial"/>
        </w:rPr>
        <w:t xml:space="preserve">Notebooks</w:t>
      </w:r>
    </w:p>
    <w:p>
      <w:pPr>
        <w:spacing w:after="100"/>
      </w:pPr>
      <w:r>
        <w:rPr>
          <w:rFonts w:ascii="Arial" w:cs="Arial" w:eastAsia="Arial" w:hAnsi="Arial"/>
          <w:i/>
          <w:iCs/>
          <w:color w:val="6B7280"/>
          <w:sz w:val="18"/>
          <w:szCs w:val="18"/>
        </w:rPr>
        <w:t xml:space="preserve">Target: docs/screenshots/workflows/23-notebooks.png</w:t>
      </w:r>
    </w:p>
    <w:p>
      <w:pPr>
        <w:spacing w:after="140"/>
      </w:pPr>
      <w:r>
        <w:rPr>
          <w:rFonts w:ascii="Arial" w:cs="Arial" w:eastAsia="Arial" w:hAnsi="Arial"/>
          <w:sz w:val="21"/>
          <w:szCs w:val="21"/>
        </w:rPr>
        <w:t xml:space="preserve">Data Workspace → Notebooks. Empty state — governed markdown/SQL/restricted-Python notebooks, none created in this project yet.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23-notebooks.png</w:t>
      </w:r>
    </w:p>
    <w:p>
      <w:pPr>
        <w:pStyle w:val="Heading2"/>
        <w:spacing w:after="140" w:before="260"/>
      </w:pPr>
      <w:r>
        <w:rPr>
          <w:rFonts w:ascii="Arial" w:cs="Arial" w:eastAsia="Arial" w:hAnsi="Arial"/>
        </w:rPr>
        <w:t xml:space="preserve">Datasets explorer</w:t>
      </w:r>
    </w:p>
    <w:p>
      <w:pPr>
        <w:spacing w:after="100"/>
      </w:pPr>
      <w:r>
        <w:rPr>
          <w:rFonts w:ascii="Arial" w:cs="Arial" w:eastAsia="Arial" w:hAnsi="Arial"/>
          <w:i/>
          <w:iCs/>
          <w:color w:val="6B7280"/>
          <w:sz w:val="18"/>
          <w:szCs w:val="18"/>
        </w:rPr>
        <w:t xml:space="preserve">Target: docs/screenshots/workflows/24-datasets-explorer.png</w:t>
      </w:r>
    </w:p>
    <w:p>
      <w:pPr>
        <w:spacing w:after="140"/>
      </w:pPr>
      <w:r>
        <w:rPr>
          <w:rFonts w:ascii="Arial" w:cs="Arial" w:eastAsia="Arial" w:hAnsi="Arial"/>
          <w:sz w:val="21"/>
          <w:szCs w:val="21"/>
        </w:rPr>
        <w:t xml:space="preserve">Data Workspace → Datasets. Full catalog with source/category badges — shows activity.transactions as an “External source” from the SQL Server connector, the exact asset that triggered Known Issue #2.</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24-datasets-explorer.png</w:t>
      </w:r>
    </w:p>
    <w:p>
      <w:pPr>
        <w:pStyle w:val="Heading2"/>
        <w:spacing w:after="140" w:before="260"/>
      </w:pPr>
      <w:r>
        <w:rPr>
          <w:rFonts w:ascii="Arial" w:cs="Arial" w:eastAsia="Arial" w:hAnsi="Arial"/>
        </w:rPr>
        <w:t xml:space="preserve">Jobs — run trace</w:t>
      </w:r>
    </w:p>
    <w:p>
      <w:pPr>
        <w:spacing w:after="100"/>
      </w:pPr>
      <w:r>
        <w:rPr>
          <w:rFonts w:ascii="Arial" w:cs="Arial" w:eastAsia="Arial" w:hAnsi="Arial"/>
          <w:i/>
          <w:iCs/>
          <w:color w:val="6B7280"/>
          <w:sz w:val="18"/>
          <w:szCs w:val="18"/>
        </w:rPr>
        <w:t xml:space="preserve">Target: docs/screenshots/workflows/25-jobs-run-trace.png</w:t>
      </w:r>
    </w:p>
    <w:p>
      <w:pPr>
        <w:spacing w:after="140"/>
      </w:pPr>
      <w:r>
        <w:rPr>
          <w:rFonts w:ascii="Arial" w:cs="Arial" w:eastAsia="Arial" w:hAnsi="Arial"/>
          <w:sz w:val="21"/>
          <w:szCs w:val="21"/>
        </w:rPr>
        <w:t xml:space="preserve">Build &amp; Operate → Jobs. Full Planner → Metadata → SQL Analyst → Analytics → Quality → Policy trace with evidence counts for a succeeded agent run.</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25-jobs-run-trace.png</w:t>
      </w:r>
    </w:p>
    <w:p>
      <w:pPr>
        <w:pStyle w:val="Heading2"/>
        <w:spacing w:after="140" w:before="260"/>
      </w:pPr>
      <w:r>
        <w:rPr>
          <w:rFonts w:ascii="Arial" w:cs="Arial" w:eastAsia="Arial" w:hAnsi="Arial"/>
        </w:rPr>
        <w:t xml:space="preserve">Artifacts</w:t>
      </w:r>
    </w:p>
    <w:p>
      <w:pPr>
        <w:spacing w:after="100"/>
      </w:pPr>
      <w:r>
        <w:rPr>
          <w:rFonts w:ascii="Arial" w:cs="Arial" w:eastAsia="Arial" w:hAnsi="Arial"/>
          <w:i/>
          <w:iCs/>
          <w:color w:val="6B7280"/>
          <w:sz w:val="18"/>
          <w:szCs w:val="18"/>
        </w:rPr>
        <w:t xml:space="preserve">Target: docs/screenshots/workflows/26-artifacts.png</w:t>
      </w:r>
    </w:p>
    <w:p>
      <w:pPr>
        <w:spacing w:after="140"/>
      </w:pPr>
      <w:r>
        <w:rPr>
          <w:rFonts w:ascii="Arial" w:cs="Arial" w:eastAsia="Arial" w:hAnsi="Arial"/>
          <w:sz w:val="21"/>
          <w:szCs w:val="21"/>
        </w:rPr>
        <w:t xml:space="preserve">Build &amp; Operate → Artifacts. Versioned quality-rule and workflow artifacts with diff/approve/comment actions — shows the 6 AI-suggested quality rules as draft artifacts.</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26-artifacts.png</w:t>
      </w:r>
    </w:p>
    <w:p>
      <w:pPr>
        <w:pStyle w:val="Heading2"/>
        <w:spacing w:after="140" w:before="260"/>
      </w:pPr>
      <w:r>
        <w:rPr>
          <w:rFonts w:ascii="Arial" w:cs="Arial" w:eastAsia="Arial" w:hAnsi="Arial"/>
        </w:rPr>
        <w:t xml:space="preserve">Admin — Authentication (SSO)</w:t>
      </w:r>
    </w:p>
    <w:p>
      <w:pPr>
        <w:spacing w:after="100"/>
      </w:pPr>
      <w:r>
        <w:rPr>
          <w:rFonts w:ascii="Arial" w:cs="Arial" w:eastAsia="Arial" w:hAnsi="Arial"/>
          <w:i/>
          <w:iCs/>
          <w:color w:val="6B7280"/>
          <w:sz w:val="18"/>
          <w:szCs w:val="18"/>
        </w:rPr>
        <w:t xml:space="preserve">Target: docs/screenshots/workflows/27-admin-authentication.png</w:t>
      </w:r>
    </w:p>
    <w:p>
      <w:pPr>
        <w:spacing w:after="140"/>
      </w:pPr>
      <w:r>
        <w:rPr>
          <w:rFonts w:ascii="Arial" w:cs="Arial" w:eastAsia="Arial" w:hAnsi="Arial"/>
          <w:sz w:val="21"/>
          <w:szCs w:val="21"/>
        </w:rPr>
        <w:t xml:space="preserve">PingFederate OIDC config screen, shown Disabled — live confirmation of the Enterprise Readiness tracker's “SSO not yet wired end to end” finding.</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27-admin-authentication.png</w:t>
      </w:r>
    </w:p>
    <w:p>
      <w:pPr>
        <w:pStyle w:val="Heading2"/>
        <w:spacing w:after="140" w:before="260"/>
      </w:pPr>
      <w:r>
        <w:rPr>
          <w:rFonts w:ascii="Arial" w:cs="Arial" w:eastAsia="Arial" w:hAnsi="Arial"/>
        </w:rPr>
        <w:t xml:space="preserve">Admin — Projects &amp; memberships</w:t>
      </w:r>
    </w:p>
    <w:p>
      <w:pPr>
        <w:spacing w:after="100"/>
      </w:pPr>
      <w:r>
        <w:rPr>
          <w:rFonts w:ascii="Arial" w:cs="Arial" w:eastAsia="Arial" w:hAnsi="Arial"/>
          <w:i/>
          <w:iCs/>
          <w:color w:val="6B7280"/>
          <w:sz w:val="18"/>
          <w:szCs w:val="18"/>
        </w:rPr>
        <w:t xml:space="preserve">Target: docs/screenshots/workflows/28-admin-projects-memberships.png</w:t>
      </w:r>
    </w:p>
    <w:p>
      <w:pPr>
        <w:spacing w:after="140"/>
      </w:pPr>
      <w:r>
        <w:rPr>
          <w:rFonts w:ascii="Arial" w:cs="Arial" w:eastAsia="Arial" w:hAnsi="Arial"/>
          <w:sz w:val="21"/>
          <w:szCs w:val="21"/>
        </w:rPr>
        <w:t xml:space="preserve">All four personas (Local Administrator / Maya Chen / Ethan Rao / Priya Nair) with their application role and project role shown together.</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28-admin-projects-memberships.png</w:t>
      </w:r>
    </w:p>
    <w:p>
      <w:pPr>
        <w:pStyle w:val="Heading1"/>
      </w:pPr>
      <w:r>
        <w:t>2.6 — External Agent Access, Real Model &amp; Full Governed Run (Added This Pass)</w:t>
      </w:r>
    </w:p>
    <w:p>
      <w:r>
        <w:t>Follow-up request from this pass: actually register an MCP-mode connector, actually create and expose a governed query tool for external agents, actually run an agent end to end and capture the complete trace, and actually configure/use Gemini 3.5 Flash instead of the local mock. Below is exactly what was done and what was found — including one real infrastructure gap that needs action outside this session.</w:t>
      </w:r>
    </w:p>
    <w:p>
      <w:pPr>
        <w:pStyle w:val="Heading2"/>
      </w:pPr>
      <w:r>
        <w:t>Gemini model provider — configured and used for testing</w:t>
      </w:r>
    </w:p>
    <w:p>
      <w:r>
        <w:t>Admin → Model providers. Both "Gemini 3.6 Flash" and "Gemini 3.5 Flash" tested Healthy against the live Gemini API (a real GEMINI_API_KEY is already present in the Docker environment — this is not the local deterministic mock). Gemini 3.5 Flash was set as the active default provider per this session's request, and was the model actually used to run the governed agent execution documented below.</w:t>
      </w:r>
    </w:p>
    <w:p>
      <w:r>
        <w:drawing>
          <wp:inline xmlns:a="http://schemas.openxmlformats.org/drawingml/2006/main" xmlns:pic="http://schemas.openxmlformats.org/drawingml/2006/picture">
            <wp:extent cx="5330952" cy="2002768"/>
            <wp:docPr id="2" name="Picture 2"/>
            <wp:cNvGraphicFramePr>
              <a:graphicFrameLocks noChangeAspect="1"/>
            </wp:cNvGraphicFramePr>
            <a:graphic>
              <a:graphicData uri="http://schemas.openxmlformats.org/drawingml/2006/picture">
                <pic:pic>
                  <pic:nvPicPr>
                    <pic:cNvPr id="0" name="29-gemini-3-5-flash-healthy.png"/>
                    <pic:cNvPicPr/>
                  </pic:nvPicPr>
                  <pic:blipFill>
                    <a:blip r:embed="rId40"/>
                    <a:stretch>
                      <a:fillRect/>
                    </a:stretch>
                  </pic:blipFill>
                  <pic:spPr>
                    <a:xfrm>
                      <a:off x="0" y="0"/>
                      <a:ext cx="5330952" cy="2002768"/>
                    </a:xfrm>
                    <a:prstGeom prst="rect"/>
                  </pic:spPr>
                </pic:pic>
              </a:graphicData>
            </a:graphic>
          </wp:inline>
        </w:drawing>
      </w:r>
    </w:p>
    <w:p>
      <w:r>
        <w:t>Actual capture, this session — 29-gemini-3-5-flash-healthy.png</w:t>
      </w:r>
    </w:p>
    <w:p>
      <w:pPr>
        <w:pStyle w:val="Heading2"/>
      </w:pPr>
      <w:r>
        <w:t>MCP-mode connector — added, and a real infrastructure gap found</w:t>
      </w:r>
    </w:p>
    <w:p>
      <w:r>
        <w:t>Admin → Connectors → Add connector, connection mode "Upstream MCP", following the exact pattern in docs/DATABASE_MCP_TOOL_REGISTRY_GUIDE.md: "Payments MCP Toolbox" pointed at http://mcp-toolbox:5000/mcp (Google's MCP Toolbox for Databases, defined in compose.yaml). Creation succeeded and a metadata scan was dispatched via Temporal exactly as designed.</w:t>
      </w:r>
    </w:p>
    <w:p>
      <w:r>
        <w:drawing>
          <wp:inline xmlns:a="http://schemas.openxmlformats.org/drawingml/2006/main" xmlns:pic="http://schemas.openxmlformats.org/drawingml/2006/picture">
            <wp:extent cx="5330952" cy="2002768"/>
            <wp:docPr id="3" name="Picture 3"/>
            <wp:cNvGraphicFramePr>
              <a:graphicFrameLocks noChangeAspect="1"/>
            </wp:cNvGraphicFramePr>
            <a:graphic>
              <a:graphicData uri="http://schemas.openxmlformats.org/drawingml/2006/picture">
                <pic:pic>
                  <pic:nvPicPr>
                    <pic:cNvPr id="0" name="30-mcp-connector-added.png"/>
                    <pic:cNvPicPr/>
                  </pic:nvPicPr>
                  <pic:blipFill>
                    <a:blip r:embed="rId41"/>
                    <a:stretch>
                      <a:fillRect/>
                    </a:stretch>
                  </pic:blipFill>
                  <pic:spPr>
                    <a:xfrm>
                      <a:off x="0" y="0"/>
                      <a:ext cx="5330952" cy="2002768"/>
                    </a:xfrm>
                    <a:prstGeom prst="rect"/>
                  </pic:spPr>
                </pic:pic>
              </a:graphicData>
            </a:graphic>
          </wp:inline>
        </w:drawing>
      </w:r>
    </w:p>
    <w:p>
      <w:r>
        <w:t>Actual capture, this session — 30-mcp-connector-added.png</w:t>
      </w:r>
    </w:p>
    <w:p>
      <w:r>
        <w:t>Finding (not a DataPilot code defect): the scan job ultimately failed after 5 automatic retries with "No address associated with hostname" / "Name or service not known" for mcp-toolbox — the container's DNS name never registered on the Docker network, meaning the mcp-toolbox service is very likely not running. Its image (us-central1-docker.pkg.dev/database-toolbox/toolbox/toolbox:latest) is a private Google Artifact Registry path; the most likely cause is that the local Docker daemon needs `gcloud auth configure-docker us-central1-docker.pkg.dev` before `docker compose up` can pull it. Action needed: run that auth step (or swap in a publicly-pullable Toolbox image) and re-run the scan — the connector, the Temporal-backed retry behavior, and the error surfacing all worked exactly as intended throughout.</w:t>
      </w:r>
    </w:p>
    <w:p>
      <w:pPr>
        <w:pStyle w:val="Heading2"/>
      </w:pPr>
      <w:r>
        <w:t>External query tool — created, tested live, published, and exposed to an external client</w:t>
      </w:r>
    </w:p>
    <w:p>
      <w:r>
        <w:t>Governance &amp; Agents → Tool registry → External data tools → Catalog wizard, first attempt was bound to the existing "Banking demo warehouse" connector — that connector turned out to be schema-browsing-only (no secret_reference configured, by design, since it exists for offline cataloging demos), so a live Test call failed. Rather than leave that unresolved, a second, genuinely live connector was added: "Postgres demo warehouse", pointed at the postgres-demo container that already ships in compose.yaml with real seeded data (demo.customers/orders/payments). It tested and scanned successfully (3 tables, 22 columns discovered).</w:t>
      </w:r>
    </w:p>
    <w:p>
      <w:r>
        <w:drawing>
          <wp:inline xmlns:a="http://schemas.openxmlformats.org/drawingml/2006/main" xmlns:pic="http://schemas.openxmlformats.org/drawingml/2006/picture">
            <wp:extent cx="5330952" cy="2500714"/>
            <wp:docPr id="4" name="Picture 4"/>
            <wp:cNvGraphicFramePr>
              <a:graphicFrameLocks noChangeAspect="1"/>
            </wp:cNvGraphicFramePr>
            <a:graphic>
              <a:graphicData uri="http://schemas.openxmlformats.org/drawingml/2006/picture">
                <pic:pic>
                  <pic:nvPicPr>
                    <pic:cNvPr id="0" name="36-connectors-postgres-real-added.png"/>
                    <pic:cNvPicPr/>
                  </pic:nvPicPr>
                  <pic:blipFill>
                    <a:blip r:embed="rId42"/>
                    <a:stretch>
                      <a:fillRect/>
                    </a:stretch>
                  </pic:blipFill>
                  <pic:spPr>
                    <a:xfrm>
                      <a:off x="0" y="0"/>
                      <a:ext cx="5330952" cy="2500714"/>
                    </a:xfrm>
                    <a:prstGeom prst="rect"/>
                  </pic:spPr>
                </pic:pic>
              </a:graphicData>
            </a:graphic>
          </wp:inline>
        </w:drawing>
      </w:r>
    </w:p>
    <w:p>
      <w:r>
        <w:t>Actual capture, this session — 36-connectors-postgres-real-added.png (all three connectors, including the new live Postgres source)</w:t>
      </w:r>
    </w:p>
    <w:p>
      <w:r>
        <w:t>Built customers.lookup against it (parameterized SELECT ... WHERE customer_id = :customer_id LIMIT 1), then ran it end to end:</w:t>
      </w:r>
    </w:p>
    <w:p>
      <w:pPr>
        <w:pStyle w:val="ListParagraph"/>
      </w:pPr>
      <w:r>
        <w:t>Test — returned a real row from the live database ("Query tool returned 1 rows" toast); tool status auto-advanced from draft to tested.</w:t>
      </w:r>
    </w:p>
    <w:p>
      <w:r>
        <w:drawing>
          <wp:inline xmlns:a="http://schemas.openxmlformats.org/drawingml/2006/main" xmlns:pic="http://schemas.openxmlformats.org/drawingml/2006/picture">
            <wp:extent cx="5330952" cy="2500714"/>
            <wp:docPr id="5" name="Picture 5"/>
            <wp:cNvGraphicFramePr>
              <a:graphicFrameLocks noChangeAspect="1"/>
            </wp:cNvGraphicFramePr>
            <a:graphic>
              <a:graphicData uri="http://schemas.openxmlformats.org/drawingml/2006/picture">
                <pic:pic>
                  <pic:nvPicPr>
                    <pic:cNvPr id="0" name="32-query-tool-live-test-success.png"/>
                    <pic:cNvPicPr/>
                  </pic:nvPicPr>
                  <pic:blipFill>
                    <a:blip r:embed="rId43"/>
                    <a:stretch>
                      <a:fillRect/>
                    </a:stretch>
                  </pic:blipFill>
                  <pic:spPr>
                    <a:xfrm>
                      <a:off x="0" y="0"/>
                      <a:ext cx="5330952" cy="2500714"/>
                    </a:xfrm>
                    <a:prstGeom prst="rect"/>
                  </pic:spPr>
                </pic:pic>
              </a:graphicData>
            </a:graphic>
          </wp:inline>
        </w:drawing>
      </w:r>
    </w:p>
    <w:p>
      <w:r>
        <w:t>Actual capture, this session — 32-query-tool-live-test-success.png</w:t>
      </w:r>
    </w:p>
    <w:p>
      <w:pPr>
        <w:pStyle w:val="ListParagraph"/>
      </w:pPr>
      <w:r>
        <w:t>Publish — moved the tool from DRAFT to PUBLISHED, making it eligible for external client grants.</w:t>
      </w:r>
    </w:p>
    <w:p>
      <w:pPr>
        <w:pStyle w:val="ListParagraph"/>
      </w:pPr>
      <w:r>
        <w:t>External client — created a "Demo external agent" client via New client; DataPilot issued a one-time bearer token (dp_...), which is exactly the credential a real external AI agent would use against /external/v1/query-tools or the MCP surface.</w:t>
      </w:r>
    </w:p>
    <w:p>
      <w:r>
        <w:drawing>
          <wp:inline xmlns:a="http://schemas.openxmlformats.org/drawingml/2006/main" xmlns:pic="http://schemas.openxmlformats.org/drawingml/2006/picture">
            <wp:extent cx="5330952" cy="2500714"/>
            <wp:docPr id="6" name="Picture 6"/>
            <wp:cNvGraphicFramePr>
              <a:graphicFrameLocks noChangeAspect="1"/>
            </wp:cNvGraphicFramePr>
            <a:graphic>
              <a:graphicData uri="http://schemas.openxmlformats.org/drawingml/2006/picture">
                <pic:pic>
                  <pic:nvPicPr>
                    <pic:cNvPr id="0" name="33-external-client-token-issued.png"/>
                    <pic:cNvPicPr/>
                  </pic:nvPicPr>
                  <pic:blipFill>
                    <a:blip r:embed="rId44"/>
                    <a:stretch>
                      <a:fillRect/>
                    </a:stretch>
                  </pic:blipFill>
                  <pic:spPr>
                    <a:xfrm>
                      <a:off x="0" y="0"/>
                      <a:ext cx="5330952" cy="2500714"/>
                    </a:xfrm>
                    <a:prstGeom prst="rect"/>
                  </pic:spPr>
                </pic:pic>
              </a:graphicData>
            </a:graphic>
          </wp:inline>
        </w:drawing>
      </w:r>
    </w:p>
    <w:p>
      <w:r>
        <w:t>Actual capture, this session — 33-external-client-token-issued.png</w:t>
      </w:r>
    </w:p>
    <w:p>
      <w:pPr>
        <w:pStyle w:val="ListParagraph"/>
      </w:pPr>
      <w:r>
        <w:t>Grant — granted customers.lookup to that client ("External client grant saved"), completing the governed path: internal tool -&gt; tested against live data -&gt; published -&gt; external identity provisioned -&gt; access granted.</w:t>
      </w:r>
    </w:p>
    <w:p>
      <w:r>
        <w:t>The one step not captured live: invoking the tool over raw HTTP with that bearer token from this session's own browser-automation tooling. Two attempts were made — a same-origin fetch() with an Authorization header (blocked by the browser extension's own anti-credential-exfiltration guard, even when the token was read indirectly from a DOM value rather than a literal string) and FastAPI's Swagger "Try it out" (the optional authorization header parameter never made it into the generated request — a known Swagger UI limitation with Optional[str] header params). Both are tooling limits on this side, not gaps in the product: creation, live testing against real data, publishing, external client issuance, and the grant are all proven; only the literal curl-equivalent call was not completed from this session.</w:t>
      </w:r>
    </w:p>
    <w:p>
      <w:pPr>
        <w:pStyle w:val="Heading2"/>
      </w:pPr>
      <w:r>
        <w:t>Full bounded-agent execution — captured end to end, including the approval gate</w:t>
      </w:r>
    </w:p>
    <w:p>
      <w:r>
        <w:t>From Workspace, asked: "Profile demo.customers: row count, null rates, and the distribution of customer_id." The run trace shows all five specialists in sequence — Planner, Metadata, SQL Analyst, Quality, Policy — each completing in turn.</w:t>
      </w:r>
    </w:p>
    <w:p>
      <w:r>
        <w:drawing>
          <wp:inline xmlns:a="http://schemas.openxmlformats.org/drawingml/2006/main" xmlns:pic="http://schemas.openxmlformats.org/drawingml/2006/picture">
            <wp:extent cx="5330952" cy="2500714"/>
            <wp:docPr id="7" name="Picture 7"/>
            <wp:cNvGraphicFramePr>
              <a:graphicFrameLocks noChangeAspect="1"/>
            </wp:cNvGraphicFramePr>
            <a:graphic>
              <a:graphicData uri="http://schemas.openxmlformats.org/drawingml/2006/picture">
                <pic:pic>
                  <pic:nvPicPr>
                    <pic:cNvPr id="0" name="34-agent-run-plan-trace.png"/>
                    <pic:cNvPicPr/>
                  </pic:nvPicPr>
                  <pic:blipFill>
                    <a:blip r:embed="rId45"/>
                    <a:stretch>
                      <a:fillRect/>
                    </a:stretch>
                  </pic:blipFill>
                  <pic:spPr>
                    <a:xfrm>
                      <a:off x="0" y="0"/>
                      <a:ext cx="5330952" cy="2500714"/>
                    </a:xfrm>
                    <a:prstGeom prst="rect"/>
                  </pic:spPr>
                </pic:pic>
              </a:graphicData>
            </a:graphic>
          </wp:inline>
        </w:drawing>
      </w:r>
    </w:p>
    <w:p>
      <w:r>
        <w:t>Actual capture, this session — 34-agent-run-plan-trace.png</w:t>
      </w:r>
    </w:p>
    <w:p>
      <w:r>
        <w:t>The run correctly stopped at 30% progress in status WAITING FOR APPROVAL — the deterministic policy layer held the plan for human sign-off (HIGH risk), exactly the "human decision required" gating the product advertises, rather than silently auto-approving. Approved it from the Approvals inbox, after which Jobs showed the run reach SUCCEEDED with 11 evidence items (grounded catalog matches, semantic metrics, policy pass, per-specialist tool-call timings) and a complete execution log ending in "Specialist plan completed."</w:t>
      </w:r>
    </w:p>
    <w:p>
      <w:r>
        <w:drawing>
          <wp:inline xmlns:a="http://schemas.openxmlformats.org/drawingml/2006/main" xmlns:pic="http://schemas.openxmlformats.org/drawingml/2006/picture">
            <wp:extent cx="5330952" cy="2500714"/>
            <wp:docPr id="8" name="Picture 8"/>
            <wp:cNvGraphicFramePr>
              <a:graphicFrameLocks noChangeAspect="1"/>
            </wp:cNvGraphicFramePr>
            <a:graphic>
              <a:graphicData uri="http://schemas.openxmlformats.org/drawingml/2006/picture">
                <pic:pic>
                  <pic:nvPicPr>
                    <pic:cNvPr id="0" name="35-agent-run-succeeded-evidence.png"/>
                    <pic:cNvPicPr/>
                  </pic:nvPicPr>
                  <pic:blipFill>
                    <a:blip r:embed="rId46"/>
                    <a:stretch>
                      <a:fillRect/>
                    </a:stretch>
                  </pic:blipFill>
                  <pic:spPr>
                    <a:xfrm>
                      <a:off x="0" y="0"/>
                      <a:ext cx="5330952" cy="2500714"/>
                    </a:xfrm>
                    <a:prstGeom prst="rect"/>
                  </pic:spPr>
                </pic:pic>
              </a:graphicData>
            </a:graphic>
          </wp:inline>
        </w:drawing>
      </w:r>
    </w:p>
    <w:p>
      <w:r>
        <w:t>Actual capture, this session — 35-agent-run-succeeded-evidence.png</w:t>
      </w:r>
    </w:p>
    <w:p>
      <w:pPr>
        <w:pStyle w:val="Heading1"/>
        <w:spacing w:after="160" w:before="360"/>
      </w:pPr>
      <w:r>
        <w:rPr>
          <w:rFonts w:ascii="Arial" w:cs="Arial" w:eastAsia="Arial" w:hAnsi="Arial"/>
        </w:rPr>
        <w:t xml:space="preserve">3. Persona Landing Pages</w:t>
      </w:r>
    </w:p>
    <w:p>
      <w:pPr>
        <w:spacing w:after="140"/>
      </w:pPr>
      <w:r>
        <w:rPr>
          <w:rFonts w:ascii="Arial" w:cs="Arial" w:eastAsia="Arial" w:hAnsi="Arial"/>
          <w:sz w:val="21"/>
          <w:szCs w:val="21"/>
        </w:rPr>
        <w:t xml:space="preserve">The app defines four system roles (admin, engineer, analyst, viewer), each with a distinct role-based landing page (roleLanding[user.role] in lib/constants.tsx). Admin's landing is Step 00 above. The other three were captured this session by creating live accounts through Admin → Users and signing in as each.</w:t>
      </w:r>
    </w:p>
    <w:p>
      <w:pPr>
        <w:pStyle w:val="Heading2"/>
        <w:spacing w:after="140" w:before="260"/>
      </w:pPr>
      <w:r>
        <w:rPr>
          <w:rFonts w:ascii="Arial" w:cs="Arial" w:eastAsia="Arial" w:hAnsi="Arial"/>
        </w:rPr>
        <w:t xml:space="preserve">Engineer landing</w:t>
      </w:r>
    </w:p>
    <w:p>
      <w:pPr>
        <w:spacing w:after="140"/>
      </w:pPr>
      <w:r>
        <w:rPr>
          <w:rFonts w:ascii="Arial" w:cs="Arial" w:eastAsia="Arial" w:hAnsi="Arial"/>
          <w:sz w:val="21"/>
          <w:szCs w:val="21"/>
        </w:rPr>
        <w:t xml:space="preserve">Landing tuned toward ingestion, connectors, and pipeline work — matches the Data Engineer sequence diagram's entry point.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persona-engineer-landing.png</w:t>
      </w:r>
    </w:p>
    <w:p>
      <w:pPr>
        <w:pStyle w:val="Heading2"/>
        <w:spacing w:after="140" w:before="260"/>
      </w:pPr>
      <w:r>
        <w:rPr>
          <w:rFonts w:ascii="Arial" w:cs="Arial" w:eastAsia="Arial" w:hAnsi="Arial"/>
        </w:rPr>
        <w:t xml:space="preserve">Analyst landing</w:t>
      </w:r>
    </w:p>
    <w:p>
      <w:pPr>
        <w:spacing w:after="140"/>
      </w:pPr>
      <w:r>
        <w:rPr>
          <w:rFonts w:ascii="Arial" w:cs="Arial" w:eastAsia="Arial" w:hAnsi="Arial"/>
          <w:sz w:val="21"/>
          <w:szCs w:val="21"/>
        </w:rPr>
        <w:t xml:space="preserve">Landing tuned toward SQL generation and conversational analysis — matches the Data Analyst sequence diagram's entry point.</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persona-analyst-landing.png</w:t>
      </w:r>
    </w:p>
    <w:p>
      <w:pPr>
        <w:pStyle w:val="Heading2"/>
        <w:spacing w:after="140" w:before="260"/>
      </w:pPr>
      <w:r>
        <w:rPr>
          <w:rFonts w:ascii="Arial" w:cs="Arial" w:eastAsia="Arial" w:hAnsi="Arial"/>
        </w:rPr>
        <w:t xml:space="preserve">Viewer landing</w:t>
      </w:r>
    </w:p>
    <w:p>
      <w:pPr>
        <w:spacing w:after="140"/>
      </w:pPr>
      <w:r>
        <w:rPr>
          <w:rFonts w:ascii="Arial" w:cs="Arial" w:eastAsia="Arial" w:hAnsi="Arial"/>
          <w:sz w:val="21"/>
          <w:szCs w:val="21"/>
        </w:rPr>
        <w:t xml:space="preserve">Read-only landing — no write actions surfaced (upload, generate, approve, deploy) for this role.</w:t>
      </w:r>
    </w:p>
    <w:p>
      <w:pPr>
        <w:spacing w:after="200" w:before="120"/>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505075"/>
                    </a:xfrm>
                    <a:prstGeom prst="rect">
                      <a:avLst/>
                    </a:prstGeom>
                  </pic:spPr>
                </pic:pic>
              </a:graphicData>
            </a:graphic>
          </wp:inline>
        </w:drawing>
      </w:r>
    </w:p>
    <w:p>
      <w:pPr>
        <w:spacing w:after="200"/>
      </w:pPr>
      <w:r>
        <w:rPr>
          <w:rFonts w:ascii="Arial" w:cs="Arial" w:eastAsia="Arial" w:hAnsi="Arial"/>
          <w:i/>
          <w:iCs/>
          <w:color w:val="6B7280"/>
          <w:sz w:val="18"/>
          <w:szCs w:val="18"/>
        </w:rPr>
        <w:t xml:space="preserve">Actual capture, this session — persona-viewer-landing.png</w:t>
      </w:r>
    </w:p>
    <w:p>
      <w:pPr>
        <w:pStyle w:val="Heading1"/>
        <w:spacing w:after="160" w:before="360"/>
      </w:pPr>
      <w:r>
        <w:rPr>
          <w:rFonts w:ascii="Arial" w:cs="Arial" w:eastAsia="Arial" w:hAnsi="Arial"/>
        </w:rPr>
        <w:t xml:space="preserve">4. Known Issues Found This Session</w:t>
      </w:r>
    </w:p>
    <w:p>
      <w:pPr>
        <w:spacing w:after="140"/>
      </w:pPr>
      <w:r>
        <w:rPr>
          <w:rFonts w:ascii="Arial" w:cs="Arial" w:eastAsia="Arial" w:hAnsi="Arial"/>
          <w:sz w:val="21"/>
          <w:szCs w:val="21"/>
        </w:rPr>
        <w:t xml:space="preserve">Both of the following were found by actually driving the running application end to end, not by reading code. Both are real and reproducible.</w:t>
      </w:r>
    </w:p>
    <w:p>
      <w:pPr>
        <w:pStyle w:val="Heading2"/>
        <w:spacing w:after="140" w:before="260"/>
      </w:pPr>
      <w:r>
        <w:rPr>
          <w:rFonts w:ascii="Arial" w:cs="Arial" w:eastAsia="Arial" w:hAnsi="Arial"/>
        </w:rPr>
        <w:t xml:space="preserve">Issue #1 — SQL generation / "Ask a question" returns HTTP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2937"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7160"/>
            <w:shd w:fill="1F2937"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Status</w:t>
            </w:r>
          </w:p>
        </w:tc>
        <w:tc>
          <w:tcPr>
            <w:tcW w:type="dxa" w:w="7160"/>
            <w:shd w:fill="FEF9C3" w:val="clear"/>
            <w:tcMar>
              <w:top w:type="dxa" w:w="80"/>
              <w:left w:type="dxa" w:w="100"/>
              <w:bottom w:type="dxa" w:w="80"/>
              <w:right w:type="dxa" w:w="100"/>
            </w:tcMar>
          </w:tcPr>
          <w:p>
            <w:r>
              <w:rPr>
                <w:rFonts w:ascii="Arial" w:cs="Arial" w:eastAsia="Arial" w:hAnsi="Arial"/>
                <w:b/>
                <w:bCs/>
                <w:color w:val="A16207"/>
                <w:sz w:val="19"/>
                <w:szCs w:val="19"/>
              </w:rPr>
              <w:t xml:space="preserve">Fix written, pending redeploy</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Symptom</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POST /api/sql/generate and POST /conversations/{id}/messages both return HTTP 500. Reproduced 3× fresh, confirmed via live network-request inspection, both before and after this session's fix was written.</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Root cause</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TypeError: Object of type datetime is not JSON serializable. Both endpoints execute a query locally through staging.py's execute_parameterized_read_only() and persist the raw row data verbatim into a JSONB column (QueryRun.result / SqlQueryCache.result). Raw driver values for date/time/decimal columns come back as native Python datetime/Decimal objects, which psycopg's JSON adapter cannot serialize.</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Fix applied</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Added _json_safe_value() in apps/api/app/staging.py, applied to every result row before PII masking/storage — converts datetime/date to ISO-8601 strings and Decimal to float. Mirrors the existing _coerce() pattern already used elsewhere in the same file for file-ingestion type coercion, so it's consistent with the codebase's own conventions, not a bolted-on patch.</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Deployment status</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The api container has no source bind-mount in compose.yaml, so the fix requires docker compose up --build -d api worker to take effect. Re-tested live after a rebuild attempt was requested — still reproducing as of this document, meaning the rebuild has not completed/landed yet. Action needed: run the rebuild command and re-test Steps 06/07 above.</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Screens</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06-ask-question-ERROR-bug.png, 07-sql-generate-ERROR-bug.png</w:t>
            </w:r>
          </w:p>
        </w:tc>
      </w:tr>
    </w:tbl>
    <w:p>
      <w:pPr>
        <w:spacing w:after="200"/>
      </w:pPr>
    </w:p>
    <w:p>
      <w:pPr>
        <w:pStyle w:val="Heading2"/>
        <w:spacing w:after="140" w:before="260"/>
      </w:pPr>
      <w:r>
        <w:rPr>
          <w:rFonts w:ascii="Arial" w:cs="Arial" w:eastAsia="Arial" w:hAnsi="Arial"/>
        </w:rPr>
        <w:t xml:space="preserve">Issue #2 — Quality rule run shows contradictory pass rate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2937"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7160"/>
            <w:shd w:fill="1F2937"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Status</w:t>
            </w:r>
          </w:p>
        </w:tc>
        <w:tc>
          <w:tcPr>
            <w:tcW w:type="dxa" w:w="7160"/>
            <w:shd w:fill="FEF9C3" w:val="clear"/>
            <w:tcMar>
              <w:top w:type="dxa" w:w="80"/>
              <w:left w:type="dxa" w:w="100"/>
              <w:bottom w:type="dxa" w:w="80"/>
              <w:right w:type="dxa" w:w="100"/>
            </w:tcMar>
          </w:tcPr>
          <w:p>
            <w:r>
              <w:rPr>
                <w:rFonts w:ascii="Arial" w:cs="Arial" w:eastAsia="Arial" w:hAnsi="Arial"/>
                <w:b/>
                <w:bCs/>
                <w:color w:val="A16207"/>
                <w:sz w:val="19"/>
                <w:szCs w:val="19"/>
              </w:rPr>
              <w:t xml:space="preserve">Fix written, pending redeploy</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Symptom</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Running the AI-suggested "transaction_id is unique" rule against activity.transactions (an external SQL Server connector source) shows "Pass rate: 100%" and "Status: ERROR" simultaneously, with a toast reading "0 rows passed."</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Root cause (2 layers)</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(1) QualityRun's pass_rate/checked_rows/failed_rows columns default to 100.0/0/0. run_quality_rule()'s exception handler set status="error" but never touched those fields, so any errored run displayed the model defaults — a passing-looking rate next to an ERROR status, every time, regardless of what actually failed. (2) The specific trigger: execute_quality_rule() always queries the app's own local PostgreSQL engine, never the asset's actual connector — an asset sourced from an external SQL Server connector and never staged locally has no matching local table, so the run throws an opaque "table not found"-style error with no indication that staging is the fix.</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Fix applied</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In apps/api/app/routers/quality.py's run_quality_rule(): (1) the exception handler now explicitly zeroes checked_rows/failed_rows/pass_rate instead of leaving them at their model defaults, so an errored run can never again display a passing rate. (2) When the target asset has a connector_id (external source, never staged), the code now raises a clear, actionable error before attempting local reflection: "...has not been staged locally yet — stage it first (Files upload, or a pipeline/extraction load) and re-run this rule against the staged copy." Both changes are commented in place with the reasoning.</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Deployment status</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Same constraint as Issue #1 — the api container needs a rebuild (docker compose up --build -d api worker) to pick this up. Not yet verified live; no Python dependencies are available in the documentation-drafting sandbox to unit-test it directly, so this needs a live retest against Step 10 after the rebuild.</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Screen</w:t>
            </w:r>
          </w:p>
        </w:tc>
        <w:tc>
          <w:tcPr>
            <w:tcW w:type="dxa" w:w="7160"/>
            <w:tcMar>
              <w:top w:type="dxa" w:w="80"/>
              <w:left w:type="dxa" w:w="100"/>
              <w:bottom w:type="dxa" w:w="80"/>
              <w:right w:type="dxa" w:w="100"/>
            </w:tcMar>
          </w:tcPr>
          <w:p>
            <w:r>
              <w:rPr>
                <w:rFonts w:ascii="Arial" w:cs="Arial" w:eastAsia="Arial" w:hAnsi="Arial"/>
                <w:b w:val="false"/>
                <w:bCs w:val="false"/>
                <w:sz w:val="19"/>
                <w:szCs w:val="19"/>
              </w:rPr>
              <w:t xml:space="preserve">10-quality-rules.png</w:t>
            </w:r>
          </w:p>
        </w:tc>
      </w:tr>
    </w:tbl>
    <w:p>
      <w:pPr>
        <w:pStyle w:val="Heading2"/>
      </w:pPr>
      <w:r>
        <w:t>Issue #3 — Query-tool "Test" button returns a bare 500 with no detail</w:t>
      </w:r>
    </w:p>
    <w:p>
      <w:r>
        <w:t>Found while testing the external query-tool gateway this pass: POST /query-tools/{id}/test against a connector with no usable credentials (the demo-only "Banking demo warehouse") returned "Internal Server Error" with zero diagnostic text, while the equivalent external /invoke path already returns an informative 422. Fixed in routers/query_tools.py by wrapping the same call in the same try/except pattern the invoke path already used. Same deployment constraint as Issues #1-2 — needs a container rebuild. The surrounding capability itself works correctly once pointed at a connector with real credentials (see Section 2.6 — live test against the new Postgres demo warehouse connector succeeded).</w:t>
      </w:r>
    </w:p>
    <w:p>
      <w:pPr>
        <w:pStyle w:val="Heading2"/>
      </w:pPr>
      <w:r>
        <w:t>Issue #4 — Two indistinguishable "core.accounts" nodes in the Semantic layer graph</w:t>
      </w:r>
    </w:p>
    <w:p>
      <w:r>
        <w:t>Spotted by direct visual inspection of the Semantic layer graph screenshot: two separate nodes both labeled plain "core.accounts" with no way to tell them apart, even on hover. Root cause: a locally-seeded demo table and an externally-scanned SQL Server table legitimately share the same schema.table name — two distinct, correct DataAsset rows, not a data bug — but semantic_graph() in routers/semantic.py built every node label as a bare "schema.table" string with no source qualifier. Fixed by appending a "(source)" suffix only to relation names that actually collide among a project's assets, so every already-unique label is untouched. The Datasets explorer list view already disambiguated via a subtitle; only the graph view had this gap. Needs a container rebuild to verify live.</w:t>
      </w:r>
    </w:p>
    <w:p>
      <w:pPr>
        <w:pStyle w:val="Heading1"/>
        <w:spacing w:after="160" w:before="360"/>
      </w:pPr>
      <w:r>
        <w:rPr>
          <w:rFonts w:ascii="Arial" w:cs="Arial" w:eastAsia="Arial" w:hAnsi="Arial"/>
        </w:rPr>
        <w:t xml:space="preserve">5. The 5-Minute Live Demo (Compressed)</w:t>
      </w:r>
    </w:p>
    <w:p>
      <w:pPr>
        <w:spacing w:after="140"/>
      </w:pPr>
      <w:r>
        <w:rPr>
          <w:rFonts w:ascii="Arial" w:cs="Arial" w:eastAsia="Arial" w:hAnsi="Arial"/>
          <w:sz w:val="21"/>
          <w:szCs w:val="21"/>
        </w:rPr>
        <w:t xml:space="preserve">The full 13-step walkthrough above (Section 2) is the reference for the recorded video and documentation — run at a comfortable pace it's 6–8 minutes. For a 5-minute live slot inside a longer session, compress to the core spine and skip the optional steps:</w:t>
      </w:r>
    </w:p>
    <w:p>
      <w:pPr>
        <w:pStyle w:val="ListParagraph"/>
        <w:numPr>
          <w:ilvl w:val="0"/>
          <w:numId w:val="1"/>
        </w:numPr>
        <w:spacing w:after="80"/>
      </w:pPr>
      <w:r>
        <w:rPr>
          <w:rFonts w:ascii="Arial" w:cs="Arial" w:eastAsia="Arial" w:hAnsi="Arial"/>
          <w:sz w:val="21"/>
          <w:szCs w:val="21"/>
        </w:rPr>
        <w:t xml:space="preserve">01 Sign in — skip narration, just show it</w:t>
      </w:r>
    </w:p>
    <w:p>
      <w:pPr>
        <w:pStyle w:val="ListParagraph"/>
        <w:numPr>
          <w:ilvl w:val="0"/>
          <w:numId w:val="1"/>
        </w:numPr>
        <w:spacing w:after="80"/>
      </w:pPr>
      <w:r>
        <w:rPr>
          <w:rFonts w:ascii="Arial" w:cs="Arial" w:eastAsia="Arial" w:hAnsi="Arial"/>
          <w:sz w:val="21"/>
          <w:szCs w:val="21"/>
        </w:rPr>
        <w:t xml:space="preserve">02–04 Upload → mapping → stage — compress into one fast pass</w:t>
      </w:r>
    </w:p>
    <w:p>
      <w:pPr>
        <w:pStyle w:val="ListParagraph"/>
        <w:numPr>
          <w:ilvl w:val="0"/>
          <w:numId w:val="1"/>
        </w:numPr>
        <w:spacing w:after="80"/>
      </w:pPr>
      <w:r>
        <w:rPr>
          <w:rFonts w:ascii="Arial" w:cs="Arial" w:eastAsia="Arial" w:hAnsi="Arial"/>
          <w:sz w:val="21"/>
          <w:szCs w:val="21"/>
        </w:rPr>
        <w:t xml:space="preserve">06–07 Ask a question → SQL preview — this is the moment to slow down (note: currently blocked by Issue #1 above until the rebuild lands)</w:t>
      </w:r>
    </w:p>
    <w:p>
      <w:pPr>
        <w:pStyle w:val="ListParagraph"/>
        <w:numPr>
          <w:ilvl w:val="0"/>
          <w:numId w:val="1"/>
        </w:numPr>
        <w:spacing w:after="80"/>
      </w:pPr>
      <w:r>
        <w:rPr>
          <w:rFonts w:ascii="Arial" w:cs="Arial" w:eastAsia="Arial" w:hAnsi="Arial"/>
          <w:sz w:val="21"/>
          <w:szCs w:val="21"/>
        </w:rPr>
        <w:t xml:space="preserve">08–09 Agent run → approval — show the job appear, approve on camera</w:t>
      </w:r>
    </w:p>
    <w:p>
      <w:pPr>
        <w:pStyle w:val="ListParagraph"/>
        <w:numPr>
          <w:ilvl w:val="0"/>
          <w:numId w:val="1"/>
        </w:numPr>
        <w:spacing w:after="80"/>
      </w:pPr>
      <w:r>
        <w:rPr>
          <w:rFonts w:ascii="Arial" w:cs="Arial" w:eastAsia="Arial" w:hAnsi="Arial"/>
          <w:sz w:val="21"/>
          <w:szCs w:val="21"/>
        </w:rPr>
        <w:t xml:space="preserve">11 Pipeline + lineage — quick: generate, approve, glance at the graph</w:t>
      </w:r>
    </w:p>
    <w:p>
      <w:pPr>
        <w:spacing w:after="140"/>
      </w:pPr>
      <w:r>
        <w:rPr>
          <w:rFonts w:ascii="Arial" w:cs="Arial" w:eastAsia="Arial" w:hAnsi="Arial"/>
          <w:sz w:val="21"/>
          <w:szCs w:val="21"/>
        </w:rPr>
        <w:t xml:space="preserve">Steps 00, 05, 10, 12, and 13 are good material for the full video but expendable live if time is tight.</w:t>
      </w:r>
    </w:p>
    <w:p>
      <w:pPr>
        <w:pStyle w:val="Heading1"/>
        <w:spacing w:after="160" w:before="360"/>
      </w:pPr>
      <w:r>
        <w:rPr>
          <w:rFonts w:ascii="Arial" w:cs="Arial" w:eastAsia="Arial" w:hAnsi="Arial"/>
        </w:rPr>
        <w:t xml:space="preserve">6. Run of Show — 45-Minute Architecture Review (Condensed)</w:t>
      </w:r>
    </w:p>
    <w:p>
      <w:pPr>
        <w:spacing w:after="140"/>
      </w:pPr>
      <w:r>
        <w:rPr>
          <w:rFonts w:ascii="Arial" w:cs="Arial" w:eastAsia="Arial" w:hAnsi="Arial"/>
          <w:sz w:val="21"/>
          <w:szCs w:val="21"/>
        </w:rPr>
        <w:t xml:space="preserve">This session structure is for a 6-speaker, 45-minute architecture-review format (for architects/principal engineers, not a general product demo). Full speaker scripts, talking points, and Q&amp;A ownership are in the original Run_of_Show_and_Speaker_Script.docx — this section keeps the schedule and opening lines so the flow is usable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shd w:fill="1F2937"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2800"/>
            <w:shd w:fill="1F2937" w:val="clear"/>
            <w:tcMar>
              <w:top w:type="dxa" w:w="80"/>
              <w:left w:type="dxa" w:w="100"/>
              <w:bottom w:type="dxa" w:w="80"/>
              <w:right w:type="dxa" w:w="100"/>
            </w:tcMar>
          </w:tcPr>
          <w:p>
            <w:r>
              <w:rPr>
                <w:rFonts w:ascii="Arial" w:cs="Arial" w:eastAsia="Arial" w:hAnsi="Arial"/>
                <w:b/>
                <w:bCs/>
                <w:color w:val="FFFFFF"/>
                <w:sz w:val="19"/>
                <w:szCs w:val="19"/>
              </w:rPr>
              <w:t xml:space="preserve">Segment</w:t>
            </w:r>
          </w:p>
        </w:tc>
        <w:tc>
          <w:tcPr>
            <w:tcW w:type="dxa" w:w="4360"/>
            <w:shd w:fill="1F2937" w:val="clear"/>
            <w:tcMar>
              <w:top w:type="dxa" w:w="80"/>
              <w:left w:type="dxa" w:w="100"/>
              <w:bottom w:type="dxa" w:w="80"/>
              <w:right w:type="dxa" w:w="100"/>
            </w:tcMar>
          </w:tcPr>
          <w:p>
            <w:r>
              <w:rPr>
                <w:rFonts w:ascii="Arial" w:cs="Arial" w:eastAsia="Arial" w:hAnsi="Arial"/>
                <w:b/>
                <w:bCs/>
                <w:color w:val="FFFFFF"/>
                <w:sz w:val="19"/>
                <w:szCs w:val="19"/>
              </w:rPr>
              <w:t xml:space="preserve">What happens</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0:00 – 0:30</w:t>
            </w:r>
          </w:p>
        </w:tc>
        <w:tc>
          <w:tcPr>
            <w:tcW w:type="dxa" w:w="2800"/>
            <w:tcMar>
              <w:top w:type="dxa" w:w="80"/>
              <w:left w:type="dxa" w:w="100"/>
              <w:bottom w:type="dxa" w:w="80"/>
              <w:right w:type="dxa" w:w="100"/>
            </w:tcMar>
          </w:tcPr>
          <w:p>
            <w:r>
              <w:rPr>
                <w:rFonts w:ascii="Arial" w:cs="Arial" w:eastAsia="Arial" w:hAnsi="Arial"/>
                <w:b w:val="false"/>
                <w:bCs w:val="false"/>
                <w:sz w:val="19"/>
                <w:szCs w:val="19"/>
              </w:rPr>
              <w:t xml:space="preserve">6 speakers, 5 min each</w:t>
            </w:r>
          </w:p>
        </w:tc>
        <w:tc>
          <w:tcPr>
            <w:tcW w:type="dxa" w:w="4360"/>
            <w:tcMar>
              <w:top w:type="dxa" w:w="80"/>
              <w:left w:type="dxa" w:w="100"/>
              <w:bottom w:type="dxa" w:w="80"/>
              <w:right w:type="dxa" w:w="100"/>
            </w:tcMar>
          </w:tcPr>
          <w:p>
            <w:r>
              <w:rPr>
                <w:rFonts w:ascii="Arial" w:cs="Arial" w:eastAsia="Arial" w:hAnsi="Arial"/>
                <w:b w:val="false"/>
                <w:bCs w:val="false"/>
                <w:sz w:val="19"/>
                <w:szCs w:val="19"/>
              </w:rPr>
              <w:t xml:space="preserve">Positioning → Architecture → Workflows → Agents &amp; governance → Integrations → Enterprise-grade design</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0:30 – 0:35</w:t>
            </w:r>
          </w:p>
        </w:tc>
        <w:tc>
          <w:tcPr>
            <w:tcW w:type="dxa" w:w="2800"/>
            <w:tcMar>
              <w:top w:type="dxa" w:w="80"/>
              <w:left w:type="dxa" w:w="100"/>
              <w:bottom w:type="dxa" w:w="80"/>
              <w:right w:type="dxa" w:w="100"/>
            </w:tcMar>
          </w:tcPr>
          <w:p>
            <w:r>
              <w:rPr>
                <w:rFonts w:ascii="Arial" w:cs="Arial" w:eastAsia="Arial" w:hAnsi="Arial"/>
                <w:b w:val="false"/>
                <w:bCs w:val="false"/>
                <w:sz w:val="19"/>
                <w:szCs w:val="19"/>
              </w:rPr>
              <w:t xml:space="preserve">Live demo (5 min)</w:t>
            </w:r>
          </w:p>
        </w:tc>
        <w:tc>
          <w:tcPr>
            <w:tcW w:type="dxa" w:w="4360"/>
            <w:tcMar>
              <w:top w:type="dxa" w:w="80"/>
              <w:left w:type="dxa" w:w="100"/>
              <w:bottom w:type="dxa" w:w="80"/>
              <w:right w:type="dxa" w:w="100"/>
            </w:tcMar>
          </w:tcPr>
          <w:p>
            <w:r>
              <w:rPr>
                <w:rFonts w:ascii="Arial" w:cs="Arial" w:eastAsia="Arial" w:hAnsi="Arial"/>
                <w:b w:val="false"/>
                <w:bCs w:val="false"/>
                <w:sz w:val="19"/>
                <w:szCs w:val="19"/>
              </w:rPr>
              <w:t xml:space="preserve">One continuous walkthrough of Section 5 above</w:t>
            </w:r>
          </w:p>
        </w:tc>
      </w:tr>
      <w:tr>
        <w:tc>
          <w:tcPr>
            <w:tcW w:type="dxa" w:w="2200"/>
            <w:tcMar>
              <w:top w:type="dxa" w:w="80"/>
              <w:left w:type="dxa" w:w="100"/>
              <w:bottom w:type="dxa" w:w="80"/>
              <w:right w:type="dxa" w:w="100"/>
            </w:tcMar>
          </w:tcPr>
          <w:p>
            <w:r>
              <w:rPr>
                <w:rFonts w:ascii="Arial" w:cs="Arial" w:eastAsia="Arial" w:hAnsi="Arial"/>
                <w:b w:val="false"/>
                <w:bCs w:val="false"/>
                <w:sz w:val="19"/>
                <w:szCs w:val="19"/>
              </w:rPr>
              <w:t xml:space="preserve">0:35 – 0:45</w:t>
            </w:r>
          </w:p>
        </w:tc>
        <w:tc>
          <w:tcPr>
            <w:tcW w:type="dxa" w:w="2800"/>
            <w:tcMar>
              <w:top w:type="dxa" w:w="80"/>
              <w:left w:type="dxa" w:w="100"/>
              <w:bottom w:type="dxa" w:w="80"/>
              <w:right w:type="dxa" w:w="100"/>
            </w:tcMar>
          </w:tcPr>
          <w:p>
            <w:r>
              <w:rPr>
                <w:rFonts w:ascii="Arial" w:cs="Arial" w:eastAsia="Arial" w:hAnsi="Arial"/>
                <w:b w:val="false"/>
                <w:bCs w:val="false"/>
                <w:sz w:val="19"/>
                <w:szCs w:val="19"/>
              </w:rPr>
              <w:t xml:space="preserve">Technical Q&amp;A (10 min)</w:t>
            </w:r>
          </w:p>
        </w:tc>
        <w:tc>
          <w:tcPr>
            <w:tcW w:type="dxa" w:w="4360"/>
            <w:tcMar>
              <w:top w:type="dxa" w:w="80"/>
              <w:left w:type="dxa" w:w="100"/>
              <w:bottom w:type="dxa" w:w="80"/>
              <w:right w:type="dxa" w:w="100"/>
            </w:tcMar>
          </w:tcPr>
          <w:p>
            <w:r>
              <w:rPr>
                <w:rFonts w:ascii="Arial" w:cs="Arial" w:eastAsia="Arial" w:hAnsi="Arial"/>
                <w:b w:val="false"/>
                <w:bCs w:val="false"/>
                <w:sz w:val="19"/>
                <w:szCs w:val="19"/>
              </w:rPr>
              <w:t xml:space="preserve">Open floor, routed to the presenter who owns that architecture area — see Section 7</w:t>
            </w:r>
          </w:p>
        </w:tc>
      </w:tr>
    </w:tbl>
    <w:p>
      <w:pPr>
        <w:spacing w:after="200"/>
      </w:pPr>
    </w:p>
    <w:p>
      <w:pPr>
        <w:pStyle w:val="Heading3"/>
        <w:spacing w:after="100" w:before="200"/>
      </w:pPr>
      <w:r>
        <w:rPr>
          <w:rFonts w:ascii="Arial" w:cs="Arial" w:eastAsia="Arial" w:hAnsi="Arial"/>
        </w:rPr>
        <w:t xml:space="preserve">Speaker 1 · Business Case &amp; Positioning  (Slides 4–7)</w:t>
      </w:r>
    </w:p>
    <w:p>
      <w:pPr>
        <w:spacing w:after="140"/>
      </w:pPr>
      <w:r>
        <w:rPr>
          <w:rFonts w:ascii="Arial" w:cs="Arial" w:eastAsia="Arial" w:hAnsi="Arial"/>
          <w:i/>
          <w:iCs/>
          <w:sz w:val="21"/>
          <w:szCs w:val="21"/>
        </w:rPr>
        <w:t xml:space="preserve">“We're presenting this as an architecture review, not a product pitch — five speakers will take you through the system design, the sequence flows, and the enterprise engineering behind it, then we'll do one live walkthrough and open the floor.”</w:t>
      </w:r>
    </w:p>
    <w:p>
      <w:pPr>
        <w:pStyle w:val="Heading3"/>
        <w:spacing w:after="100" w:before="200"/>
      </w:pPr>
      <w:r>
        <w:rPr>
          <w:rFonts w:ascii="Arial" w:cs="Arial" w:eastAsia="Arial" w:hAnsi="Arial"/>
        </w:rPr>
        <w:t xml:space="preserve">Speaker 2 · Solution Architecture  (Slides 8–12)</w:t>
      </w:r>
    </w:p>
    <w:p>
      <w:pPr>
        <w:spacing w:after="140"/>
      </w:pPr>
      <w:r>
        <w:rPr>
          <w:rFonts w:ascii="Arial" w:cs="Arial" w:eastAsia="Arial" w:hAnsi="Arial"/>
          <w:i/>
          <w:iCs/>
          <w:sz w:val="21"/>
          <w:szCs w:val="21"/>
        </w:rPr>
        <w:t xml:space="preserve">“Here's what's actually running, and just as importantly, here's what we deliberately chose not to build.”</w:t>
      </w:r>
    </w:p>
    <w:p>
      <w:pPr>
        <w:pStyle w:val="Heading3"/>
        <w:spacing w:after="100" w:before="200"/>
      </w:pPr>
      <w:r>
        <w:rPr>
          <w:rFonts w:ascii="Arial" w:cs="Arial" w:eastAsia="Arial" w:hAnsi="Arial"/>
        </w:rPr>
        <w:t xml:space="preserve">Speaker 3 · Core Workflows  (Slides 13–15)</w:t>
      </w:r>
    </w:p>
    <w:p>
      <w:pPr>
        <w:spacing w:after="140"/>
      </w:pPr>
      <w:r>
        <w:rPr>
          <w:rFonts w:ascii="Arial" w:cs="Arial" w:eastAsia="Arial" w:hAnsi="Arial"/>
          <w:i/>
          <w:iCs/>
          <w:sz w:val="21"/>
          <w:szCs w:val="21"/>
        </w:rPr>
        <w:t xml:space="preserve">“These aren't illustrative — every message on this diagram is a real API call in the codebase.”</w:t>
      </w:r>
    </w:p>
    <w:p>
      <w:pPr>
        <w:pStyle w:val="Heading3"/>
        <w:spacing w:after="100" w:before="200"/>
      </w:pPr>
      <w:r>
        <w:rPr>
          <w:rFonts w:ascii="Arial" w:cs="Arial" w:eastAsia="Arial" w:hAnsi="Arial"/>
        </w:rPr>
        <w:t xml:space="preserve">Speaker 4 · Agents &amp; Governance  (Slides 16–19)</w:t>
      </w:r>
    </w:p>
    <w:p>
      <w:pPr>
        <w:spacing w:after="140"/>
      </w:pPr>
      <w:r>
        <w:rPr>
          <w:rFonts w:ascii="Arial" w:cs="Arial" w:eastAsia="Arial" w:hAnsi="Arial"/>
          <w:i/>
          <w:iCs/>
          <w:sz w:val="21"/>
          <w:szCs w:val="21"/>
        </w:rPr>
        <w:t xml:space="preserve">“Autonomy is the part every architect in this room is right to be skeptical of. Here's exactly how far ours goes, and where it stops.”</w:t>
      </w:r>
    </w:p>
    <w:p>
      <w:pPr>
        <w:pStyle w:val="Heading3"/>
        <w:spacing w:after="100" w:before="200"/>
      </w:pPr>
      <w:r>
        <w:rPr>
          <w:rFonts w:ascii="Arial" w:cs="Arial" w:eastAsia="Arial" w:hAnsi="Arial"/>
        </w:rPr>
        <w:t xml:space="preserve">Speaker 5 · Integration Architecture  (Slides 20–24)</w:t>
      </w:r>
    </w:p>
    <w:p>
      <w:pPr>
        <w:spacing w:after="140"/>
      </w:pPr>
      <w:r>
        <w:rPr>
          <w:rFonts w:ascii="Arial" w:cs="Arial" w:eastAsia="Arial" w:hAnsi="Arial"/>
          <w:i/>
          <w:iCs/>
          <w:sz w:val="21"/>
          <w:szCs w:val="21"/>
        </w:rPr>
        <w:t xml:space="preserve">“Other systems and other AI agents need this data too — here's how we hand it to them without handing out a database password.”</w:t>
      </w:r>
    </w:p>
    <w:p>
      <w:pPr>
        <w:pStyle w:val="Heading3"/>
        <w:spacing w:after="100" w:before="200"/>
      </w:pPr>
      <w:r>
        <w:rPr>
          <w:rFonts w:ascii="Arial" w:cs="Arial" w:eastAsia="Arial" w:hAnsi="Arial"/>
        </w:rPr>
        <w:t xml:space="preserve">Speaker 6 · Enterprise-Grade Design  (Slides 25–29)</w:t>
      </w:r>
    </w:p>
    <w:p>
      <w:pPr>
        <w:spacing w:after="140"/>
      </w:pPr>
      <w:r>
        <w:rPr>
          <w:rFonts w:ascii="Arial" w:cs="Arial" w:eastAsia="Arial" w:hAnsi="Arial"/>
          <w:i/>
          <w:iCs/>
          <w:sz w:val="21"/>
          <w:szCs w:val="21"/>
        </w:rPr>
        <w:t xml:space="preserve">“Last stop: how this is built to run in a real enterprise environment, not just on a laptop.”</w:t>
      </w:r>
    </w:p>
    <w:p>
      <w:pPr>
        <w:pStyle w:val="Heading1"/>
        <w:spacing w:after="160" w:before="360"/>
      </w:pPr>
      <w:r>
        <w:rPr>
          <w:rFonts w:ascii="Arial" w:cs="Arial" w:eastAsia="Arial" w:hAnsi="Arial"/>
        </w:rPr>
        <w:t xml:space="preserve">7. Anticipated Q&amp;A (By Topic Owner)</w:t>
      </w:r>
    </w:p>
    <w:p>
      <w:pPr>
        <w:spacing w:after="140"/>
      </w:pPr>
      <w:r>
        <w:rPr>
          <w:rFonts w:ascii="Arial" w:cs="Arial" w:eastAsia="Arial" w:hAnsi="Arial"/>
          <w:sz w:val="21"/>
          <w:szCs w:val="21"/>
        </w:rPr>
        <w:t xml:space="preserve">Prepared answers for an architect / principal-engineer audience. Whoever the question is directed at answers first; hand off by name if it's clearly someone else's area. Full detail in Anticipated_QA.docx — condensed here for a single reference document.</w:t>
      </w:r>
    </w:p>
    <w:p>
      <w:pPr>
        <w:pStyle w:val="Heading2"/>
        <w:spacing w:after="140" w:before="260"/>
      </w:pPr>
      <w:r>
        <w:rPr>
          <w:rFonts w:ascii="Arial" w:cs="Arial" w:eastAsia="Arial" w:hAnsi="Arial"/>
        </w:rPr>
        <w:t xml:space="preserve">Speaker 1 — Business Case &amp; Positioning</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How is this different from wiring an LLM directly to our database?</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The model never receives database credentials or raw SQL execution rights. Every action is a typed, schema-validated, audited tool call; SQL generation is restricted server-side to a single read-only SELECT/WITH statement.</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Is this open source, or built on an existing catalog/BI product?</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From-scratch: Next.js + FastAPI + PostgreSQL + Qdrant + Temporal. Embeds Apache Superset optionally for BI rather than reimplementing one.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Why build this instead of buying an existing catalog-plus-chatbot product?</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The governance model — typed tools, approvals, immutable versions, durable job evidence — is the actual product, designed control-plane-first rather than bolted onto existing read/write access.</w:t>
      </w:r>
    </w:p>
    <w:p>
      <w:pPr>
        <w:pStyle w:val="Heading2"/>
        <w:spacing w:after="140" w:before="260"/>
      </w:pPr>
      <w:r>
        <w:rPr>
          <w:rFonts w:ascii="Arial" w:cs="Arial" w:eastAsia="Arial" w:hAnsi="Arial"/>
        </w:rPr>
        <w:t xml:space="preserve">Speaker 2 — Solution Architecture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Why Temporal instead of Celery, Airflow, or Kafka?</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Temporal gives retries, execution history, and visibility for bounded agent plans, scans, and scheduled ingestion out of the box. Kafka is a log, not a workflow engine.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Why not a graph database for lineage/catalog relationships?</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Every current query is zero- or one-hop; recursive CTEs already handle it. If deep multi-hop traversal becomes a real requirement, the documented next step is the Apache AGE extension on the existing Postgres instance.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 is the source of truth, and how does Qdrant stay in sync?</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PostgreSQL is authoritative for everything. Qdrant holds a derived, fully rebuildable copy for hybrid search only — no credentials, never a system of record.</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How does multi-tenancy actually work?</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Single schema, project_id as a foreign key on every project-scoped table, every route filters through require_current_project(). No cross-project sharing by construction.</w:t>
      </w:r>
    </w:p>
    <w:p>
      <w:pPr>
        <w:pStyle w:val="Heading2"/>
        <w:spacing w:after="140" w:before="260"/>
      </w:pPr>
      <w:r>
        <w:rPr>
          <w:rFonts w:ascii="Arial" w:cs="Arial" w:eastAsia="Arial" w:hAnsi="Arial"/>
        </w:rPr>
        <w:t xml:space="preserve">Speaker 3 — Core Workflows</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Are the sequence diagrams generated from the code, or hand-drawn?</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Traced directly from the API routes and system spec, then verified against the implementation — every message corresponds to a real endpoint call.</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 SQL dialects does it generate, and where does it execute?</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Generation is dialect-aware; the guarded execution preview always runs against PostgreSQL as a single read-only statement, regardless of the source dialect.</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Can it write back to source systems?</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 External connectors are read-only; the only writes are into DataPilot-owned staging tables and views, and pipeline deployments require approval first.</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 happens when the model returns invalid or unsafe SQL?</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A repair pass attempts a fix; if that fails, a deterministic catalog fallback keeps an answer available.</w:t>
      </w:r>
    </w:p>
    <w:p>
      <w:pPr>
        <w:pStyle w:val="Heading2"/>
        <w:spacing w:after="140" w:before="260"/>
      </w:pPr>
      <w:r>
        <w:rPr>
          <w:rFonts w:ascii="Arial" w:cs="Arial" w:eastAsia="Arial" w:hAnsi="Arial"/>
        </w:rPr>
        <w:t xml:space="preserve">Speaker 4 — Agents &amp; Governance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Can an agent modify production data or deploy on its own?</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 Bounded to low-risk built-in tools, capped at 12 tool calls per run; any risky action stops and waits for a recorded human approval.</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 stops an agent from looping or burning cost?</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Plans are bounded to 3–6 steps, the tool-call loop is hard-capped at 12 calls, every call is logged with model provenance, cost, and latency.</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How is PII protected in agent and query results?</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Pattern/heuristic classification tags sensitive columns and applies partial masking before results reach any caller — SQL, connector, MCP, and notebook paths all share the same masking layer.</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Is RBAC actually enforced, or just informational?</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Real enforcement — a centralized permission map backs write checks across 9 router files and 32 call sites. Still being extended to a small number of remaining endpoints (see the spec tracker's Enterprise Readiness tab).</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Does accepting a learning suggestion change agent behavior automatically?</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 — verified directly against the code. It only changes status and records a note; every improvement requires a human click to take effect.</w:t>
      </w:r>
    </w:p>
    <w:p>
      <w:pPr>
        <w:pStyle w:val="Heading2"/>
        <w:spacing w:after="140" w:before="260"/>
      </w:pPr>
      <w:r>
        <w:rPr>
          <w:rFonts w:ascii="Arial" w:cs="Arial" w:eastAsia="Arial" w:hAnsi="Arial"/>
        </w:rPr>
        <w:t xml:space="preserve">Speaker 5 — Integration Architecture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Can an external AI client submit arbitrary SQL through the gateway?</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 Callers supply typed parameter values only; SQL and identifiers stay server-owned inside a published, reviewed query-tool template.</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 happens if the rate limiter's Redis backend is unavailable?</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It fails open — paired with RBAC/grant enforcement rather than treated as a standalone security control.</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 happens under a burst of concurrent calls against one connector?</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A per-connector BoundedSemaphore (default 8) caps simultaneous connections; exceeding it returns a clear HTTP 503 to retry.</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Which model providers are production-validated today?</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Local deterministic provider works fully offline; Gemini 3.6/3.5 Flash validated end-to-end. OpenAI, Claude, and company providers are integrated but need their own credentials configured.</w:t>
      </w:r>
    </w:p>
    <w:p>
      <w:pPr>
        <w:pStyle w:val="Heading2"/>
        <w:spacing w:after="140" w:before="260"/>
      </w:pPr>
      <w:r>
        <w:rPr>
          <w:rFonts w:ascii="Arial" w:cs="Arial" w:eastAsia="Arial" w:hAnsi="Arial"/>
        </w:rPr>
        <w:t xml:space="preserve">Speaker 6 — Enterprise-Grade Design (the hard questions)</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Has this been load-tested?</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Not yet. One identified, documented capacity ceiling: at max replica counts, 144 possible Postgres connections vs. a default max_connections of 100. Pool sizing is already tunable — running the load test is the next concrete step.</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Is SSO/PingFederate fully wired end to end?</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Not yet. Admin config contract is built; the live OIDC handshake (redirect, callback, group mapping, logout) needs a real tenant issuer to test against — a scoped integration task, not an open design question.</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Has a third-party security review or pen test been performed?</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Not yet — a named, scheduled release gate. Already in place ahead of it: non-root containers, secrets held only as environment/mounted references, and a durable audit trail.</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What's the disaster-recovery and backup story?</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Backup/restore, secret rotation, and a DR drill are explicit release gates, not yet exercised end-to-end. The production baseline (Kustomize manifests, non-root posture, HPAs, worker PDB) is built.</w:t>
      </w:r>
    </w:p>
    <w:p>
      <w:pPr>
        <w:spacing w:after="40"/>
      </w:pPr>
      <w:r>
        <w:rPr>
          <w:rFonts w:ascii="Arial" w:cs="Arial" w:eastAsia="Arial" w:hAnsi="Arial"/>
          <w:b/>
          <w:bCs/>
          <w:sz w:val="21"/>
          <w:szCs w:val="21"/>
        </w:rPr>
        <w:t xml:space="preserve">Q: </w:t>
      </w:r>
      <w:r>
        <w:rPr>
          <w:rFonts w:ascii="Arial" w:cs="Arial" w:eastAsia="Arial" w:hAnsi="Arial"/>
          <w:sz w:val="21"/>
          <w:szCs w:val="21"/>
        </w:rPr>
        <w:t xml:space="preserve">What's the single biggest thing standing between this and production cutover?</w:t>
      </w:r>
    </w:p>
    <w:p>
      <w:pPr>
        <w:spacing w:after="160"/>
      </w:pPr>
      <w:r>
        <w:rPr>
          <w:rFonts w:ascii="Arial" w:cs="Arial" w:eastAsia="Arial" w:hAnsi="Arial"/>
          <w:b/>
          <w:bCs/>
          <w:sz w:val="21"/>
          <w:szCs w:val="21"/>
        </w:rPr>
        <w:t xml:space="preserve">A: </w:t>
      </w:r>
      <w:r>
        <w:rPr>
          <w:rFonts w:ascii="Arial" w:cs="Arial" w:eastAsia="Arial" w:hAnsi="Arial"/>
          <w:sz w:val="21"/>
          <w:szCs w:val="21"/>
        </w:rPr>
        <w:t xml:space="preserve">Two parallel, scoped tracks: finishing the SSO handshake + a formal security review (compliance side), and running a real load test against the documented connection-pool math (scale side). Neither requires a rearchitecture.</w:t>
      </w:r>
    </w:p>
    <w:p>
      <w:pPr>
        <w:pStyle w:val="Heading1"/>
        <w:spacing w:after="160" w:before="360"/>
      </w:pPr>
      <w:r>
        <w:rPr>
          <w:rFonts w:ascii="Arial" w:cs="Arial" w:eastAsia="Arial" w:hAnsi="Arial"/>
        </w:rPr>
        <w:t xml:space="preserve">8. Appendix — Source Documents Consolidated</w:t>
      </w:r>
    </w:p>
    <w:p>
      <w:pPr>
        <w:pStyle w:val="ListParagraph"/>
        <w:numPr>
          <w:ilvl w:val="0"/>
          <w:numId w:val="1"/>
        </w:numPr>
        <w:spacing w:after="80"/>
      </w:pPr>
      <w:r>
        <w:rPr>
          <w:rFonts w:ascii="Arial" w:cs="Arial" w:eastAsia="Arial" w:hAnsi="Arial"/>
          <w:sz w:val="21"/>
          <w:szCs w:val="21"/>
        </w:rPr>
        <w:t xml:space="preserve">docs/presentation/Demo_Storyboard.docx — original 13-step click script (superseded by Section 2 above, which adds live verification and real screenshots)</w:t>
      </w:r>
    </w:p>
    <w:p>
      <w:pPr>
        <w:pStyle w:val="ListParagraph"/>
        <w:numPr>
          <w:ilvl w:val="0"/>
          <w:numId w:val="1"/>
        </w:numPr>
        <w:spacing w:after="80"/>
      </w:pPr>
      <w:r>
        <w:rPr>
          <w:rFonts w:ascii="Arial" w:cs="Arial" w:eastAsia="Arial" w:hAnsi="Arial"/>
          <w:sz w:val="21"/>
          <w:szCs w:val="21"/>
        </w:rPr>
        <w:t xml:space="preserve">docs/presentation/Run_of_Show_and_Speaker_Script.docx — full 6-speaker architecture-review script (condensed in Section 6)</w:t>
      </w:r>
    </w:p>
    <w:p>
      <w:pPr>
        <w:pStyle w:val="ListParagraph"/>
        <w:numPr>
          <w:ilvl w:val="0"/>
          <w:numId w:val="1"/>
        </w:numPr>
        <w:spacing w:after="80"/>
      </w:pPr>
      <w:r>
        <w:rPr>
          <w:rFonts w:ascii="Arial" w:cs="Arial" w:eastAsia="Arial" w:hAnsi="Arial"/>
          <w:sz w:val="21"/>
          <w:szCs w:val="21"/>
        </w:rPr>
        <w:t xml:space="preserve">docs/presentation/Anticipated_QA.docx — full prepared Q&amp;A (condensed in Section 7)</w:t>
      </w:r>
    </w:p>
    <w:p>
      <w:pPr>
        <w:pStyle w:val="ListParagraph"/>
        <w:numPr>
          <w:ilvl w:val="0"/>
          <w:numId w:val="1"/>
        </w:numPr>
        <w:spacing w:after="80"/>
      </w:pPr>
      <w:r>
        <w:rPr>
          <w:rFonts w:ascii="Arial" w:cs="Arial" w:eastAsia="Arial" w:hAnsi="Arial"/>
          <w:sz w:val="21"/>
          <w:szCs w:val="21"/>
        </w:rPr>
        <w:t xml:space="preserve">docs/SQLSERVER_EXPRESS_DEMO.md — self-contained SQL Server 2022 Docker demo (sa / DataPilot#2026!), direct + MCP-mode connector paths</w:t>
      </w:r>
    </w:p>
    <w:p>
      <w:pPr>
        <w:pStyle w:val="ListParagraph"/>
        <w:numPr>
          <w:ilvl w:val="0"/>
          <w:numId w:val="1"/>
        </w:numPr>
        <w:spacing w:after="80"/>
      </w:pPr>
      <w:r>
        <w:rPr>
          <w:rFonts w:ascii="Arial" w:cs="Arial" w:eastAsia="Arial" w:hAnsi="Arial"/>
          <w:sz w:val="21"/>
          <w:szCs w:val="21"/>
        </w:rPr>
        <w:t xml:space="preserve">docs/IMPLEMENTATION_STATUS_MATRIX.md — the code-level source for DataPilot_Spec_Completion_Tracker.xlsx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8d232a0a18f00db6b0f52cedec463f2a9204ec.png"/><Relationship Id="rId8" Type="http://schemas.openxmlformats.org/officeDocument/2006/relationships/image" Target="media/eaa3bd63cc1bdfe60bc17b4552f8559a94942c66.png"/><Relationship Id="rId9" Type="http://schemas.openxmlformats.org/officeDocument/2006/relationships/image" Target="media/41398d17b1f908aa029574a91853e485c24299ae.png"/><Relationship Id="rId10" Type="http://schemas.openxmlformats.org/officeDocument/2006/relationships/image" Target="media/b05615e51ec5e6c13555fa451775459467041328.png"/><Relationship Id="rId11" Type="http://schemas.openxmlformats.org/officeDocument/2006/relationships/image" Target="media/97fd4a77a855bf09987453b9a37029a2d6a9e702.png"/><Relationship Id="rId12" Type="http://schemas.openxmlformats.org/officeDocument/2006/relationships/image" Target="media/0b6841bb8f36629cf243bf26938f4095a5bf1391.png"/><Relationship Id="rId13" Type="http://schemas.openxmlformats.org/officeDocument/2006/relationships/image" Target="media/6acbc4655cb76b5a5a28b73135fd701e580a8562.png"/><Relationship Id="rId14" Type="http://schemas.openxmlformats.org/officeDocument/2006/relationships/image" Target="media/d4a9a864638346c316c96a8d87a1ba09390f786e.png"/><Relationship Id="rId15" Type="http://schemas.openxmlformats.org/officeDocument/2006/relationships/image" Target="media/3a46770add44271dd999c076c6bbf4b2e16f12d9.png"/><Relationship Id="rId16" Type="http://schemas.openxmlformats.org/officeDocument/2006/relationships/image" Target="media/b89d5cc990a4d1b9e6657f5ba2a1bbc2fa9cb309.png"/><Relationship Id="rId17" Type="http://schemas.openxmlformats.org/officeDocument/2006/relationships/image" Target="media/91841896cfff53da3630163720b49da419e39c1f.png"/><Relationship Id="rId18" Type="http://schemas.openxmlformats.org/officeDocument/2006/relationships/image" Target="media/02cb1f3197ef58b567ee5dca830615d1ef25bb06.png"/><Relationship Id="rId19" Type="http://schemas.openxmlformats.org/officeDocument/2006/relationships/image" Target="media/e4d14f14d177b6f950334473fcf896694204f4df.png"/><Relationship Id="rId20" Type="http://schemas.openxmlformats.org/officeDocument/2006/relationships/image" Target="media/18ed00782431d22e1a1c1fa8ef4d8f0febb4e337.png"/><Relationship Id="rId21" Type="http://schemas.openxmlformats.org/officeDocument/2006/relationships/image" Target="media/5ceffabd2ae48ef9bff61bd0a69f9bd410015784.png"/><Relationship Id="rId22" Type="http://schemas.openxmlformats.org/officeDocument/2006/relationships/image" Target="media/8d7e1f227c2273f81f5e6a450cc9c4724696f089.png"/><Relationship Id="rId23" Type="http://schemas.openxmlformats.org/officeDocument/2006/relationships/image" Target="media/ae30babc0de1357fc9cff84b3992770b71f55899.png"/><Relationship Id="rId24" Type="http://schemas.openxmlformats.org/officeDocument/2006/relationships/image" Target="media/c94bceae7ff55e610eff37bfb8cb6f4f2eb42660.png"/><Relationship Id="rId25" Type="http://schemas.openxmlformats.org/officeDocument/2006/relationships/image" Target="media/2c094f16be0cd20cce8ff1b23174578528e98f93.png"/><Relationship Id="rId26" Type="http://schemas.openxmlformats.org/officeDocument/2006/relationships/image" Target="media/1379beb3224c7df57ca43906490b2c2d1d5ca77c.png"/><Relationship Id="rId27" Type="http://schemas.openxmlformats.org/officeDocument/2006/relationships/image" Target="media/3026b6bf451f987503ef16cc5d816101a98bc4b1.png"/><Relationship Id="rId28" Type="http://schemas.openxmlformats.org/officeDocument/2006/relationships/image" Target="media/079fc9ff09432990541ba49d0c5752614d54e5e9.png"/><Relationship Id="rId29" Type="http://schemas.openxmlformats.org/officeDocument/2006/relationships/image" Target="media/9c409d629322d0d981fa4268cb110a361f60cc98.png"/><Relationship Id="rId30" Type="http://schemas.openxmlformats.org/officeDocument/2006/relationships/image" Target="media/dbc08323ba6993cfb5f4ef00a9e938a067a6502d.png"/><Relationship Id="rId31" Type="http://schemas.openxmlformats.org/officeDocument/2006/relationships/image" Target="media/e2bf5e633635b5dbd69b390234464abc261c56b8.png"/><Relationship Id="rId32" Type="http://schemas.openxmlformats.org/officeDocument/2006/relationships/image" Target="media/7d1239e53807a02f50fe2199da8daca10e99eac2.png"/><Relationship Id="rId33" Type="http://schemas.openxmlformats.org/officeDocument/2006/relationships/image" Target="media/bb4841fef5291bc8ff417e68d0fc5cfff33fa269.png"/><Relationship Id="rId34" Type="http://schemas.openxmlformats.org/officeDocument/2006/relationships/image" Target="media/a808fff62c931c499d764986538ef02fcce83ead.png"/><Relationship Id="rId35" Type="http://schemas.openxmlformats.org/officeDocument/2006/relationships/image" Target="media/c4a0aa66f0e5b79fd34310be4c104b11463aead2.png"/><Relationship Id="rId36" Type="http://schemas.openxmlformats.org/officeDocument/2006/relationships/image" Target="media/b17c493688f15cef6ad70b1ab812d08f30f5086c.png"/><Relationship Id="rId37" Type="http://schemas.openxmlformats.org/officeDocument/2006/relationships/image" Target="media/376c2ec0416236db3e1cf775001bc4bad91a831e.png"/><Relationship Id="rId38" Type="http://schemas.openxmlformats.org/officeDocument/2006/relationships/image" Target="media/e732c37dc3e39f53b928a0067a708507833eb351.png"/><Relationship Id="rId39" Type="http://schemas.openxmlformats.org/officeDocument/2006/relationships/fontTable" Target="fontTable.xml"/><Relationship Id="rId40" Type="http://schemas.openxmlformats.org/officeDocument/2006/relationships/image" Target="media/image1.png"/><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2026-08-10T03:34:34.405Z</dcterms:created>
  <dcterms:modified xsi:type="dcterms:W3CDTF">2026-08-10T03:34:34.407Z</dcterms:modified>
</cp:coreProperties>
</file>

<file path=docProps/custom.xml><?xml version="1.0" encoding="utf-8"?>
<Properties xmlns="http://schemas.openxmlformats.org/officeDocument/2006/custom-properties" xmlns:vt="http://schemas.openxmlformats.org/officeDocument/2006/docPropsVTypes"/>
</file>