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DATAPILOT AGENT OS</w:t>
      </w:r>
    </w:p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Anticipated Q&amp;A</w:t>
      </w:r>
    </w:p>
    <w:p>
      <w:pPr>
        <w:spacing w:after="400"/>
      </w:pPr>
      <w:r>
        <w:rPr>
          <w:i/>
          <w:iCs/>
          <w:color w:val="5B6485"/>
          <w:sz w:val="24"/>
          <w:szCs w:val="24"/>
        </w:rPr>
        <w:t xml:space="preserve">Prepared answers for an architect / principal-engineer audience, organized by speaker</w:t>
      </w:r>
    </w:p>
    <w:p>
      <w:pPr>
        <w:pBdr>
          <w:bottom w:val="single" w:color="D9DCEA" w:sz="6"/>
        </w:pBdr>
        <w:spacing w:after="300"/>
      </w:pPr>
    </w:p>
    <w:p>
      <w:pPr>
        <w:pStyle w:val="Heading2"/>
        <w:spacing w:after="120" w:before="260"/>
      </w:pPr>
      <w:r>
        <w:t xml:space="preserve">How to use this during Q&amp;A</w:t>
      </w:r>
    </w:p>
    <w:p>
      <w:pPr>
        <w:spacing w:after="140"/>
      </w:pPr>
      <w:r>
        <w:t xml:space="preserve">This audience will probe for precision, not reassurance. Whoever the question is directed at answers first; hand off by name if it's clearly someone else's area. For the last section especially — the genuinely hard scalability and certification questions — answer with the specific number or the specific next step, not a confident-sounding generality. A precise “not yet, here's exactly what's left” reads as far more credible to a principal engineer than a vague “yes, it's enterprise-ready.”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1</w:t>
      </w:r>
    </w:p>
    <w:p>
      <w:pPr>
        <w:pStyle w:val="Heading1"/>
        <w:spacing w:after="160" w:before="320"/>
      </w:pPr>
      <w:r>
        <w:t xml:space="preserve">Business Case &amp; Positioning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How is this different from wiring an LLM directly to our database?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The model never receives database credentials or raw SQL execution rights. Every action is a typed, schema-validated, audited tool call, and SQL generation is restricted server-side to a single read-only SELECT/WITH statement — enforcement happens in the control plane, not in the prompt.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Is this open source, or built on top of an existing catalog/BI product?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From-scratch: Next.js + FastAPI + PostgreSQL + Qdrant + Temporal, purpose-built around the governance model. It embeds Apache Superset optionally for BI rather than reimplementing one.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Why build this instead of buying an existing data-catalog-plus-chatbot product?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The governance model — typed tools, approvals, immutable versions, durable job evidence — is the actual product. Most catalog-plus-chatbot tools bolt a model onto existing read/write access; this system was designed the other way around, with the control plane first.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2</w:t>
      </w:r>
    </w:p>
    <w:p>
      <w:pPr>
        <w:pStyle w:val="Heading1"/>
        <w:spacing w:after="160" w:before="320"/>
      </w:pPr>
      <w:r>
        <w:t xml:space="preserve">Solution Architecture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Why Temporal instead of Celery, Airflow, or a Kafka-based pipeline?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Temporal gives retries, execution history, and visibility for bounded agent plans, scans, and scheduled ingestion out of the box. Kafka is a log, not a workflow engine — you'd still need Temporal or Celery on top of it for this shape of work. Documented in ARCHITECTURE_DECISIONS.md §6.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Why not a graph database for lineage or catalog relationships?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Every current lineage/join query is zero- or one-hop. A second store would duplicate PostgreSQL as the source of truth for a traversal depth recursive CTEs already handle. If interactive multi-hop traversal becomes a real requirement, the documented next step is the Apache AGE extension on the existing PostgreSQL instance — graph query ergonomics without a second database to operate and secure.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is the actual source of truth, and how does Qdrant stay in sync?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PostgreSQL is authoritative for everything — users, catalog, staged data, jobs, approvals, audit. Qdrant holds a derived, fully rebuildable copy of catalog/document text for hybrid search only; it holds no credentials and is never queried as a system of record.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How does multi-tenancy actually work — separate schemas, row-level security, something else?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Single schema, project_id as a foreign key on every project-scoped table, and every route filters through a shared require_current_project() check. There is no cross-project catalog sharing, agent reuse, or query-tool grant by construction — see the domain model diagram.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Does this require a specialized Postgres build or extensions?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 — standard PostgreSQL. Apache AGE is discussed as a future option for graph queries, not a current dependency, so it runs on any managed Postgres (RDS, Cloud SQL, Azure Database for PostgreSQL) without modification.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3</w:t>
      </w:r>
    </w:p>
    <w:p>
      <w:pPr>
        <w:pStyle w:val="Heading1"/>
        <w:spacing w:after="160" w:before="320"/>
      </w:pPr>
      <w:r>
        <w:t xml:space="preserve">Core Workflows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Are the sequence diagrams generated from the code, or hand-drawn?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Traced directly from the API routes and the system specification, then verified against the implementation — every message on the diagram corresponds to a real endpoint call, including the alt/opt branches for the unhappy paths.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SQL dialects does it generate, and where does it execute?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SQL generation is dialect-aware based on the connected source's catalog. The guarded execution preview always runs against PostgreSQL (staged data) as a single read-only statement, regardless of the dialect it was generated for — execution is intentionally narrower than generation.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Can it write back to source systems?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No. External connectors are read-only. The only writes are into DataPilot-owned PostgreSQL staging tables and views, and pipeline deployments require approval first.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happens when the model returns invalid or unsafe SQL?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A repair pass attempts a fix; if that fails, a deterministic catalog fallback keeps an answer available. That branch is the alt block on the Data Analyst sequence diagram, not an edge case left out of the design.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4</w:t>
      </w:r>
    </w:p>
    <w:p>
      <w:pPr>
        <w:pStyle w:val="Heading1"/>
        <w:spacing w:after="160" w:before="320"/>
      </w:pPr>
      <w:r>
        <w:t xml:space="preserve">Agents &amp; Governance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Can an agent modify production data or deploy something on its own?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No. It's bounded to low-risk, registry-bound built-in tools, capped at 12 tool calls per run, and any risky action — a deployment, a recurring schedule — stops and waits for a recorded human approval before Temporal resumes.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stops an agent from looping or burning through cost unnecessarily?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The plan itself is bounded to 3–6 steps, the tool-call loop is hard-capped at 12 calls, and every call is logged with model provenance, cost, and latency — there's no unbounded retry path in the orchestration contract.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How is PII protected in agent and query results?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Pattern/heuristic classification (email, phone, government ID, payment card, bank account, DOB, address, name) tags sensitive columns and applies partial masking before results reach any caller — SQL, connector, MCP, and notebook paths all go through the same masking layer. It's application-level enforcement, not a substitute for a managed DLP tool, and it can miss PII in oddly-named or free-text columns.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Is RBAC actually enforced, or just informational?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Real enforcement — a centralized permission map backs write checks across 9 router files and 32 call sites today. It's still being extended to a small number of remaining endpoints that use inline role checks, and to consult project-membership role rather than only global role; both are active, tracked engineering items, not open-ended gaps.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If someone accepts a learning suggestion, does agent behavior change automatically?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 — verified directly against the code. Accepting a suggestion only changes its status and records the reviewer's note; it never edits a prompt, retrains anything, or changes a policy. Every improvement is measured, scored, and requires a human click to take effect — that's a deliberate design property for an enterprise audience, not a missing feature.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5</w:t>
      </w:r>
    </w:p>
    <w:p>
      <w:pPr>
        <w:pStyle w:val="Heading1"/>
        <w:spacing w:after="160" w:before="320"/>
      </w:pPr>
      <w:r>
        <w:t xml:space="preserve">Integration Architecture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Can an external AI client submit arbitrary SQL through the gateway?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No. Callers supply typed parameter values only; SQL and identifiers stay server-owned inside a published, reviewed query-tool template. There is no code path for a caller to submit their own SQL or table/column identifiers.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happens if the rate limiter's Redis backend is unavailable?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It fails open — availability is favored over strict enforcement during a Redis outage, so the limiter is one layer, not the only layer. It's designed to be paired with RBAC/grant enforcement rather than treated as a standalone security control for a hostile-multi-tenant threat model.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happens under a burst of concurrent calls against one source connector?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A per-connector BoundedSemaphore (default 8, tunable) caps simultaneous physical connections; a caller that would exceed the budget waits briefly, then gets a clear HTTP 503 to retry, instead of the source database silently absorbing an unbounded number of new connections.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Which model providers are actually production-validated today?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The local deterministic provider works fully offline; Gemini 3.6 and 3.5 Flash are validated end-to-end through an environment-backed key. OpenAI, Claude, and company providers are integrated but each requires its own environment credentials before it's selectable as a default.</w:t>
      </w:r>
    </w:p>
    <w:p>
      <w:r>
        <w:br w:type="page"/>
      </w:r>
    </w:p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OWNER: SPEAKER 6</w:t>
      </w:r>
    </w:p>
    <w:p>
      <w:pPr>
        <w:pStyle w:val="Heading1"/>
        <w:spacing w:after="160" w:before="320"/>
      </w:pPr>
      <w:r>
        <w:t xml:space="preserve">Enterprise-Grade Design — the hard questions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Has this actually been load-tested?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Not yet, and we're specific about why that matters: the architecture is stateless and horizontally scalable (HPA on api/web/worker), but there is one identified, documented capacity ceiling — at max replica counts, (8 api + 10 worker) × 8 connections per process = 144 possible Postgres connections against a default max_connections of 100. Pool sizing is already tunable (DB_POOL_SIZE / DB_POOL_MAX_OVERFLOW); running the load test against that math is the next concrete step before raising HPA ceilings in production.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Is SSO/PingFederate fully wired end to end?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Not yet. The admin configuration contract — where you register issuer and client details — is built. The remaining work is the live OIDC handshake: redirect, callback, group mapping, and logout, which needs a real tenant issuer to test against. This is a scoped, well-understood integration task, not an open design question.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Has a third-party security review or penetration test been performed?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Not yet — that's a named, scheduled release gate before production cutover, not an oversight. What's already in place ahead of that review: non-root containers with dropped capabilities on both vanilla Kubernetes and OpenShift's restricted SCC, secrets held only as environment/mounted references and never in the database, and a durable audit trail for every security-relevant action — a review validates and stress-tests those controls, it doesn't start from zero.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What's the disaster-recovery and backup story?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Backup/restore, secret rotation, and a DR drill are explicit release gates documented in the deployment guide, alongside connector-specific credential and recovery tests. They have not yet been exercised end-to-end — the production baseline (Kustomize manifests, non-root security posture, HPAs, PodDisruptionBudget on the worker) is built; the operational drills are the next concrete milestone.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Why should we trust these architecture claims — how were they verified?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They're reconciled directly against the running code, not against prior documentation or commit messages: 170 API endpoints across 25 domain routers, 46 database tables, and 20 frontend modules, with the backend test suite (56/56) independently re-run and the frontend production build independently verified as part of that reconciliation.</w:t>
      </w:r>
    </w:p>
    <w:p>
      <w:pPr>
        <w:spacing w:after="60" w:before="180"/>
      </w:pPr>
      <w:r>
        <w:rPr>
          <w:b/>
          <w:bCs/>
          <w:color w:val="1E2761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What's the single biggest thing standing between this and a production cutover?</w:t>
      </w:r>
    </w:p>
    <w:p>
      <w:pPr>
        <w:spacing w:after="160"/>
      </w:pPr>
      <w:r>
        <w:rPr>
          <w:b/>
          <w:bCs/>
          <w:color w:val="00A896"/>
          <w:sz w:val="21"/>
          <w:szCs w:val="21"/>
        </w:rPr>
        <w:t xml:space="preserve">A: </w:t>
      </w:r>
      <w:r>
        <w:rPr>
          <w:sz w:val="21"/>
          <w:szCs w:val="21"/>
        </w:rPr>
        <w:t xml:space="preserve">Two parallel tracks, both scoped and named rather than open-ended: finishing the SSO handshake and running a formal security review are the compliance-side gates; running a real load test against the documented connection-pool math is the scale-side gate. Neither requires a rearchitecture — both are execution on a known plan.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2026-08-09T03:17:09.556Z</dcterms:created>
  <dcterms:modified xsi:type="dcterms:W3CDTF">2026-08-09T03:17:09.556Z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