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0A896"/>
          <w:spacing w:val="20"/>
          <w:sz w:val="20"/>
          <w:szCs w:val="20"/>
        </w:rPr>
        <w:t xml:space="preserve">DATAPILOT AGENT OS</w:t>
      </w:r>
    </w:p>
    <w:p>
      <w:pPr>
        <w:spacing w:after="120"/>
      </w:pPr>
      <w:r>
        <w:rPr>
          <w:b/>
          <w:bCs/>
          <w:color w:val="1E2761"/>
          <w:sz w:val="56"/>
          <w:szCs w:val="56"/>
        </w:rPr>
        <w:t xml:space="preserve">Run of Show &amp; Speaker Script</w:t>
      </w:r>
    </w:p>
    <w:p>
      <w:pPr>
        <w:spacing w:after="400"/>
      </w:pPr>
      <w:r>
        <w:rPr>
          <w:i/>
          <w:iCs/>
          <w:color w:val="5B6485"/>
          <w:sz w:val="24"/>
          <w:szCs w:val="24"/>
        </w:rPr>
        <w:t xml:space="preserve">Architecture review · 45 minutes · 6 presenters · live demo · technical Q&amp;A</w:t>
      </w:r>
    </w:p>
    <w:p>
      <w:pPr>
        <w:pBdr>
          <w:bottom w:val="single" w:color="D9DCEA" w:sz="6"/>
        </w:pBdr>
        <w:spacing w:after="300"/>
      </w:pPr>
    </w:p>
    <w:p>
      <w:pPr>
        <w:pStyle w:val="Heading2"/>
        <w:spacing w:after="120" w:before="260"/>
      </w:pPr>
      <w:r>
        <w:t xml:space="preserve">Session Structure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5040"/>
      </w:tblGrid>
      <w:tr>
        <w:trPr>
          <w:tblHeader/>
        </w:trPr>
        <w:tc>
          <w:tcPr>
            <w:tcW w:type="dxa" w:w="22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8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504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0:00 – 0:30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 speakers, 5 min each</w:t>
            </w:r>
          </w:p>
        </w:tc>
        <w:tc>
          <w:tcPr>
            <w:tcW w:type="dxa" w:w="50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Positioning → Architecture → Workflows → Agents &amp; governance → Integrations → Enterprise-grade design</w:t>
            </w:r>
          </w:p>
        </w:tc>
      </w:tr>
      <w:tr>
        <w:tc>
          <w:tcPr>
            <w:tcW w:type="dxa" w:w="22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0:30 – 0:35</w:t>
            </w:r>
          </w:p>
        </w:tc>
        <w:tc>
          <w:tcPr>
            <w:tcW w:type="dxa" w:w="28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Live demo (5 min)</w:t>
            </w:r>
          </w:p>
        </w:tc>
        <w:tc>
          <w:tcPr>
            <w:tcW w:type="dxa" w:w="504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One continuous walkthrough of the flows shown in the sequence diagrams — see Demo Storyboard.docx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0:35 – 0:45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Technical Q&amp;A (10 min)</w:t>
            </w:r>
          </w:p>
        </w:tc>
        <w:tc>
          <w:tcPr>
            <w:tcW w:type="dxa" w:w="50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Open floor, routed to the presenter who owns that architecture area — see Anticipated Q&amp;A.docx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i/>
          <w:iCs/>
          <w:color w:val="5B6485"/>
          <w:sz w:val="21"/>
          <w:szCs w:val="21"/>
        </w:rPr>
        <w:t xml:space="preserve">This is an architecture review for architects and principal engineers, not a general product demo — assume the room wants the “why,” not just the “what.” Every diagram referenced below is a real page in the deck, not a placeholder; walk to it, don't just describe it.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Speaker 1 · Business Case &amp; Positioning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Time budget: </w:t>
      </w:r>
      <w:r>
        <w:rPr>
          <w:sz w:val="21"/>
          <w:szCs w:val="21"/>
        </w:rPr>
        <w:t xml:space="preserve">5 minutes    </w:t>
      </w:r>
      <w:r>
        <w:rPr>
          <w:b/>
          <w:bCs/>
          <w:sz w:val="21"/>
          <w:szCs w:val="21"/>
        </w:rPr>
        <w:t xml:space="preserve">Slides: </w:t>
      </w:r>
      <w:r>
        <w:rPr>
          <w:sz w:val="21"/>
          <w:szCs w:val="21"/>
        </w:rPr>
        <w:t xml:space="preserve">Slides 4–7</w:t>
      </w:r>
    </w:p>
    <w:p>
      <w:pPr>
        <w:pStyle w:val="Heading3"/>
        <w:spacing w:after="100" w:before="200"/>
      </w:pPr>
      <w:r>
        <w:t xml:space="preserve">Opening line</w:t>
      </w:r>
    </w:p>
    <w:p>
      <w:pPr>
        <w:spacing w:after="140"/>
      </w:pPr>
      <w:r>
        <w:rPr>
          <w:i/>
          <w:iCs/>
        </w:rPr>
        <w:t xml:space="preserve">“We're presenting this as an architecture review, not a product pitch — five speakers will take you through the system design, the sequence flows, and the enterprise engineering behind it, then we'll do one live walkthrough and open the floor.”</w:t>
      </w:r>
    </w:p>
    <w:p>
      <w:pPr>
        <w:pStyle w:val="Heading3"/>
        <w:spacing w:after="100" w:before="200"/>
      </w:pPr>
      <w:r>
        <w:t xml:space="preserve">Talking points, in order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Open with the one-line pitch: DataPilot is a local-first, governed AI data engineering workspace — a control plane for models, tools, approvals, artifacts, and execution history, not a chatbot bolted onto a database.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Walk the five problems → response table (Slide 5): unknown tables/dialects, repeated ingestion work, unsafe/unauditable AI output, external clients needing data without credentials, long-running work disappearing in chat threads.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Introduce the five personas (Slide 6): data analyst, data engineer, administrator, governance reviewer, external AI developer.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Land the positioning slide (Slide 7) hard: state plainly what this deliberately is NOT (not a warehouse replacement, not an unrestricted coding agent, not a BI platform, not autonomous). This is the slide that earns credibility with a skeptical architect in the room — showing you know your own boundaries is more convincing than a feature list.</w:t>
      </w:r>
    </w:p>
    <w:p>
      <w:pPr>
        <w:pStyle w:val="Heading3"/>
        <w:spacing w:after="100" w:before="200"/>
      </w:pPr>
      <w:r>
        <w:t xml:space="preserve">Handoff line to the next speaker</w:t>
      </w:r>
    </w:p>
    <w:p>
      <w:pPr>
        <w:spacing w:after="140"/>
      </w:pPr>
      <w:r>
        <w:rPr>
          <w:i/>
          <w:iCs/>
        </w:rPr>
        <w:t xml:space="preserve">“With the why and the who covered, [Speaker 2] is going to show you the actual system architecture.”</w:t>
      </w:r>
    </w:p>
    <w:p>
      <w:pPr>
        <w:pStyle w:val="Heading3"/>
        <w:spacing w:after="100" w:before="200"/>
      </w:pPr>
      <w:r>
        <w:t xml:space="preserve">Watch for in Q&amp;A</w:t>
      </w:r>
    </w:p>
    <w:p>
      <w:pPr>
        <w:spacing w:after="140"/>
      </w:pPr>
      <w:r>
        <w:t xml:space="preserve">If someone asks “how is this different from X,” keep the answer architectural (typed/approved/audited tool calls vs. raw model + credentials), not just competitive.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Speaker 2 · Solution Architecture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Time budget: </w:t>
      </w:r>
      <w:r>
        <w:rPr>
          <w:sz w:val="21"/>
          <w:szCs w:val="21"/>
        </w:rPr>
        <w:t xml:space="preserve">5 minutes    </w:t>
      </w:r>
      <w:r>
        <w:rPr>
          <w:b/>
          <w:bCs/>
          <w:sz w:val="21"/>
          <w:szCs w:val="21"/>
        </w:rPr>
        <w:t xml:space="preserve">Slides: </w:t>
      </w:r>
      <w:r>
        <w:rPr>
          <w:sz w:val="21"/>
          <w:szCs w:val="21"/>
        </w:rPr>
        <w:t xml:space="preserve">Slides 8–12</w:t>
      </w:r>
    </w:p>
    <w:p>
      <w:pPr>
        <w:pStyle w:val="Heading3"/>
        <w:spacing w:after="100" w:before="200"/>
      </w:pPr>
      <w:r>
        <w:t xml:space="preserve">Opening line</w:t>
      </w:r>
    </w:p>
    <w:p>
      <w:pPr>
        <w:spacing w:after="140"/>
      </w:pPr>
      <w:r>
        <w:rPr>
          <w:i/>
          <w:iCs/>
        </w:rPr>
        <w:t xml:space="preserve">“Here's what's actually running, and just as importantly, here's what we deliberately chose not to build.”</w:t>
      </w:r>
    </w:p>
    <w:p>
      <w:pPr>
        <w:pStyle w:val="Heading3"/>
        <w:spacing w:after="100" w:before="200"/>
      </w:pPr>
      <w:r>
        <w:t xml:space="preserve">Talking points, in order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Present the layered solution architecture diagram (Slide 9) top to bottom: consumers → gateway &amp; control plane → runtime services → durable orchestration → data &amp; index layer → governance telemetry &amp; analytics. Call out that every arrow crosses a policy boundary.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Walk the component boundary table (Slide 10) — the emphasis is what each component explicitly will NOT do.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This is the slide principal engineers will remember: the technology decision record (Slide 11). Don't just state the choices — say the alternative considered and why it lost, out loud, for at least two rows (Temporal vs. Kafka, and Postgres/recursive-CTE vs. Neo4j are the strongest two).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Close with the domain model diagram (Slide 12): everything resolves back to PROJECT — no cross-tenant catalog, agent, or grant leakage. This is the multi-tenancy answer before anyone has to ask for it.</w:t>
      </w:r>
    </w:p>
    <w:p>
      <w:pPr>
        <w:pStyle w:val="Heading3"/>
        <w:spacing w:after="100" w:before="200"/>
      </w:pPr>
      <w:r>
        <w:t xml:space="preserve">Handoff line to the next speaker</w:t>
      </w:r>
    </w:p>
    <w:p>
      <w:pPr>
        <w:spacing w:after="140"/>
      </w:pPr>
      <w:r>
        <w:rPr>
          <w:i/>
          <w:iCs/>
        </w:rPr>
        <w:t xml:space="preserve">“That's the system shape. [Speaker 3] is going to trace two real user journeys through it as sequence diagrams.”</w:t>
      </w:r>
    </w:p>
    <w:p>
      <w:pPr>
        <w:pStyle w:val="Heading3"/>
        <w:spacing w:after="100" w:before="200"/>
      </w:pPr>
      <w:r>
        <w:t xml:space="preserve">Watch for in Q&amp;A</w:t>
      </w:r>
    </w:p>
    <w:p>
      <w:pPr>
        <w:spacing w:after="140"/>
      </w:pPr>
      <w:r>
        <w:t xml:space="preserve">Expect “why not Kafka” and “why not a graph database” — both have a full prepared answer in Anticipated Q&amp;A, and both are literally on Slide 11.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Speaker 3 · Core Workflows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Time budget: </w:t>
      </w:r>
      <w:r>
        <w:rPr>
          <w:sz w:val="21"/>
          <w:szCs w:val="21"/>
        </w:rPr>
        <w:t xml:space="preserve">5 minutes    </w:t>
      </w:r>
      <w:r>
        <w:rPr>
          <w:b/>
          <w:bCs/>
          <w:sz w:val="21"/>
          <w:szCs w:val="21"/>
        </w:rPr>
        <w:t xml:space="preserve">Slides: </w:t>
      </w:r>
      <w:r>
        <w:rPr>
          <w:sz w:val="21"/>
          <w:szCs w:val="21"/>
        </w:rPr>
        <w:t xml:space="preserve">Slides 13–15</w:t>
      </w:r>
    </w:p>
    <w:p>
      <w:pPr>
        <w:pStyle w:val="Heading3"/>
        <w:spacing w:after="100" w:before="200"/>
      </w:pPr>
      <w:r>
        <w:t xml:space="preserve">Opening line</w:t>
      </w:r>
    </w:p>
    <w:p>
      <w:pPr>
        <w:spacing w:after="140"/>
      </w:pPr>
      <w:r>
        <w:rPr>
          <w:i/>
          <w:iCs/>
        </w:rPr>
        <w:t xml:space="preserve">“These aren't illustrative — every message on this diagram is a real API call in the codebase.”</w:t>
      </w:r>
    </w:p>
    <w:p>
      <w:pPr>
        <w:pStyle w:val="Heading3"/>
        <w:spacing w:after="100" w:before="200"/>
      </w:pPr>
      <w:r>
        <w:t xml:space="preserve">Talking points, in order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Frame the shift before diving in: “The architecture was the skeleton — here are two real journeys traced message by message.”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Walk the Data Engineer sequence diagram (Slide 14) end to end: upload → mapping → stage → quality → pipeline artifact, then the opt block — a risky deployment or recurring schedule stops and waits for a recorded human decision before Temporal executes anything.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Walk the Data Analyst sequence diagram (Slide 15): ask → retrieve grounding → generate SQL → enforce (one SELECT/WITH only) → the alt block (safe preview vs. repair/fallback) → persist → respond.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Point out explicitly that both diagrams have a branch for the unhappy path (approval-pending, or invalid-SQL) — that's deliberate; a sequence diagram that only shows the happy path isn't showing the real system.</w:t>
      </w:r>
    </w:p>
    <w:p>
      <w:pPr>
        <w:pStyle w:val="Heading3"/>
        <w:spacing w:after="100" w:before="200"/>
      </w:pPr>
      <w:r>
        <w:t xml:space="preserve">Handoff line to the next speaker</w:t>
      </w:r>
    </w:p>
    <w:p>
      <w:pPr>
        <w:spacing w:after="140"/>
      </w:pPr>
      <w:r>
        <w:rPr>
          <w:i/>
          <w:iCs/>
        </w:rPr>
        <w:t xml:space="preserve">“Both of those journeys are human-driven. [Speaker 4] is going to show you what happens when we let an agent drive part of it.”</w:t>
      </w:r>
    </w:p>
    <w:p>
      <w:pPr>
        <w:pStyle w:val="Heading3"/>
        <w:spacing w:after="100" w:before="200"/>
      </w:pPr>
      <w:r>
        <w:t xml:space="preserve">Watch for in Q&amp;A</w:t>
      </w:r>
    </w:p>
    <w:p>
      <w:pPr>
        <w:spacing w:after="140"/>
      </w:pPr>
      <w:r>
        <w:t xml:space="preserve">If asked whether these diagrams are aspirational or built, be direct: built, and the alt/opt branches are exactly what makes them trustworthy rather than marketing diagrams.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Speaker 4 · Agents &amp; Governance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Time budget: </w:t>
      </w:r>
      <w:r>
        <w:rPr>
          <w:sz w:val="21"/>
          <w:szCs w:val="21"/>
        </w:rPr>
        <w:t xml:space="preserve">5 minutes    </w:t>
      </w:r>
      <w:r>
        <w:rPr>
          <w:b/>
          <w:bCs/>
          <w:sz w:val="21"/>
          <w:szCs w:val="21"/>
        </w:rPr>
        <w:t xml:space="preserve">Slides: </w:t>
      </w:r>
      <w:r>
        <w:rPr>
          <w:sz w:val="21"/>
          <w:szCs w:val="21"/>
        </w:rPr>
        <w:t xml:space="preserve">Slides 16–19</w:t>
      </w:r>
    </w:p>
    <w:p>
      <w:pPr>
        <w:pStyle w:val="Heading3"/>
        <w:spacing w:after="100" w:before="200"/>
      </w:pPr>
      <w:r>
        <w:t xml:space="preserve">Opening line</w:t>
      </w:r>
    </w:p>
    <w:p>
      <w:pPr>
        <w:spacing w:after="140"/>
      </w:pPr>
      <w:r>
        <w:rPr>
          <w:i/>
          <w:iCs/>
        </w:rPr>
        <w:t xml:space="preserve">“Autonomy is the part every architect in this room is right to be skeptical of. Here's exactly how far ours goes, and where it stops.”</w:t>
      </w:r>
    </w:p>
    <w:p>
      <w:pPr>
        <w:pStyle w:val="Heading3"/>
        <w:spacing w:after="100" w:before="200"/>
      </w:pPr>
      <w:r>
        <w:t xml:space="preserve">Talking points, in order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Walk the agent orchestration sequence diagram (Slide 17): objective → Job created → Temporal workflow → worker loads context → bounded 3–6 step plan → the loop (hard-capped at 12 tool calls, low-risk built-ins only, typed inputs) → persist evidence → job resolves.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Introduce the seven specialist agent roles (Slide 18) — Planner, Metadata, SQL Analyst, Pipeline, Quality, Troubleshooter, Policy — and read the execution-authority column for at least two of them out loud; it's the strongest evidence that “bounded” isn't just a marketing word.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Walk the enforcement architecture (Slide 19): one path, five checks, before anything executes, with the risk-decision step visually called out.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This is the segment that carries the most trust-building weight — slow down, especially on the tool-call cap and the approval gate.</w:t>
      </w:r>
    </w:p>
    <w:p>
      <w:pPr>
        <w:pStyle w:val="Heading3"/>
        <w:spacing w:after="100" w:before="200"/>
      </w:pPr>
      <w:r>
        <w:t xml:space="preserve">Handoff line to the next speaker</w:t>
      </w:r>
    </w:p>
    <w:p>
      <w:pPr>
        <w:spacing w:after="140"/>
      </w:pPr>
      <w:r>
        <w:rPr>
          <w:i/>
          <w:iCs/>
        </w:rPr>
        <w:t xml:space="preserve">“Governance keeps things safe inside the walls. [Speaker 5] is going to show you how we let things out, safely, to other systems and other AI agents.”</w:t>
      </w:r>
    </w:p>
    <w:p>
      <w:pPr>
        <w:pStyle w:val="Heading3"/>
        <w:spacing w:after="100" w:before="200"/>
      </w:pPr>
      <w:r>
        <w:t xml:space="preserve">Watch for in Q&amp;A</w:t>
      </w:r>
    </w:p>
    <w:p>
      <w:pPr>
        <w:spacing w:after="140"/>
      </w:pPr>
      <w:r>
        <w:t xml:space="preserve">Questions about what happens when an agent picks the wrong tool, or how PII is handled in results — both are in Anticipated Q&amp;A, Agents &amp; Governance section.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Speaker 5 · Integration Architecture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Time budget: </w:t>
      </w:r>
      <w:r>
        <w:rPr>
          <w:sz w:val="21"/>
          <w:szCs w:val="21"/>
        </w:rPr>
        <w:t xml:space="preserve">5 minutes    </w:t>
      </w:r>
      <w:r>
        <w:rPr>
          <w:b/>
          <w:bCs/>
          <w:sz w:val="21"/>
          <w:szCs w:val="21"/>
        </w:rPr>
        <w:t xml:space="preserve">Slides: </w:t>
      </w:r>
      <w:r>
        <w:rPr>
          <w:sz w:val="21"/>
          <w:szCs w:val="21"/>
        </w:rPr>
        <w:t xml:space="preserve">Slides 20–24</w:t>
      </w:r>
    </w:p>
    <w:p>
      <w:pPr>
        <w:pStyle w:val="Heading3"/>
        <w:spacing w:after="100" w:before="200"/>
      </w:pPr>
      <w:r>
        <w:t xml:space="preserve">Opening line</w:t>
      </w:r>
    </w:p>
    <w:p>
      <w:pPr>
        <w:spacing w:after="140"/>
      </w:pPr>
      <w:r>
        <w:rPr>
          <w:i/>
          <w:iCs/>
        </w:rPr>
        <w:t xml:space="preserve">“Other systems and other AI agents need this data too — here's how we hand it to them without handing out a database password.”</w:t>
      </w:r>
    </w:p>
    <w:p>
      <w:pPr>
        <w:pStyle w:val="Heading3"/>
        <w:spacing w:after="100" w:before="200"/>
      </w:pPr>
      <w:r>
        <w:t xml:space="preserve">Talking points, in order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Walk the external AI developer sequence diagram (Slide 21): tools/list → grant filter → invoke with typed parameters → rate-limit check → scope/schema/limit verification → execution → audit → typed result. Emphasize: no SQL, no identifiers, no credentials ever cross that boundary.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Contrast the internal tool registry against the external query-tool gateway (Slide 22) — two different registries, two different trust boundaries, on purpose.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Cover the three resilience patterns (Slide 23): rate limiting that fails open, the per-connector BoundedSemaphore, and Temporal-backed durability for one-off extraction. These are the details that read as “this team has run this in anger,” not “this was built for a demo.”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Close with model providers and embedded analytics (Slide 24).</w:t>
      </w:r>
    </w:p>
    <w:p>
      <w:pPr>
        <w:pStyle w:val="Heading3"/>
        <w:spacing w:after="100" w:before="200"/>
      </w:pPr>
      <w:r>
        <w:t xml:space="preserve">Handoff line to the next speaker</w:t>
      </w:r>
    </w:p>
    <w:p>
      <w:pPr>
        <w:spacing w:after="140"/>
      </w:pPr>
      <w:r>
        <w:rPr>
          <w:i/>
          <w:iCs/>
        </w:rPr>
        <w:t xml:space="preserve">“That covers how the system talks to the outside world. [Speaker 6] is going to show you how it's built to run at enterprise scale.”</w:t>
      </w:r>
    </w:p>
    <w:p>
      <w:pPr>
        <w:pStyle w:val="Heading3"/>
        <w:spacing w:after="100" w:before="200"/>
      </w:pPr>
      <w:r>
        <w:t xml:space="preserve">Watch for in Q&amp;A</w:t>
      </w:r>
    </w:p>
    <w:p>
      <w:pPr>
        <w:spacing w:after="140"/>
      </w:pPr>
      <w:r>
        <w:t xml:space="preserve">The “fails open” design on rate limiting sometimes draws a security objection — the prepared answer is in Anticipated Q&amp;A: it's paired with RBAC enforcement, not a substitute for it.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Speaker 6 · Enterprise-Grade Design</w:t>
      </w:r>
    </w:p>
    <w:p>
      <w:pPr>
        <w:spacing w:after="140"/>
      </w:pPr>
      <w:r>
        <w:rPr>
          <w:b/>
          <w:bCs/>
          <w:sz w:val="21"/>
          <w:szCs w:val="21"/>
        </w:rPr>
        <w:t xml:space="preserve">Time budget: </w:t>
      </w:r>
      <w:r>
        <w:rPr>
          <w:sz w:val="21"/>
          <w:szCs w:val="21"/>
        </w:rPr>
        <w:t xml:space="preserve">5 minutes    </w:t>
      </w:r>
      <w:r>
        <w:rPr>
          <w:b/>
          <w:bCs/>
          <w:sz w:val="21"/>
          <w:szCs w:val="21"/>
        </w:rPr>
        <w:t xml:space="preserve">Slides: </w:t>
      </w:r>
      <w:r>
        <w:rPr>
          <w:sz w:val="21"/>
          <w:szCs w:val="21"/>
        </w:rPr>
        <w:t xml:space="preserve">Slides 25–29</w:t>
      </w:r>
    </w:p>
    <w:p>
      <w:pPr>
        <w:pStyle w:val="Heading3"/>
        <w:spacing w:after="100" w:before="200"/>
      </w:pPr>
      <w:r>
        <w:t xml:space="preserve">Opening line</w:t>
      </w:r>
    </w:p>
    <w:p>
      <w:pPr>
        <w:spacing w:after="140"/>
      </w:pPr>
      <w:r>
        <w:rPr>
          <w:i/>
          <w:iCs/>
        </w:rPr>
        <w:t xml:space="preserve">“Last stop: how this is built to run in a real enterprise environment, not just on a laptop.”</w:t>
      </w:r>
    </w:p>
    <w:p>
      <w:pPr>
        <w:pStyle w:val="Heading3"/>
        <w:spacing w:after="100" w:before="200"/>
      </w:pPr>
      <w:r>
        <w:t xml:space="preserve">Talking points, in order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Walk the Kubernetes deployment diagram (Slide 26): TLS ingress → three independently-scaling Deployments (web/api/worker, each with its own HPA range) → pod security posture → connection pooling and per-connector concurrency controls → managed backing services.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Walk the security &amp; governance controls table (Slide 27) as a checklist of what's already built in, not a list of promises.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Walk the scalability &amp; reliability stat cards (Slide 28) — lead with the HPA replica ranges and the fact that the worker pool scales independently of the API, then the connection-pool math, then the non-root pod posture.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Close on the five design principles (Slide 29): governed by design, durable by design, scoped by design, human-in-the-loop by design, derived-not-duplicated state. This is the summary slide — deliver it like a summary, not a new topic.</w:t>
      </w:r>
    </w:p>
    <w:p>
      <w:pPr>
        <w:pStyle w:val="Heading3"/>
        <w:spacing w:after="100" w:before="200"/>
      </w:pPr>
      <w:r>
        <w:t xml:space="preserve">Handoff line to the next speaker</w:t>
      </w:r>
    </w:p>
    <w:p>
      <w:pPr>
        <w:spacing w:after="140"/>
      </w:pPr>
      <w:r>
        <w:rPr>
          <w:i/>
          <w:iCs/>
        </w:rPr>
        <w:t xml:space="preserve">“That's the full architecture. We're going to do one continuous live demo now, then open the floor — we've split ownership by topic so route your questions our way.”</w:t>
      </w:r>
    </w:p>
    <w:p>
      <w:pPr>
        <w:pStyle w:val="Heading3"/>
        <w:spacing w:after="100" w:before="200"/>
      </w:pPr>
      <w:r>
        <w:t xml:space="preserve">Watch for in Q&amp;A</w:t>
      </w:r>
    </w:p>
    <w:p>
      <w:pPr>
        <w:spacing w:after="140"/>
      </w:pPr>
      <w:r>
        <w:t xml:space="preserve">If asked for a live load-test number or a completed SOC2/pen-test date, answer honestly and specifically rather than deflecting — principal engineers respect a precise “not yet, here's the plan” far more than a vague reassurance. See Anticipated Q&amp;A.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Live Demo · 5 Minutes</w:t>
      </w:r>
    </w:p>
    <w:p>
      <w:pPr>
        <w:spacing w:after="140"/>
      </w:pPr>
      <w:r>
        <w:t xml:space="preserve">One continuous walkthrough that puts the sequence diagrams on screen as real clicks: upload → catalog &amp; search → ask a question (SQL preview) → agent run → approval → quality/pipeline. Full click-by-click steps and a recording checklist are in Demo Storyboard.docx — rehearse against that script at least once before presenting live.</w:t>
      </w:r>
    </w:p>
    <w:p>
      <w:pPr>
        <w:spacing w:after="140"/>
      </w:pPr>
      <w:r>
        <w:t xml:space="preserve">Fallback: if the live environment misbehaves, cut to the recorded demo video / screenshots instead of debugging on stage. Decide who owns that call before you start.</w:t>
      </w:r>
    </w:p>
    <w:p>
      <w:pPr>
        <w:pStyle w:val="Heading1"/>
        <w:spacing w:after="160" w:before="320"/>
      </w:pPr>
      <w:r>
        <w:t xml:space="preserve">Technical Q&amp;A · 10 Minutes</w:t>
      </w:r>
    </w:p>
    <w:p>
      <w:pPr>
        <w:spacing w:after="140"/>
      </w:pPr>
      <w:r>
        <w:t xml:space="preserve">Whoever gets asked a question owns the first response; if it crosses into another speaker's area, hand it off by name. Full anticipated questions and prepared answers are in Anticipated Q&amp;A.docx — for a principal-engineer audience, a precise, specific answer (including “not yet, here's the plan”) lands far better than a confident-sounding deflection.</w:t>
      </w:r>
    </w:p>
    <w:tbl>
      <w:tblPr>
        <w:tblW w:type="dxa" w:w="10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3740"/>
      </w:tblGrid>
      <w:tr>
        <w:trPr>
          <w:tblHeader/>
        </w:trPr>
        <w:tc>
          <w:tcPr>
            <w:tcW w:type="dxa" w:w="630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Topic area</w:t>
            </w:r>
          </w:p>
        </w:tc>
        <w:tc>
          <w:tcPr>
            <w:tcW w:type="dxa" w:w="3740"/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Business case, positioning, personas</w:t>
            </w:r>
          </w:p>
        </w:tc>
        <w:tc>
          <w:tcPr>
            <w:tcW w:type="dxa" w:w="37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Speaker 1</w:t>
            </w:r>
          </w:p>
        </w:tc>
      </w:tr>
      <w:tr>
        <w:tc>
          <w:tcPr>
            <w:tcW w:type="dxa" w:w="63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Architecture, tech decisions, data model</w:t>
            </w:r>
          </w:p>
        </w:tc>
        <w:tc>
          <w:tcPr>
            <w:tcW w:type="dxa" w:w="374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Speaker 2</w:t>
            </w:r>
          </w:p>
        </w:tc>
      </w:tr>
      <w:tr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Workflows, sequence flows</w:t>
            </w:r>
          </w:p>
        </w:tc>
        <w:tc>
          <w:tcPr>
            <w:tcW w:type="dxa" w:w="37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Speaker 3</w:t>
            </w:r>
          </w:p>
        </w:tc>
      </w:tr>
      <w:tr>
        <w:tc>
          <w:tcPr>
            <w:tcW w:type="dxa" w:w="63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Agents, governance, enforcement</w:t>
            </w:r>
          </w:p>
        </w:tc>
        <w:tc>
          <w:tcPr>
            <w:tcW w:type="dxa" w:w="374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Speaker 4</w:t>
            </w:r>
          </w:p>
        </w:tc>
      </w:tr>
      <w:tr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Integrations, gateway, resilience</w:t>
            </w:r>
          </w:p>
        </w:tc>
        <w:tc>
          <w:tcPr>
            <w:tcW w:type="dxa" w:w="37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Speaker 5</w:t>
            </w:r>
          </w:p>
        </w:tc>
      </w:tr>
      <w:tr>
        <w:tc>
          <w:tcPr>
            <w:tcW w:type="dxa" w:w="630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Deployment, security, scale, reliability</w:t>
            </w:r>
          </w:p>
        </w:tc>
        <w:tc>
          <w:tcPr>
            <w:tcW w:type="dxa" w:w="3740"/>
            <w:shd w:fill="F4F6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Speaker 6</w:t>
            </w:r>
          </w:p>
        </w:tc>
      </w:tr>
    </w:tbl>
    <w:p>
      <w:pPr>
        <w:pStyle w:val="Heading1"/>
        <w:spacing w:after="160" w:before="320"/>
      </w:pPr>
      <w:r>
        <w:t xml:space="preserve">Rehearsal Checklist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Run a full timed rehearsal at least once — 45 minutes disappears fast with 6 handoffs and dense diagram slides.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Confirm the Docker Compose stack is up and healthy (health/ready green) at least 30 minutes before the session — see README “Start locally.”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Print or have the deck open on a second screen during Q&amp;A — several diagrams reward being able to point at a specific arrow.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Decide who drives the keyboard/mouse during the live demo, and who has the recorded video cued up as a fallback.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Test screen-share resolution — the sequence diagrams are dense; verify they're legible at the room's actual projection size, not just on a laptop screen.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Agree on a silent hand signal for “wrap up, you're over time” so handoffs don't require interrupting mid-sentence.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Print or pin the Q&amp;A ownership table so nobody has to guess who should answer.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Cambria" w:cs="Cambria" w:eastAsia="Cambria" w:hAnsi="Cambria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rPr>
      <w:rFonts w:ascii="Cambria" w:cs="Cambria" w:eastAsia="Cambria" w:hAnsi="Cambria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rPr>
      <w:rFonts w:ascii="Calibri" w:cs="Calibri" w:eastAsia="Calibri" w:hAnsi="Calibri"/>
      <w:b/>
      <w:bCs/>
      <w:color w:val="00A8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2026-08-09T03:17:09.501Z</dcterms:created>
  <dcterms:modified xsi:type="dcterms:W3CDTF">2026-08-09T03:17:09.501Z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