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0A896"/>
          <w:spacing w:val="20"/>
          <w:sz w:val="20"/>
          <w:szCs w:val="20"/>
        </w:rPr>
        <w:t xml:space="preserve">DATAPILOT AGENT OS</w:t>
      </w:r>
    </w:p>
    <w:p>
      <w:pPr>
        <w:spacing w:after="120"/>
      </w:pPr>
      <w:r>
        <w:rPr>
          <w:b/>
          <w:bCs/>
          <w:color w:val="1E2761"/>
          <w:sz w:val="56"/>
          <w:szCs w:val="56"/>
        </w:rPr>
        <w:t xml:space="preserve">Anticipated Q&amp;A</w:t>
      </w:r>
    </w:p>
    <w:p>
      <w:pPr>
        <w:spacing w:after="400"/>
      </w:pPr>
      <w:r>
        <w:rPr>
          <w:i/>
          <w:iCs/>
          <w:color w:val="5B6485"/>
          <w:sz w:val="24"/>
          <w:szCs w:val="24"/>
        </w:rPr>
        <w:t xml:space="preserve">Prepared answers, organized by the speaker who owns each topic</w:t>
      </w:r>
    </w:p>
    <w:p>
      <w:pPr>
        <w:pBdr>
          <w:bottom w:val="single" w:color="D9DCEA" w:sz="6"/>
        </w:pBdr>
        <w:spacing w:after="300"/>
      </w:pPr>
    </w:p>
    <w:p>
      <w:pPr>
        <w:pStyle w:val="Heading2"/>
        <w:spacing w:after="120" w:before="260"/>
      </w:pPr>
      <w:r>
        <w:t xml:space="preserve">How to use this during Q&amp;A</w:t>
      </w:r>
    </w:p>
    <w:p>
      <w:pPr>
        <w:spacing w:after="140"/>
      </w:pPr>
      <w:r>
        <w:t xml:space="preserve">Whoever the question is directed at answers first. If it's clearly someone else's area, hand it off by name rather than guessing — the room will trust a quick “that's [Speaker 4]'s area” far more than an improvised answer that turns out wrong. The last section, Hard Questions, is deliberately the most direct — these are the ones worth rehearsing out loud before the session.</w:t>
      </w:r>
    </w:p>
    <w:p>
      <w:r>
        <w:br w:type="page"/>
      </w:r>
    </w:p>
    <w:p>
      <w:pPr>
        <w:spacing w:after="80"/>
      </w:pPr>
      <w:r>
        <w:rPr>
          <w:b/>
          <w:bCs/>
          <w:color w:val="00A896"/>
          <w:spacing w:val="20"/>
          <w:sz w:val="20"/>
          <w:szCs w:val="20"/>
        </w:rPr>
        <w:t xml:space="preserve">OWNER: SPEAKER 1</w:t>
      </w:r>
    </w:p>
    <w:p>
      <w:pPr>
        <w:pStyle w:val="Heading1"/>
        <w:spacing w:after="160" w:before="320"/>
      </w:pPr>
      <w:r>
        <w:t xml:space="preserve">Problem, Value &amp; Personas</w:t>
      </w:r>
    </w:p>
    <w:p>
      <w:pPr>
        <w:spacing w:after="60" w:before="180"/>
      </w:pPr>
      <w:r>
        <w:rPr>
          <w:b/>
          <w:bCs/>
          <w:color w:val="1E2761"/>
          <w:sz w:val="22"/>
          <w:szCs w:val="22"/>
        </w:rPr>
        <w:t xml:space="preserve">Q: </w:t>
      </w:r>
      <w:r>
        <w:rPr>
          <w:b/>
          <w:bCs/>
          <w:sz w:val="22"/>
          <w:szCs w:val="22"/>
        </w:rPr>
        <w:t xml:space="preserve">How is this different from just using ChatGPT or Copilot against our database?</w:t>
      </w:r>
    </w:p>
    <w:p>
      <w:pPr>
        <w:spacing w:after="160"/>
      </w:pPr>
      <w:r>
        <w:rPr>
          <w:b/>
          <w:bCs/>
          <w:color w:val="00A896"/>
          <w:sz w:val="21"/>
          <w:szCs w:val="21"/>
        </w:rPr>
        <w:t xml:space="preserve">A: </w:t>
      </w:r>
      <w:r>
        <w:rPr>
          <w:sz w:val="21"/>
          <w:szCs w:val="21"/>
        </w:rPr>
        <w:t xml:space="preserve">DataPilot never gives the model direct database credentials or raw SQL execution. Every action goes through typed, approved, and audited tools; SQL generation is catalog-grounded and restricted to a single read-only SELECT/WITH statement, enforced server-side, not just by prompt instructions.</w:t>
      </w:r>
    </w:p>
    <w:p>
      <w:pPr>
        <w:spacing w:after="60" w:before="180"/>
      </w:pPr>
      <w:r>
        <w:rPr>
          <w:b/>
          <w:bCs/>
          <w:color w:val="1E2761"/>
          <w:sz w:val="22"/>
          <w:szCs w:val="22"/>
        </w:rPr>
        <w:t xml:space="preserve">Q: </w:t>
      </w:r>
      <w:r>
        <w:rPr>
          <w:b/>
          <w:bCs/>
          <w:sz w:val="22"/>
          <w:szCs w:val="22"/>
        </w:rPr>
        <w:t xml:space="preserve">Who is this actually built for — analysts or engineers?</w:t>
      </w:r>
    </w:p>
    <w:p>
      <w:pPr>
        <w:spacing w:after="160"/>
      </w:pPr>
      <w:r>
        <w:rPr>
          <w:b/>
          <w:bCs/>
          <w:color w:val="00A896"/>
          <w:sz w:val="21"/>
          <w:szCs w:val="21"/>
        </w:rPr>
        <w:t xml:space="preserve">A: </w:t>
      </w:r>
      <w:r>
        <w:rPr>
          <w:sz w:val="21"/>
          <w:szCs w:val="21"/>
        </w:rPr>
        <w:t xml:space="preserve">Both, plus three more: administrators, governance reviewers, and external AI developers. Five personas share one control plane, each with a different outcome and a different guardrail (Slide 6).</w:t>
      </w:r>
    </w:p>
    <w:p>
      <w:pPr>
        <w:spacing w:after="60" w:before="180"/>
      </w:pPr>
      <w:r>
        <w:rPr>
          <w:b/>
          <w:bCs/>
          <w:color w:val="1E2761"/>
          <w:sz w:val="22"/>
          <w:szCs w:val="22"/>
        </w:rPr>
        <w:t xml:space="preserve">Q: </w:t>
      </w:r>
      <w:r>
        <w:rPr>
          <w:b/>
          <w:bCs/>
          <w:sz w:val="22"/>
          <w:szCs w:val="22"/>
        </w:rPr>
        <w:t xml:space="preserve">Is this built on an existing open-source project?</w:t>
      </w:r>
    </w:p>
    <w:p>
      <w:pPr>
        <w:spacing w:after="160"/>
      </w:pPr>
      <w:r>
        <w:rPr>
          <w:b/>
          <w:bCs/>
          <w:color w:val="00A896"/>
          <w:sz w:val="21"/>
          <w:szCs w:val="21"/>
        </w:rPr>
        <w:t xml:space="preserve">A: </w:t>
      </w:r>
      <w:r>
        <w:rPr>
          <w:sz w:val="21"/>
          <w:szCs w:val="21"/>
        </w:rPr>
        <w:t xml:space="preserve">No — it's a from-scratch local-first workspace (Next.js + FastAPI + PostgreSQL + Qdrant + Temporal), purpose-built around the governance model, not adapted from a general chatbot framework.</w:t>
      </w:r>
    </w:p>
    <w:p>
      <w:r>
        <w:br w:type="page"/>
      </w:r>
    </w:p>
    <w:p>
      <w:pPr>
        <w:spacing w:after="80"/>
      </w:pPr>
      <w:r>
        <w:rPr>
          <w:b/>
          <w:bCs/>
          <w:color w:val="00A896"/>
          <w:spacing w:val="20"/>
          <w:sz w:val="20"/>
          <w:szCs w:val="20"/>
        </w:rPr>
        <w:t xml:space="preserve">OWNER: SPEAKER 2</w:t>
      </w:r>
    </w:p>
    <w:p>
      <w:pPr>
        <w:pStyle w:val="Heading1"/>
        <w:spacing w:after="160" w:before="320"/>
      </w:pPr>
      <w:r>
        <w:t xml:space="preserve">Architecture &amp; Components</w:t>
      </w:r>
    </w:p>
    <w:p>
      <w:pPr>
        <w:spacing w:after="60" w:before="180"/>
      </w:pPr>
      <w:r>
        <w:rPr>
          <w:b/>
          <w:bCs/>
          <w:color w:val="1E2761"/>
          <w:sz w:val="22"/>
          <w:szCs w:val="22"/>
        </w:rPr>
        <w:t xml:space="preserve">Q: </w:t>
      </w:r>
      <w:r>
        <w:rPr>
          <w:b/>
          <w:bCs/>
          <w:sz w:val="22"/>
          <w:szCs w:val="22"/>
        </w:rPr>
        <w:t xml:space="preserve">Why Temporal instead of a simple job queue?</w:t>
      </w:r>
    </w:p>
    <w:p>
      <w:pPr>
        <w:spacing w:after="160"/>
      </w:pPr>
      <w:r>
        <w:rPr>
          <w:b/>
          <w:bCs/>
          <w:color w:val="00A896"/>
          <w:sz w:val="21"/>
          <w:szCs w:val="21"/>
        </w:rPr>
        <w:t xml:space="preserve">A: </w:t>
      </w:r>
      <w:r>
        <w:rPr>
          <w:sz w:val="21"/>
          <w:szCs w:val="21"/>
        </w:rPr>
        <w:t xml:space="preserve">Durable execution — retries, history, visibility — is a better fit for long-running bounded agent work than a raw task queue. Full reasoning is in ARCHITECTURE_DECISIONS.md.</w:t>
      </w:r>
    </w:p>
    <w:p>
      <w:pPr>
        <w:spacing w:after="60" w:before="180"/>
      </w:pPr>
      <w:r>
        <w:rPr>
          <w:b/>
          <w:bCs/>
          <w:color w:val="1E2761"/>
          <w:sz w:val="22"/>
          <w:szCs w:val="22"/>
        </w:rPr>
        <w:t xml:space="preserve">Q: </w:t>
      </w:r>
      <w:r>
        <w:rPr>
          <w:b/>
          <w:bCs/>
          <w:sz w:val="22"/>
          <w:szCs w:val="22"/>
        </w:rPr>
        <w:t xml:space="preserve">Why no Kafka?</w:t>
      </w:r>
    </w:p>
    <w:p>
      <w:pPr>
        <w:spacing w:after="160"/>
      </w:pPr>
      <w:r>
        <w:rPr>
          <w:b/>
          <w:bCs/>
          <w:color w:val="00A896"/>
          <w:sz w:val="21"/>
          <w:szCs w:val="21"/>
        </w:rPr>
        <w:t xml:space="preserve">A: </w:t>
      </w:r>
      <w:r>
        <w:rPr>
          <w:sz w:val="21"/>
          <w:szCs w:val="21"/>
        </w:rPr>
        <w:t xml:space="preserve">Not needed yet. Temporal already serves as the durable async execution engine, and Redis covers cross-request state. Kafka would only earn its place for genuine multi-consumer event fan-out, which nothing in the product needs today.</w:t>
      </w:r>
    </w:p>
    <w:p>
      <w:pPr>
        <w:spacing w:after="60" w:before="180"/>
      </w:pPr>
      <w:r>
        <w:rPr>
          <w:b/>
          <w:bCs/>
          <w:color w:val="1E2761"/>
          <w:sz w:val="22"/>
          <w:szCs w:val="22"/>
        </w:rPr>
        <w:t xml:space="preserve">Q: </w:t>
      </w:r>
      <w:r>
        <w:rPr>
          <w:b/>
          <w:bCs/>
          <w:sz w:val="22"/>
          <w:szCs w:val="22"/>
        </w:rPr>
        <w:t xml:space="preserve">Can this run in production Kubernetes, not just Docker Compose?</w:t>
      </w:r>
    </w:p>
    <w:p>
      <w:pPr>
        <w:spacing w:after="160"/>
      </w:pPr>
      <w:r>
        <w:rPr>
          <w:b/>
          <w:bCs/>
          <w:color w:val="00A896"/>
          <w:sz w:val="21"/>
          <w:szCs w:val="21"/>
        </w:rPr>
        <w:t xml:space="preserve">A: </w:t>
      </w:r>
      <w:r>
        <w:rPr>
          <w:sz w:val="21"/>
          <w:szCs w:val="21"/>
        </w:rPr>
        <w:t xml:space="preserve">Kustomize manifests exist under infra/kubernetes with non-root Dockerfiles, securityContext on every Deployment, and HPAs for API/web/worker. It still needs managed backing services, a NetworkPolicy, secrets-manager integration, and a backup/restore drill before it's production-certified — Compose remains the supported local runtime today.</w:t>
      </w:r>
    </w:p>
    <w:p>
      <w:pPr>
        <w:spacing w:after="60" w:before="180"/>
      </w:pPr>
      <w:r>
        <w:rPr>
          <w:b/>
          <w:bCs/>
          <w:color w:val="1E2761"/>
          <w:sz w:val="22"/>
          <w:szCs w:val="22"/>
        </w:rPr>
        <w:t xml:space="preserve">Q: </w:t>
      </w:r>
      <w:r>
        <w:rPr>
          <w:b/>
          <w:bCs/>
          <w:sz w:val="22"/>
          <w:szCs w:val="22"/>
        </w:rPr>
        <w:t xml:space="preserve">What's the source of truth if PostgreSQL and Qdrant disagree?</w:t>
      </w:r>
    </w:p>
    <w:p>
      <w:pPr>
        <w:spacing w:after="160"/>
      </w:pPr>
      <w:r>
        <w:rPr>
          <w:b/>
          <w:bCs/>
          <w:color w:val="00A896"/>
          <w:sz w:val="21"/>
          <w:szCs w:val="21"/>
        </w:rPr>
        <w:t xml:space="preserve">A: </w:t>
      </w:r>
      <w:r>
        <w:rPr>
          <w:sz w:val="21"/>
          <w:szCs w:val="21"/>
        </w:rPr>
        <w:t xml:space="preserve">PostgreSQL, always. Qdrant is a rebuildable retrieval index with no credentials in it — it can be regenerated from PostgreSQL at any time.</w:t>
      </w:r>
    </w:p>
    <w:p>
      <w:r>
        <w:br w:type="page"/>
      </w:r>
    </w:p>
    <w:p>
      <w:pPr>
        <w:spacing w:after="80"/>
      </w:pPr>
      <w:r>
        <w:rPr>
          <w:b/>
          <w:bCs/>
          <w:color w:val="00A896"/>
          <w:spacing w:val="20"/>
          <w:sz w:val="20"/>
          <w:szCs w:val="20"/>
        </w:rPr>
        <w:t xml:space="preserve">OWNER: SPEAKER 3</w:t>
      </w:r>
    </w:p>
    <w:p>
      <w:pPr>
        <w:pStyle w:val="Heading1"/>
        <w:spacing w:after="160" w:before="320"/>
      </w:pPr>
      <w:r>
        <w:t xml:space="preserve">Core Workflows</w:t>
      </w:r>
    </w:p>
    <w:p>
      <w:pPr>
        <w:spacing w:after="60" w:before="180"/>
      </w:pPr>
      <w:r>
        <w:rPr>
          <w:b/>
          <w:bCs/>
          <w:color w:val="1E2761"/>
          <w:sz w:val="22"/>
          <w:szCs w:val="22"/>
        </w:rPr>
        <w:t xml:space="preserve">Q: </w:t>
      </w:r>
      <w:r>
        <w:rPr>
          <w:b/>
          <w:bCs/>
          <w:sz w:val="22"/>
          <w:szCs w:val="22"/>
        </w:rPr>
        <w:t xml:space="preserve">What file formats can be ingested?</w:t>
      </w:r>
    </w:p>
    <w:p>
      <w:pPr>
        <w:spacing w:after="160"/>
      </w:pPr>
      <w:r>
        <w:rPr>
          <w:b/>
          <w:bCs/>
          <w:color w:val="00A896"/>
          <w:sz w:val="21"/>
          <w:szCs w:val="21"/>
        </w:rPr>
        <w:t xml:space="preserve">A: </w:t>
      </w:r>
      <w:r>
        <w:rPr>
          <w:sz w:val="21"/>
          <w:szCs w:val="21"/>
        </w:rPr>
        <w:t xml:space="preserve">CSV, JSON, Excel, and Parquet, with versioned replace, append, or key-based merge staging into PostgreSQL.</w:t>
      </w:r>
    </w:p>
    <w:p>
      <w:pPr>
        <w:spacing w:after="60" w:before="180"/>
      </w:pPr>
      <w:r>
        <w:rPr>
          <w:b/>
          <w:bCs/>
          <w:color w:val="1E2761"/>
          <w:sz w:val="22"/>
          <w:szCs w:val="22"/>
        </w:rPr>
        <w:t xml:space="preserve">Q: </w:t>
      </w:r>
      <w:r>
        <w:rPr>
          <w:b/>
          <w:bCs/>
          <w:sz w:val="22"/>
          <w:szCs w:val="22"/>
        </w:rPr>
        <w:t xml:space="preserve">Can DataPilot write back to our source databases?</w:t>
      </w:r>
    </w:p>
    <w:p>
      <w:pPr>
        <w:spacing w:after="160"/>
      </w:pPr>
      <w:r>
        <w:rPr>
          <w:b/>
          <w:bCs/>
          <w:color w:val="00A896"/>
          <w:sz w:val="21"/>
          <w:szCs w:val="21"/>
        </w:rPr>
        <w:t xml:space="preserve">A: </w:t>
      </w:r>
      <w:r>
        <w:rPr>
          <w:sz w:val="21"/>
          <w:szCs w:val="21"/>
        </w:rPr>
        <w:t xml:space="preserve">No. Connectors are read-only for external sources. The only writes are into DataPilot-owned PostgreSQL staging tables and views, and pipeline deployments require approval first.</w:t>
      </w:r>
    </w:p>
    <w:p>
      <w:pPr>
        <w:spacing w:after="60" w:before="180"/>
      </w:pPr>
      <w:r>
        <w:rPr>
          <w:b/>
          <w:bCs/>
          <w:color w:val="1E2761"/>
          <w:sz w:val="22"/>
          <w:szCs w:val="22"/>
        </w:rPr>
        <w:t xml:space="preserve">Q: </w:t>
      </w:r>
      <w:r>
        <w:rPr>
          <w:b/>
          <w:bCs/>
          <w:sz w:val="22"/>
          <w:szCs w:val="22"/>
        </w:rPr>
        <w:t xml:space="preserve">What SQL dialects does it generate?</w:t>
      </w:r>
    </w:p>
    <w:p>
      <w:pPr>
        <w:spacing w:after="160"/>
      </w:pPr>
      <w:r>
        <w:rPr>
          <w:b/>
          <w:bCs/>
          <w:color w:val="00A896"/>
          <w:sz w:val="21"/>
          <w:szCs w:val="21"/>
        </w:rPr>
        <w:t xml:space="preserve">A: </w:t>
      </w:r>
      <w:r>
        <w:rPr>
          <w:sz w:val="21"/>
          <w:szCs w:val="21"/>
        </w:rPr>
        <w:t xml:space="preserve">Generation is dialect-aware based on the connected source's catalog, but the guarded execution preview only runs against PostgreSQL (staged data) — one read-only statement, enforced server-side, regardless of the dialect the SQL was generated for.</w:t>
      </w:r>
    </w:p>
    <w:p>
      <w:pPr>
        <w:spacing w:after="60" w:before="180"/>
      </w:pPr>
      <w:r>
        <w:rPr>
          <w:b/>
          <w:bCs/>
          <w:color w:val="1E2761"/>
          <w:sz w:val="22"/>
          <w:szCs w:val="22"/>
        </w:rPr>
        <w:t xml:space="preserve">Q: </w:t>
      </w:r>
      <w:r>
        <w:rPr>
          <w:b/>
          <w:bCs/>
          <w:sz w:val="22"/>
          <w:szCs w:val="22"/>
        </w:rPr>
        <w:t xml:space="preserve">What happens if the model gives back bad or invalid SQL?</w:t>
      </w:r>
    </w:p>
    <w:p>
      <w:pPr>
        <w:spacing w:after="160"/>
      </w:pPr>
      <w:r>
        <w:rPr>
          <w:b/>
          <w:bCs/>
          <w:color w:val="00A896"/>
          <w:sz w:val="21"/>
          <w:szCs w:val="21"/>
        </w:rPr>
        <w:t xml:space="preserve">A: </w:t>
      </w:r>
      <w:r>
        <w:rPr>
          <w:sz w:val="21"/>
          <w:szCs w:val="21"/>
        </w:rPr>
        <w:t xml:space="preserve">A repair pass attempts to fix it; if that fails, a deterministic catalog fallback keeps an answer available instead of failing the request outright.</w:t>
      </w:r>
    </w:p>
    <w:p>
      <w:r>
        <w:br w:type="page"/>
      </w:r>
    </w:p>
    <w:p>
      <w:pPr>
        <w:spacing w:after="80"/>
      </w:pPr>
      <w:r>
        <w:rPr>
          <w:b/>
          <w:bCs/>
          <w:color w:val="00A896"/>
          <w:spacing w:val="20"/>
          <w:sz w:val="20"/>
          <w:szCs w:val="20"/>
        </w:rPr>
        <w:t xml:space="preserve">OWNER: SPEAKER 4</w:t>
      </w:r>
    </w:p>
    <w:p>
      <w:pPr>
        <w:pStyle w:val="Heading1"/>
        <w:spacing w:after="160" w:before="320"/>
      </w:pPr>
      <w:r>
        <w:t xml:space="preserve">Agents, Approvals, PII &amp; RBAC</w:t>
      </w:r>
    </w:p>
    <w:p>
      <w:pPr>
        <w:spacing w:after="60" w:before="180"/>
      </w:pPr>
      <w:r>
        <w:rPr>
          <w:b/>
          <w:bCs/>
          <w:color w:val="1E2761"/>
          <w:sz w:val="22"/>
          <w:szCs w:val="22"/>
        </w:rPr>
        <w:t xml:space="preserve">Q: </w:t>
      </w:r>
      <w:r>
        <w:rPr>
          <w:b/>
          <w:bCs/>
          <w:sz w:val="22"/>
          <w:szCs w:val="22"/>
        </w:rPr>
        <w:t xml:space="preserve">Can the agent change production data on its own?</w:t>
      </w:r>
    </w:p>
    <w:p>
      <w:pPr>
        <w:spacing w:after="160"/>
      </w:pPr>
      <w:r>
        <w:rPr>
          <w:b/>
          <w:bCs/>
          <w:color w:val="00A896"/>
          <w:sz w:val="21"/>
          <w:szCs w:val="21"/>
        </w:rPr>
        <w:t xml:space="preserve">A: </w:t>
      </w:r>
      <w:r>
        <w:rPr>
          <w:sz w:val="21"/>
          <w:szCs w:val="21"/>
        </w:rPr>
        <w:t xml:space="preserve">No. It's bounded to low-risk, registry-bound built-in tools, capped at 12 tool calls per run, and any risky action — a deployment, a recurring schedule — stops and waits for a human approval before Temporal resumes.</w:t>
      </w:r>
    </w:p>
    <w:p>
      <w:pPr>
        <w:spacing w:after="60" w:before="180"/>
      </w:pPr>
      <w:r>
        <w:rPr>
          <w:b/>
          <w:bCs/>
          <w:color w:val="1E2761"/>
          <w:sz w:val="22"/>
          <w:szCs w:val="22"/>
        </w:rPr>
        <w:t xml:space="preserve">Q: </w:t>
      </w:r>
      <w:r>
        <w:rPr>
          <w:b/>
          <w:bCs/>
          <w:sz w:val="22"/>
          <w:szCs w:val="22"/>
        </w:rPr>
        <w:t xml:space="preserve">How is PII protected in query results?</w:t>
      </w:r>
    </w:p>
    <w:p>
      <w:pPr>
        <w:spacing w:after="160"/>
      </w:pPr>
      <w:r>
        <w:rPr>
          <w:b/>
          <w:bCs/>
          <w:color w:val="00A896"/>
          <w:sz w:val="21"/>
          <w:szCs w:val="21"/>
        </w:rPr>
        <w:t xml:space="preserve">A: </w:t>
      </w:r>
      <w:r>
        <w:rPr>
          <w:sz w:val="21"/>
          <w:szCs w:val="21"/>
        </w:rPr>
        <w:t xml:space="preserve">app/pii.py applies pattern/heuristic classification (email, phone, government ID, payment card, bank account, DOB, address, name) and partially masks matching values before they reach a caller, across local SQL, connector, MCP, and notebook result paths. This is application-level enforcement — it complements but doesn't replace a managed DLP tool or database-native column security, and it can miss PII in oddly-named or free-text columns.</w:t>
      </w:r>
    </w:p>
    <w:p>
      <w:pPr>
        <w:spacing w:after="60" w:before="180"/>
      </w:pPr>
      <w:r>
        <w:rPr>
          <w:b/>
          <w:bCs/>
          <w:color w:val="1E2761"/>
          <w:sz w:val="22"/>
          <w:szCs w:val="22"/>
        </w:rPr>
        <w:t xml:space="preserve">Q: </w:t>
      </w:r>
      <w:r>
        <w:rPr>
          <w:b/>
          <w:bCs/>
          <w:sz w:val="22"/>
          <w:szCs w:val="22"/>
        </w:rPr>
        <w:t xml:space="preserve">Is role-based access control fully enforced?</w:t>
      </w:r>
    </w:p>
    <w:p>
      <w:pPr>
        <w:spacing w:after="160"/>
      </w:pPr>
      <w:r>
        <w:rPr>
          <w:b/>
          <w:bCs/>
          <w:color w:val="00A896"/>
          <w:sz w:val="21"/>
          <w:szCs w:val="21"/>
        </w:rPr>
        <w:t xml:space="preserve">A: </w:t>
      </w:r>
      <w:r>
        <w:rPr>
          <w:sz w:val="21"/>
          <w:szCs w:val="21"/>
        </w:rPr>
        <w:t xml:space="preserve">Real enforcement exists across 9 router files and 32 call sites via a central permission map — not just informational. It's incomplete two ways: roughly a dozen other endpoints still use inline role checks that bypass the map, and the permission check only looks at a user's global role, not their project-membership role. Both are tracked as P1 fixes.</w:t>
      </w:r>
    </w:p>
    <w:p>
      <w:pPr>
        <w:spacing w:after="60" w:before="180"/>
      </w:pPr>
      <w:r>
        <w:rPr>
          <w:b/>
          <w:bCs/>
          <w:color w:val="1E2761"/>
          <w:sz w:val="22"/>
          <w:szCs w:val="22"/>
        </w:rPr>
        <w:t xml:space="preserve">Q: </w:t>
      </w:r>
      <w:r>
        <w:rPr>
          <w:b/>
          <w:bCs/>
          <w:sz w:val="22"/>
          <w:szCs w:val="22"/>
        </w:rPr>
        <w:t xml:space="preserve">If someone accepts a learning suggestion, does the system change its behavior automatically?</w:t>
      </w:r>
    </w:p>
    <w:p>
      <w:pPr>
        <w:spacing w:after="160"/>
      </w:pPr>
      <w:r>
        <w:rPr>
          <w:b/>
          <w:bCs/>
          <w:color w:val="00A896"/>
          <w:sz w:val="21"/>
          <w:szCs w:val="21"/>
        </w:rPr>
        <w:t xml:space="preserve">A: </w:t>
      </w:r>
      <w:r>
        <w:rPr>
          <w:sz w:val="21"/>
          <w:szCs w:val="21"/>
        </w:rPr>
        <w:t xml:space="preserve">No — verified directly against the code. Accepting a suggestion only changes its status and records the reviewer's note; it never changes runtime behavior automatically. This is a deliberate design choice, explained in ARCHITECTURE_DECISIONS.md.</w:t>
      </w:r>
    </w:p>
    <w:p>
      <w:r>
        <w:br w:type="page"/>
      </w:r>
    </w:p>
    <w:p>
      <w:pPr>
        <w:spacing w:after="80"/>
      </w:pPr>
      <w:r>
        <w:rPr>
          <w:b/>
          <w:bCs/>
          <w:color w:val="00A896"/>
          <w:spacing w:val="20"/>
          <w:sz w:val="20"/>
          <w:szCs w:val="20"/>
        </w:rPr>
        <w:t xml:space="preserve">OWNER: SPEAKER 5</w:t>
      </w:r>
    </w:p>
    <w:p>
      <w:pPr>
        <w:pStyle w:val="Heading1"/>
        <w:spacing w:after="160" w:before="320"/>
      </w:pPr>
      <w:r>
        <w:t xml:space="preserve">Integrations, Gateway &amp; Analytics</w:t>
      </w:r>
    </w:p>
    <w:p>
      <w:pPr>
        <w:spacing w:after="60" w:before="180"/>
      </w:pPr>
      <w:r>
        <w:rPr>
          <w:b/>
          <w:bCs/>
          <w:color w:val="1E2761"/>
          <w:sz w:val="22"/>
          <w:szCs w:val="22"/>
        </w:rPr>
        <w:t xml:space="preserve">Q: </w:t>
      </w:r>
      <w:r>
        <w:rPr>
          <w:b/>
          <w:bCs/>
          <w:sz w:val="22"/>
          <w:szCs w:val="22"/>
        </w:rPr>
        <w:t xml:space="preserve">Can an external AI client run arbitrary SQL through the gateway?</w:t>
      </w:r>
    </w:p>
    <w:p>
      <w:pPr>
        <w:spacing w:after="160"/>
      </w:pPr>
      <w:r>
        <w:rPr>
          <w:b/>
          <w:bCs/>
          <w:color w:val="00A896"/>
          <w:sz w:val="21"/>
          <w:szCs w:val="21"/>
        </w:rPr>
        <w:t xml:space="preserve">A: </w:t>
      </w:r>
      <w:r>
        <w:rPr>
          <w:sz w:val="21"/>
          <w:szCs w:val="21"/>
        </w:rPr>
        <w:t xml:space="preserve">No. Callers supply typed parameter values only. SQL and identifiers stay server-owned inside a published, reviewed query-tool template — there's no path for a caller to submit their own SQL.</w:t>
      </w:r>
    </w:p>
    <w:p>
      <w:pPr>
        <w:spacing w:after="60" w:before="180"/>
      </w:pPr>
      <w:r>
        <w:rPr>
          <w:b/>
          <w:bCs/>
          <w:color w:val="1E2761"/>
          <w:sz w:val="22"/>
          <w:szCs w:val="22"/>
        </w:rPr>
        <w:t xml:space="preserve">Q: </w:t>
      </w:r>
      <w:r>
        <w:rPr>
          <w:b/>
          <w:bCs/>
          <w:sz w:val="22"/>
          <w:szCs w:val="22"/>
        </w:rPr>
        <w:t xml:space="preserve">What happens if the rate limiter's Redis backend goes down?</w:t>
      </w:r>
    </w:p>
    <w:p>
      <w:pPr>
        <w:spacing w:after="160"/>
      </w:pPr>
      <w:r>
        <w:rPr>
          <w:b/>
          <w:bCs/>
          <w:color w:val="00A896"/>
          <w:sz w:val="21"/>
          <w:szCs w:val="21"/>
        </w:rPr>
        <w:t xml:space="preserve">A: </w:t>
      </w:r>
      <w:r>
        <w:rPr>
          <w:sz w:val="21"/>
          <w:szCs w:val="21"/>
        </w:rPr>
        <w:t xml:space="preserve">It fails open — the gateway favors availability over strict enforcement during a Redis outage, rather than blocking all traffic.</w:t>
      </w:r>
    </w:p>
    <w:p>
      <w:pPr>
        <w:spacing w:after="60" w:before="180"/>
      </w:pPr>
      <w:r>
        <w:rPr>
          <w:b/>
          <w:bCs/>
          <w:color w:val="1E2761"/>
          <w:sz w:val="22"/>
          <w:szCs w:val="22"/>
        </w:rPr>
        <w:t xml:space="preserve">Q: </w:t>
      </w:r>
      <w:r>
        <w:rPr>
          <w:b/>
          <w:bCs/>
          <w:sz w:val="22"/>
          <w:szCs w:val="22"/>
        </w:rPr>
        <w:t xml:space="preserve">Which model providers are actually usable today without extra setup?</w:t>
      </w:r>
    </w:p>
    <w:p>
      <w:pPr>
        <w:spacing w:after="160"/>
      </w:pPr>
      <w:r>
        <w:rPr>
          <w:b/>
          <w:bCs/>
          <w:color w:val="00A896"/>
          <w:sz w:val="21"/>
          <w:szCs w:val="21"/>
        </w:rPr>
        <w:t xml:space="preserve">A: </w:t>
      </w:r>
      <w:r>
        <w:rPr>
          <w:sz w:val="21"/>
          <w:szCs w:val="21"/>
        </w:rPr>
        <w:t xml:space="preserve">The local deterministic provider works fully offline. Gemini 3.6 and 3.5 Flash are validated through an environment-backed key. OpenAI, Claude, and company providers work but each needs its own environment credentials configured before it can be selected.</w:t>
      </w:r>
    </w:p>
    <w:p>
      <w:pPr>
        <w:spacing w:after="60" w:before="180"/>
      </w:pPr>
      <w:r>
        <w:rPr>
          <w:b/>
          <w:bCs/>
          <w:color w:val="1E2761"/>
          <w:sz w:val="22"/>
          <w:szCs w:val="22"/>
        </w:rPr>
        <w:t xml:space="preserve">Q: </w:t>
      </w:r>
      <w:r>
        <w:rPr>
          <w:b/>
          <w:bCs/>
          <w:sz w:val="22"/>
          <w:szCs w:val="22"/>
        </w:rPr>
        <w:t xml:space="preserve">Do normal users need a separate Superset login?</w:t>
      </w:r>
    </w:p>
    <w:p>
      <w:pPr>
        <w:spacing w:after="160"/>
      </w:pPr>
      <w:r>
        <w:rPr>
          <w:b/>
          <w:bCs/>
          <w:color w:val="00A896"/>
          <w:sz w:val="21"/>
          <w:szCs w:val="21"/>
        </w:rPr>
        <w:t xml:space="preserve">A: </w:t>
      </w:r>
      <w:r>
        <w:rPr>
          <w:sz w:val="21"/>
          <w:szCs w:val="21"/>
        </w:rPr>
        <w:t xml:space="preserve">No — DataPilot brokers short-lived, dashboard-scoped guest tokens. Opening Superset's own URL directly still shows its native login, because that path has no DataPilot session context.</w:t>
      </w:r>
    </w:p>
    <w:p>
      <w:r>
        <w:br w:type="page"/>
      </w:r>
    </w:p>
    <w:p>
      <w:pPr>
        <w:spacing w:after="80"/>
      </w:pPr>
      <w:r>
        <w:rPr>
          <w:b/>
          <w:bCs/>
          <w:color w:val="00A896"/>
          <w:spacing w:val="20"/>
          <w:sz w:val="20"/>
          <w:szCs w:val="20"/>
        </w:rPr>
        <w:t xml:space="preserve">OWNER: SPEAKER 6</w:t>
      </w:r>
    </w:p>
    <w:p>
      <w:pPr>
        <w:pStyle w:val="Heading1"/>
        <w:spacing w:after="160" w:before="320"/>
      </w:pPr>
      <w:r>
        <w:t xml:space="preserve">Status, Gaps &amp; Roadmap — Hard Questions</w:t>
      </w:r>
    </w:p>
    <w:p>
      <w:pPr>
        <w:spacing w:after="60" w:before="180"/>
      </w:pPr>
      <w:r>
        <w:rPr>
          <w:b/>
          <w:bCs/>
          <w:color w:val="1E2761"/>
          <w:sz w:val="22"/>
          <w:szCs w:val="22"/>
        </w:rPr>
        <w:t xml:space="preserve">Q: </w:t>
      </w:r>
      <w:r>
        <w:rPr>
          <w:b/>
          <w:bCs/>
          <w:sz w:val="22"/>
          <w:szCs w:val="22"/>
        </w:rPr>
        <w:t xml:space="preserve">Is DataPilot enterprise-ready today?</w:t>
      </w:r>
    </w:p>
    <w:p>
      <w:pPr>
        <w:spacing w:after="160"/>
      </w:pPr>
      <w:r>
        <w:rPr>
          <w:b/>
          <w:bCs/>
          <w:color w:val="00A896"/>
          <w:sz w:val="21"/>
          <w:szCs w:val="21"/>
        </w:rPr>
        <w:t xml:space="preserve">A: </w:t>
      </w:r>
      <w:r>
        <w:rPr>
          <w:sz w:val="21"/>
          <w:szCs w:val="21"/>
        </w:rPr>
        <w:t xml:space="preserve">Enterprise-shaped, not yet certified. Two concrete blockers: PingFederate/SSO has an admin configuration contract but no complete end-to-end login/callback/logout flow, and no formal security review or penetration test has been performed. Live certification of SQL Server, Oracle, Teradata, and BigQuery beyond the local SQL Server Express demo is also still open.</w:t>
      </w:r>
    </w:p>
    <w:p>
      <w:pPr>
        <w:spacing w:after="60" w:before="180"/>
      </w:pPr>
      <w:r>
        <w:rPr>
          <w:b/>
          <w:bCs/>
          <w:color w:val="1E2761"/>
          <w:sz w:val="22"/>
          <w:szCs w:val="22"/>
        </w:rPr>
        <w:t xml:space="preserve">Q: </w:t>
      </w:r>
      <w:r>
        <w:rPr>
          <w:b/>
          <w:bCs/>
          <w:sz w:val="22"/>
          <w:szCs w:val="22"/>
        </w:rPr>
        <w:t xml:space="preserve">Is it actually scalable?</w:t>
      </w:r>
    </w:p>
    <w:p>
      <w:pPr>
        <w:spacing w:after="160"/>
      </w:pPr>
      <w:r>
        <w:rPr>
          <w:b/>
          <w:bCs/>
          <w:color w:val="00A896"/>
          <w:sz w:val="21"/>
          <w:szCs w:val="21"/>
        </w:rPr>
        <w:t xml:space="preserve">A: </w:t>
      </w:r>
      <w:r>
        <w:rPr>
          <w:sz w:val="21"/>
          <w:szCs w:val="21"/>
        </w:rPr>
        <w:t xml:space="preserve">Architecturally yes — stateless API and web pods scale via HPA, Temporal workers scale independently of HTTP traffic — but it hasn't been load-tested. There's one specific, documented, unresolved capacity risk: at max replica counts, (8 API + 10 worker) × 8 connections per process = 144 possible Postgres connections against a default max_connections of 100.</w:t>
      </w:r>
    </w:p>
    <w:p>
      <w:pPr>
        <w:spacing w:after="60" w:before="180"/>
      </w:pPr>
      <w:r>
        <w:rPr>
          <w:b/>
          <w:bCs/>
          <w:color w:val="1E2761"/>
          <w:sz w:val="22"/>
          <w:szCs w:val="22"/>
        </w:rPr>
        <w:t xml:space="preserve">Q: </w:t>
      </w:r>
      <w:r>
        <w:rPr>
          <w:b/>
          <w:bCs/>
          <w:sz w:val="22"/>
          <w:szCs w:val="22"/>
        </w:rPr>
        <w:t xml:space="preserve">Why isn't there a demo video or screenshots yet?</w:t>
      </w:r>
    </w:p>
    <w:p>
      <w:pPr>
        <w:spacing w:after="160"/>
      </w:pPr>
      <w:r>
        <w:rPr>
          <w:b/>
          <w:bCs/>
          <w:color w:val="00A896"/>
          <w:sz w:val="21"/>
          <w:szCs w:val="21"/>
        </w:rPr>
        <w:t xml:space="preserve">A: </w:t>
      </w:r>
      <w:r>
        <w:rPr>
          <w:sz w:val="21"/>
          <w:szCs w:val="21"/>
        </w:rPr>
        <w:t xml:space="preserve">Because there genuinely weren't any until this session — docs/videos held only a placeholder and docs/screenshots was empty. The Demo Storyboard we just walked through is exactly the script used to close that gap, right after this presentation.</w:t>
      </w:r>
    </w:p>
    <w:p>
      <w:pPr>
        <w:spacing w:after="60" w:before="180"/>
      </w:pPr>
      <w:r>
        <w:rPr>
          <w:b/>
          <w:bCs/>
          <w:color w:val="1E2761"/>
          <w:sz w:val="22"/>
          <w:szCs w:val="22"/>
        </w:rPr>
        <w:t xml:space="preserve">Q: </w:t>
      </w:r>
      <w:r>
        <w:rPr>
          <w:b/>
          <w:bCs/>
          <w:sz w:val="22"/>
          <w:szCs w:val="22"/>
        </w:rPr>
        <w:t xml:space="preserve">How current and trustworthy is the status matrix you just showed us?</w:t>
      </w:r>
    </w:p>
    <w:p>
      <w:pPr>
        <w:spacing w:after="160"/>
      </w:pPr>
      <w:r>
        <w:rPr>
          <w:b/>
          <w:bCs/>
          <w:color w:val="00A896"/>
          <w:sz w:val="21"/>
          <w:szCs w:val="21"/>
        </w:rPr>
        <w:t xml:space="preserve">A: </w:t>
      </w:r>
      <w:r>
        <w:rPr>
          <w:sz w:val="21"/>
          <w:szCs w:val="21"/>
        </w:rPr>
        <w:t xml:space="preserve">It's reconciled directly against the running code — 170 endpoints, 46 tables, 20 frontend modules — not against prior documentation or commit messages, most recently on August 8, 2026. The backend test suite (56/56) was independently re-run, and the frontend build was independently verified, as part of that reconciliation.</w:t>
      </w:r>
    </w:p>
    <w:p>
      <w:pPr>
        <w:spacing w:after="60" w:before="180"/>
      </w:pPr>
      <w:r>
        <w:rPr>
          <w:b/>
          <w:bCs/>
          <w:color w:val="1E2761"/>
          <w:sz w:val="22"/>
          <w:szCs w:val="22"/>
        </w:rPr>
        <w:t xml:space="preserve">Q: </w:t>
      </w:r>
      <w:r>
        <w:rPr>
          <w:b/>
          <w:bCs/>
          <w:sz w:val="22"/>
          <w:szCs w:val="22"/>
        </w:rPr>
        <w:t xml:space="preserve">What's the single biggest risk before this goes in front of a real customer?</w:t>
      </w:r>
    </w:p>
    <w:p>
      <w:pPr>
        <w:spacing w:after="160"/>
      </w:pPr>
      <w:r>
        <w:rPr>
          <w:b/>
          <w:bCs/>
          <w:color w:val="00A896"/>
          <w:sz w:val="21"/>
          <w:szCs w:val="21"/>
        </w:rPr>
        <w:t xml:space="preserve">A: </w:t>
      </w:r>
      <w:r>
        <w:rPr>
          <w:sz w:val="21"/>
          <w:szCs w:val="21"/>
        </w:rPr>
        <w:t xml:space="preserve">Depends on the audience: for demo credibility, it was the missing video/screenshots — fixed by this session. For enterprise credibility, it's SSO completion and a real security review. Pick whichever framing fits the question.</w:t>
      </w:r>
    </w:p>
    <w:p>
      <w:pPr>
        <w:spacing w:after="60" w:before="180"/>
      </w:pPr>
      <w:r>
        <w:rPr>
          <w:b/>
          <w:bCs/>
          <w:color w:val="1E2761"/>
          <w:sz w:val="22"/>
          <w:szCs w:val="22"/>
        </w:rPr>
        <w:t xml:space="preserve">Q: </w:t>
      </w:r>
      <w:r>
        <w:rPr>
          <w:b/>
          <w:bCs/>
          <w:sz w:val="22"/>
          <w:szCs w:val="22"/>
        </w:rPr>
        <w:t xml:space="preserve">If RBAC and production hardening are only partial, is it safe to demo today?</w:t>
      </w:r>
    </w:p>
    <w:p>
      <w:pPr>
        <w:spacing w:after="160"/>
      </w:pPr>
      <w:r>
        <w:rPr>
          <w:b/>
          <w:bCs/>
          <w:color w:val="00A896"/>
          <w:sz w:val="21"/>
          <w:szCs w:val="21"/>
        </w:rPr>
        <w:t xml:space="preserve">A: </w:t>
      </w:r>
      <w:r>
        <w:rPr>
          <w:sz w:val="21"/>
          <w:szCs w:val="21"/>
        </w:rPr>
        <w:t xml:space="preserve">Yes, for a local/demo environment — the read-only enforcement, approval gates, and audit trail are real and independently verified. The partial items (RBAC coverage, NetworkPolicy, DR drills) are about production-scale, multi-tenant hardening, not about the guardrails a demo audience would be testing.</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abstractNum w:abstractNumId="3" w15:restartNumberingAfterBreak="0">
    <w:multiLevelType w:val="hybridMultilevel"/>
    <w:lvl w:ilvl="0" w15:tentative="1">
      <w:start w:val="1"/>
      <w:numFmt w:val="decimal"/>
      <w:lvlText w:val="%1."/>
      <w:lvlJc w:val="left"/>
      <w:pPr>
        <w:ind w:left="460" w:hanging="316"/>
      </w:pPr>
    </w:lvl>
  </w:abstractNum>
  <w:abstractNum w:abstractNumId="4" w15:restartNumberingAfterBreak="0">
    <w:multiLevelType w:val="hybridMultilevel"/>
    <w:lvl w:ilvl="0" w15:tentative="1">
      <w:start w:val="1"/>
      <w:numFmt w:val="decimal"/>
      <w:lvlText w:val="%1."/>
      <w:lvlJc w:val="left"/>
      <w:pPr>
        <w:ind w:left="460" w:hanging="316"/>
      </w:pPr>
    </w:lvl>
  </w:abstractNum>
  <w:abstractNum w:abstractNumId="5" w15:restartNumberingAfterBreak="0">
    <w:multiLevelType w:val="hybridMultilevel"/>
    <w:lvl w:ilvl="0" w15:tentative="1">
      <w:start w:val="1"/>
      <w:numFmt w:val="decimal"/>
      <w:lvlText w:val="%1."/>
      <w:lvlJc w:val="left"/>
      <w:pPr>
        <w:ind w:left="460" w:hanging="316"/>
      </w:pPr>
    </w:lvl>
  </w:abstractNum>
  <w:abstractNum w:abstractNumId="6" w15:restartNumberingAfterBreak="0">
    <w:multiLevelType w:val="hybridMultilevel"/>
    <w:lvl w:ilvl="0" w15:tentative="1">
      <w:start w:val="1"/>
      <w:numFmt w:val="decimal"/>
      <w:lvlText w:val="%1."/>
      <w:lvlJc w:val="left"/>
      <w:pPr>
        <w:ind w:left="460" w:hanging="316"/>
      </w:pPr>
    </w:lvl>
  </w:abstractNum>
  <w:abstractNum w:abstractNumId="7" w15:restartNumberingAfterBreak="0">
    <w:multiLevelType w:val="hybridMultilevel"/>
    <w:lvl w:ilvl="0" w15:tentative="1">
      <w:start w:val="1"/>
      <w:numFmt w:val="decimal"/>
      <w:lvlText w:val="%1."/>
      <w:lvlJc w:val="left"/>
      <w:pPr>
        <w:ind w:left="460" w:hanging="316"/>
      </w:pPr>
    </w:lvl>
  </w:abstractNum>
  <w:abstractNum w:abstractNumId="8" w15:restartNumberingAfterBreak="0">
    <w:multiLevelType w:val="hybridMultilevel"/>
    <w:lvl w:ilvl="0" w15:tentative="1">
      <w:start w:val="1"/>
      <w:numFmt w:val="decimal"/>
      <w:lvlText w:val="%1."/>
      <w:lvlJc w:val="left"/>
      <w:pPr>
        <w:ind w:left="460" w:hanging="316"/>
      </w:pPr>
    </w:lvl>
  </w:abstractNum>
  <w:abstractNum w:abstractNumId="9" w15:restartNumberingAfterBreak="0">
    <w:multiLevelType w:val="hybridMultilevel"/>
    <w:lvl w:ilvl="0" w15:tentative="1">
      <w:start w:val="1"/>
      <w:numFmt w:val="decimal"/>
      <w:lvlText w:val="%1."/>
      <w:lvlJc w:val="left"/>
      <w:pPr>
        <w:ind w:left="460" w:hanging="316"/>
      </w:pPr>
    </w:lvl>
  </w:abstractNum>
  <w:abstractNum w:abstractNumId="10" w15:restartNumberingAfterBreak="0">
    <w:multiLevelType w:val="hybridMultilevel"/>
    <w:lvl w:ilvl="0" w15:tentative="1">
      <w:start w:val="1"/>
      <w:numFmt w:val="decimal"/>
      <w:lvlText w:val="%1."/>
      <w:lvlJc w:val="left"/>
      <w:pPr>
        <w:ind w:left="460" w:hanging="316"/>
      </w:pPr>
    </w:lvl>
  </w:abstractNum>
  <w:abstractNum w:abstractNumId="11"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Cambria" w:cs="Cambria" w:eastAsia="Cambria" w:hAnsi="Cambria"/>
      <w:b/>
      <w:bCs/>
      <w:color w:val="1E2761"/>
      <w:sz w:val="32"/>
      <w:szCs w:val="32"/>
    </w:rPr>
  </w:style>
  <w:style w:type="paragraph" w:styleId="Heading2">
    <w:name w:val="Heading 2"/>
    <w:basedOn w:val="Normal"/>
    <w:next w:val="Normal"/>
    <w:rPr>
      <w:rFonts w:ascii="Cambria" w:cs="Cambria" w:eastAsia="Cambria" w:hAnsi="Cambria"/>
      <w:b/>
      <w:bCs/>
      <w:color w:val="1E2761"/>
      <w:sz w:val="26"/>
      <w:szCs w:val="26"/>
    </w:rPr>
  </w:style>
  <w:style w:type="paragraph" w:styleId="Heading3">
    <w:name w:val="Heading 3"/>
    <w:basedOn w:val="Normal"/>
    <w:next w:val="Normal"/>
    <w:rPr>
      <w:rFonts w:ascii="Calibri" w:cs="Calibri" w:eastAsia="Calibri" w:hAnsi="Calibri"/>
      <w:b/>
      <w:bCs/>
      <w:color w:val="00A8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2026-08-09T02:32:31.504Z</dcterms:created>
  <dcterms:modified xsi:type="dcterms:W3CDTF">2026-08-09T02:32:31.504Z</dcterms:modified>
</cp:coreProperties>
</file>

<file path=docProps/custom.xml><?xml version="1.0" encoding="utf-8"?>
<Properties xmlns="http://schemas.openxmlformats.org/officeDocument/2006/custom-properties" xmlns:vt="http://schemas.openxmlformats.org/officeDocument/2006/docPropsVTypes"/>
</file>