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69BA1" w14:textId="77777777" w:rsidR="00182827" w:rsidRPr="00916578" w:rsidRDefault="00182827" w:rsidP="00916578">
      <w:pPr>
        <w:spacing w:line="360" w:lineRule="auto"/>
        <w:jc w:val="center"/>
        <w:rPr>
          <w:rFonts w:ascii="Times New Roman" w:hAnsi="Times New Roman" w:cs="Times New Roman"/>
          <w:b/>
          <w:bCs/>
        </w:rPr>
      </w:pPr>
    </w:p>
    <w:p w14:paraId="7E72F356" w14:textId="77777777" w:rsidR="00182827" w:rsidRPr="00916578" w:rsidRDefault="00182827" w:rsidP="00916578">
      <w:pPr>
        <w:spacing w:line="360" w:lineRule="auto"/>
        <w:jc w:val="center"/>
        <w:rPr>
          <w:rFonts w:ascii="Times New Roman" w:hAnsi="Times New Roman" w:cs="Times New Roman"/>
          <w:b/>
          <w:bCs/>
        </w:rPr>
      </w:pPr>
    </w:p>
    <w:p w14:paraId="3C07BE5F" w14:textId="77777777" w:rsidR="00182827" w:rsidRPr="00916578" w:rsidRDefault="00182827" w:rsidP="00916578">
      <w:pPr>
        <w:spacing w:line="360" w:lineRule="auto"/>
        <w:jc w:val="center"/>
        <w:rPr>
          <w:rFonts w:ascii="Times New Roman" w:hAnsi="Times New Roman" w:cs="Times New Roman"/>
          <w:b/>
          <w:bCs/>
        </w:rPr>
      </w:pPr>
    </w:p>
    <w:p w14:paraId="5946B3A1" w14:textId="1AEE1E29" w:rsidR="00182827" w:rsidRPr="00916578" w:rsidRDefault="00182827" w:rsidP="00916578">
      <w:pPr>
        <w:spacing w:line="360" w:lineRule="auto"/>
        <w:jc w:val="center"/>
        <w:rPr>
          <w:rFonts w:ascii="Times New Roman" w:hAnsi="Times New Roman" w:cs="Times New Roman"/>
          <w:b/>
          <w:bCs/>
        </w:rPr>
      </w:pPr>
      <w:r w:rsidRPr="00916578">
        <w:rPr>
          <w:rFonts w:ascii="Times New Roman" w:hAnsi="Times New Roman" w:cs="Times New Roman"/>
          <w:b/>
          <w:bCs/>
        </w:rPr>
        <w:t>Question 2 — United Airlines</w:t>
      </w:r>
    </w:p>
    <w:p w14:paraId="296B71B5" w14:textId="77777777" w:rsidR="00182827" w:rsidRPr="00916578" w:rsidRDefault="00182827" w:rsidP="00916578">
      <w:pPr>
        <w:spacing w:line="360" w:lineRule="auto"/>
        <w:jc w:val="center"/>
        <w:rPr>
          <w:rFonts w:ascii="Times New Roman" w:hAnsi="Times New Roman" w:cs="Times New Roman"/>
          <w:b/>
          <w:bCs/>
        </w:rPr>
      </w:pPr>
    </w:p>
    <w:p w14:paraId="0AE9CF1D" w14:textId="77777777" w:rsidR="00182827" w:rsidRPr="00916578" w:rsidRDefault="00182827" w:rsidP="00916578">
      <w:pPr>
        <w:spacing w:line="360" w:lineRule="auto"/>
        <w:jc w:val="center"/>
        <w:rPr>
          <w:rFonts w:ascii="Times New Roman" w:hAnsi="Times New Roman" w:cs="Times New Roman"/>
          <w:b/>
          <w:bCs/>
        </w:rPr>
      </w:pPr>
    </w:p>
    <w:p w14:paraId="1AB4AD83" w14:textId="77777777" w:rsidR="00182827" w:rsidRPr="00916578" w:rsidRDefault="00182827" w:rsidP="00916578">
      <w:pPr>
        <w:spacing w:line="360" w:lineRule="auto"/>
        <w:jc w:val="center"/>
        <w:rPr>
          <w:rFonts w:ascii="Times New Roman" w:hAnsi="Times New Roman" w:cs="Times New Roman"/>
          <w:b/>
          <w:bCs/>
        </w:rPr>
      </w:pPr>
    </w:p>
    <w:p w14:paraId="08661796" w14:textId="77777777" w:rsidR="00182827" w:rsidRPr="00916578" w:rsidRDefault="00182827" w:rsidP="00916578">
      <w:pPr>
        <w:spacing w:line="360" w:lineRule="auto"/>
        <w:jc w:val="center"/>
        <w:rPr>
          <w:rFonts w:ascii="Times New Roman" w:hAnsi="Times New Roman" w:cs="Times New Roman"/>
        </w:rPr>
      </w:pPr>
      <w:r w:rsidRPr="00916578">
        <w:rPr>
          <w:rFonts w:ascii="Times New Roman" w:hAnsi="Times New Roman" w:cs="Times New Roman"/>
        </w:rPr>
        <w:t>Your full name:</w:t>
      </w:r>
    </w:p>
    <w:p w14:paraId="4FA37EC7" w14:textId="77777777" w:rsidR="00182827" w:rsidRPr="00916578" w:rsidRDefault="00182827" w:rsidP="00916578">
      <w:pPr>
        <w:spacing w:line="360" w:lineRule="auto"/>
        <w:jc w:val="center"/>
        <w:rPr>
          <w:rFonts w:ascii="Times New Roman" w:hAnsi="Times New Roman" w:cs="Times New Roman"/>
        </w:rPr>
      </w:pPr>
      <w:r w:rsidRPr="00916578">
        <w:rPr>
          <w:rFonts w:ascii="Times New Roman" w:hAnsi="Times New Roman" w:cs="Times New Roman"/>
        </w:rPr>
        <w:t>School:</w:t>
      </w:r>
    </w:p>
    <w:p w14:paraId="4E43755A" w14:textId="77777777" w:rsidR="00182827" w:rsidRPr="00916578" w:rsidRDefault="00182827" w:rsidP="00916578">
      <w:pPr>
        <w:spacing w:line="360" w:lineRule="auto"/>
        <w:jc w:val="center"/>
        <w:rPr>
          <w:rFonts w:ascii="Times New Roman" w:hAnsi="Times New Roman" w:cs="Times New Roman"/>
        </w:rPr>
      </w:pPr>
      <w:r w:rsidRPr="00916578">
        <w:rPr>
          <w:rFonts w:ascii="Times New Roman" w:hAnsi="Times New Roman" w:cs="Times New Roman"/>
        </w:rPr>
        <w:t>Course code &amp; name:</w:t>
      </w:r>
    </w:p>
    <w:p w14:paraId="0CF9EE77" w14:textId="77777777" w:rsidR="00182827" w:rsidRPr="00916578" w:rsidRDefault="00182827" w:rsidP="00916578">
      <w:pPr>
        <w:spacing w:line="360" w:lineRule="auto"/>
        <w:jc w:val="center"/>
        <w:rPr>
          <w:rFonts w:ascii="Times New Roman" w:hAnsi="Times New Roman" w:cs="Times New Roman"/>
        </w:rPr>
      </w:pPr>
      <w:r w:rsidRPr="00916578">
        <w:rPr>
          <w:rFonts w:ascii="Times New Roman" w:hAnsi="Times New Roman" w:cs="Times New Roman"/>
        </w:rPr>
        <w:t>Instructor:</w:t>
      </w:r>
    </w:p>
    <w:p w14:paraId="6D69BEFC" w14:textId="6B3E0CDE" w:rsidR="00182827" w:rsidRPr="00916578" w:rsidRDefault="00182827" w:rsidP="00916578">
      <w:pPr>
        <w:spacing w:line="360" w:lineRule="auto"/>
        <w:jc w:val="center"/>
        <w:rPr>
          <w:rFonts w:ascii="Times New Roman" w:hAnsi="Times New Roman" w:cs="Times New Roman"/>
        </w:rPr>
      </w:pPr>
      <w:r w:rsidRPr="00916578">
        <w:rPr>
          <w:rFonts w:ascii="Times New Roman" w:hAnsi="Times New Roman" w:cs="Times New Roman"/>
        </w:rPr>
        <w:t>Due date:</w:t>
      </w:r>
    </w:p>
    <w:p w14:paraId="3C664FB6" w14:textId="77777777" w:rsidR="00182827" w:rsidRPr="00916578" w:rsidRDefault="00182827" w:rsidP="00916578">
      <w:pPr>
        <w:spacing w:line="360" w:lineRule="auto"/>
        <w:rPr>
          <w:rFonts w:ascii="Times New Roman" w:hAnsi="Times New Roman" w:cs="Times New Roman"/>
          <w:b/>
          <w:bCs/>
        </w:rPr>
      </w:pPr>
    </w:p>
    <w:p w14:paraId="320C67D2" w14:textId="77777777" w:rsidR="00182827" w:rsidRPr="00916578" w:rsidRDefault="00182827" w:rsidP="00916578">
      <w:pPr>
        <w:spacing w:line="360" w:lineRule="auto"/>
        <w:rPr>
          <w:rFonts w:ascii="Times New Roman" w:hAnsi="Times New Roman" w:cs="Times New Roman"/>
          <w:b/>
          <w:bCs/>
        </w:rPr>
      </w:pPr>
    </w:p>
    <w:p w14:paraId="5B1C8CCA" w14:textId="77777777" w:rsidR="00182827" w:rsidRPr="00916578" w:rsidRDefault="00182827" w:rsidP="00916578">
      <w:pPr>
        <w:spacing w:line="360" w:lineRule="auto"/>
        <w:rPr>
          <w:rFonts w:ascii="Times New Roman" w:hAnsi="Times New Roman" w:cs="Times New Roman"/>
          <w:b/>
          <w:bCs/>
        </w:rPr>
      </w:pPr>
    </w:p>
    <w:p w14:paraId="71AC650A" w14:textId="77777777" w:rsidR="00182827" w:rsidRPr="00916578" w:rsidRDefault="00182827" w:rsidP="00916578">
      <w:pPr>
        <w:spacing w:line="360" w:lineRule="auto"/>
        <w:rPr>
          <w:rFonts w:ascii="Times New Roman" w:hAnsi="Times New Roman" w:cs="Times New Roman"/>
          <w:b/>
          <w:bCs/>
        </w:rPr>
      </w:pPr>
    </w:p>
    <w:p w14:paraId="76A4E597" w14:textId="77777777" w:rsidR="00182827" w:rsidRPr="00916578" w:rsidRDefault="00182827" w:rsidP="00916578">
      <w:pPr>
        <w:spacing w:line="360" w:lineRule="auto"/>
        <w:rPr>
          <w:rFonts w:ascii="Times New Roman" w:hAnsi="Times New Roman" w:cs="Times New Roman"/>
          <w:b/>
          <w:bCs/>
        </w:rPr>
      </w:pPr>
    </w:p>
    <w:p w14:paraId="01A5CD3C" w14:textId="77777777" w:rsidR="00182827" w:rsidRPr="00916578" w:rsidRDefault="00182827" w:rsidP="00916578">
      <w:pPr>
        <w:spacing w:line="360" w:lineRule="auto"/>
        <w:rPr>
          <w:rFonts w:ascii="Times New Roman" w:hAnsi="Times New Roman" w:cs="Times New Roman"/>
          <w:b/>
          <w:bCs/>
        </w:rPr>
      </w:pPr>
    </w:p>
    <w:p w14:paraId="4E4A4DAF" w14:textId="77777777" w:rsidR="00182827" w:rsidRPr="00916578" w:rsidRDefault="00182827" w:rsidP="00916578">
      <w:pPr>
        <w:spacing w:line="360" w:lineRule="auto"/>
        <w:rPr>
          <w:rFonts w:ascii="Times New Roman" w:hAnsi="Times New Roman" w:cs="Times New Roman"/>
          <w:b/>
          <w:bCs/>
        </w:rPr>
      </w:pPr>
    </w:p>
    <w:p w14:paraId="0B784E5F" w14:textId="77777777" w:rsidR="00182827" w:rsidRPr="00916578" w:rsidRDefault="00182827" w:rsidP="00916578">
      <w:pPr>
        <w:spacing w:line="360" w:lineRule="auto"/>
        <w:rPr>
          <w:rFonts w:ascii="Times New Roman" w:hAnsi="Times New Roman" w:cs="Times New Roman"/>
          <w:b/>
          <w:bCs/>
        </w:rPr>
      </w:pPr>
    </w:p>
    <w:p w14:paraId="7B49AC82" w14:textId="77777777" w:rsidR="00182827" w:rsidRPr="00916578" w:rsidRDefault="00182827" w:rsidP="00916578">
      <w:pPr>
        <w:spacing w:line="360" w:lineRule="auto"/>
        <w:rPr>
          <w:rFonts w:ascii="Times New Roman" w:hAnsi="Times New Roman" w:cs="Times New Roman"/>
          <w:b/>
          <w:bCs/>
        </w:rPr>
      </w:pPr>
    </w:p>
    <w:p w14:paraId="302754F1" w14:textId="77777777" w:rsidR="00182827" w:rsidRDefault="00182827" w:rsidP="00916578">
      <w:pPr>
        <w:spacing w:line="360" w:lineRule="auto"/>
        <w:rPr>
          <w:rFonts w:ascii="Times New Roman" w:hAnsi="Times New Roman" w:cs="Times New Roman"/>
          <w:b/>
          <w:bCs/>
        </w:rPr>
      </w:pPr>
    </w:p>
    <w:p w14:paraId="3F2D8F14" w14:textId="77777777" w:rsidR="00916578" w:rsidRPr="00916578" w:rsidRDefault="00916578" w:rsidP="00916578">
      <w:pPr>
        <w:spacing w:line="360" w:lineRule="auto"/>
        <w:rPr>
          <w:rFonts w:ascii="Times New Roman" w:hAnsi="Times New Roman" w:cs="Times New Roman"/>
          <w:b/>
          <w:bCs/>
        </w:rPr>
      </w:pPr>
    </w:p>
    <w:p w14:paraId="29EF979C" w14:textId="77777777" w:rsidR="00182827" w:rsidRPr="00916578" w:rsidRDefault="00182827" w:rsidP="00916578">
      <w:pPr>
        <w:spacing w:line="360" w:lineRule="auto"/>
        <w:rPr>
          <w:rFonts w:ascii="Times New Roman" w:hAnsi="Times New Roman" w:cs="Times New Roman"/>
          <w:b/>
          <w:bCs/>
        </w:rPr>
      </w:pPr>
    </w:p>
    <w:p w14:paraId="376DABB5" w14:textId="5190D6B6" w:rsidR="00EC0AF9" w:rsidRPr="00916578" w:rsidRDefault="00EC0AF9" w:rsidP="00916578">
      <w:pPr>
        <w:spacing w:line="360" w:lineRule="auto"/>
        <w:rPr>
          <w:rFonts w:ascii="Times New Roman" w:hAnsi="Times New Roman" w:cs="Times New Roman"/>
          <w:b/>
          <w:bCs/>
        </w:rPr>
      </w:pPr>
      <w:r w:rsidRPr="00916578">
        <w:rPr>
          <w:rFonts w:ascii="Times New Roman" w:hAnsi="Times New Roman" w:cs="Times New Roman"/>
          <w:b/>
          <w:bCs/>
        </w:rPr>
        <w:lastRenderedPageBreak/>
        <w:t>Question 2(</w:t>
      </w:r>
      <w:proofErr w:type="spellStart"/>
      <w:r w:rsidRPr="00916578">
        <w:rPr>
          <w:rFonts w:ascii="Times New Roman" w:hAnsi="Times New Roman" w:cs="Times New Roman"/>
          <w:b/>
          <w:bCs/>
        </w:rPr>
        <w:t>i</w:t>
      </w:r>
      <w:proofErr w:type="spellEnd"/>
      <w:r w:rsidRPr="00916578">
        <w:rPr>
          <w:rFonts w:ascii="Times New Roman" w:hAnsi="Times New Roman" w:cs="Times New Roman"/>
          <w:b/>
          <w:bCs/>
        </w:rPr>
        <w:t xml:space="preserve">) Earnings-at-Risk: Concept, Risk and Distinction to </w:t>
      </w:r>
      <w:r w:rsidR="00916578" w:rsidRPr="00916578">
        <w:rPr>
          <w:rFonts w:ascii="Times New Roman" w:hAnsi="Times New Roman" w:cs="Times New Roman"/>
          <w:b/>
          <w:bCs/>
        </w:rPr>
        <w:t>VaR (</w:t>
      </w:r>
      <w:r w:rsidRPr="00916578">
        <w:rPr>
          <w:rFonts w:ascii="Times New Roman" w:hAnsi="Times New Roman" w:cs="Times New Roman"/>
          <w:b/>
          <w:bCs/>
        </w:rPr>
        <w:t>200 words)</w:t>
      </w:r>
    </w:p>
    <w:p w14:paraId="501F511F" w14:textId="26BFA612" w:rsidR="00EC0AF9" w:rsidRPr="00916578" w:rsidRDefault="00EC0AF9" w:rsidP="00916578">
      <w:pPr>
        <w:spacing w:line="360" w:lineRule="auto"/>
        <w:ind w:firstLine="720"/>
        <w:rPr>
          <w:rFonts w:ascii="Times New Roman" w:hAnsi="Times New Roman" w:cs="Times New Roman"/>
        </w:rPr>
      </w:pPr>
      <w:r w:rsidRPr="00916578">
        <w:rPr>
          <w:rFonts w:ascii="Times New Roman" w:hAnsi="Times New Roman" w:cs="Times New Roman"/>
        </w:rPr>
        <w:t>Earnings-at-Risk (EaR) is a statistical risk measure that measures the maximum total loss in the earnings of a firm, which is commonly EBITDA or net income, over a period of time at a given level of confidence</w:t>
      </w:r>
      <w:r w:rsidR="00916578">
        <w:rPr>
          <w:rFonts w:ascii="Times New Roman" w:hAnsi="Times New Roman" w:cs="Times New Roman"/>
        </w:rPr>
        <w:t xml:space="preserve"> (MORS Software, 2025)</w:t>
      </w:r>
      <w:r w:rsidRPr="00916578">
        <w:rPr>
          <w:rFonts w:ascii="Times New Roman" w:hAnsi="Times New Roman" w:cs="Times New Roman"/>
        </w:rPr>
        <w:t>. It is responding to the question: considering the volatility of earnings historically, what is the worst performance of earnings that is reasonably expected to occur during a particular year? EaR documents business and operational risks that directly impact on the income statement</w:t>
      </w:r>
      <w:r w:rsidR="00366DB1">
        <w:rPr>
          <w:rFonts w:ascii="Times New Roman" w:hAnsi="Times New Roman" w:cs="Times New Roman"/>
        </w:rPr>
        <w:t xml:space="preserve"> (Ebrary, </w:t>
      </w:r>
      <w:proofErr w:type="spellStart"/>
      <w:r w:rsidR="00366DB1">
        <w:rPr>
          <w:rFonts w:ascii="Times New Roman" w:hAnsi="Times New Roman" w:cs="Times New Roman"/>
        </w:rPr>
        <w:t>n.d</w:t>
      </w:r>
      <w:proofErr w:type="spellEnd"/>
      <w:r w:rsidR="00366DB1">
        <w:rPr>
          <w:rFonts w:ascii="Times New Roman" w:hAnsi="Times New Roman" w:cs="Times New Roman"/>
        </w:rPr>
        <w:t>)</w:t>
      </w:r>
      <w:r w:rsidRPr="00916578">
        <w:rPr>
          <w:rFonts w:ascii="Times New Roman" w:hAnsi="Times New Roman" w:cs="Times New Roman"/>
        </w:rPr>
        <w:t>. In the case of an airline like United Airlines, these are volatility in jet fuel prices, risk of revenue due to change in passenger demand, exposure to foreign currency risk in foreign routes and macroeconomic shocks like recession or global pandemic. EaR is conceptually distinct to Value-at-Risk (VaR), which quantifies the maximum possible loss in the market worth of a financial portfolio within a limited time frame 1-10 trading days -and which financial institutions use to address trading-book exposures of liquid instruments. EaR has a longer annual horizon of operation and is not concerned with the changes in portfolio values but the volatility of the income statement and is therefore much more appropriate to non-financial corporations</w:t>
      </w:r>
      <w:r w:rsidR="00366DB1">
        <w:rPr>
          <w:rFonts w:ascii="Times New Roman" w:hAnsi="Times New Roman" w:cs="Times New Roman"/>
        </w:rPr>
        <w:t xml:space="preserve"> (ALMIS international, 2024)</w:t>
      </w:r>
      <w:r w:rsidRPr="00916578">
        <w:rPr>
          <w:rFonts w:ascii="Times New Roman" w:hAnsi="Times New Roman" w:cs="Times New Roman"/>
        </w:rPr>
        <w:t>.</w:t>
      </w:r>
    </w:p>
    <w:p w14:paraId="5647CA7D" w14:textId="0016EF11" w:rsidR="00EC0AF9" w:rsidRPr="00916578" w:rsidRDefault="00EC0AF9" w:rsidP="00916578">
      <w:pPr>
        <w:spacing w:line="360" w:lineRule="auto"/>
        <w:rPr>
          <w:rFonts w:ascii="Times New Roman" w:hAnsi="Times New Roman" w:cs="Times New Roman"/>
          <w:b/>
          <w:bCs/>
        </w:rPr>
      </w:pPr>
      <w:r w:rsidRPr="00916578">
        <w:rPr>
          <w:rFonts w:ascii="Times New Roman" w:hAnsi="Times New Roman" w:cs="Times New Roman"/>
          <w:b/>
          <w:bCs/>
        </w:rPr>
        <w:t>Question 2(ii) - United Airlines EBITDA Trends: 2016-2025</w:t>
      </w:r>
      <w:r w:rsidR="009A0F7C" w:rsidRPr="00916578">
        <w:rPr>
          <w:rFonts w:ascii="Times New Roman" w:hAnsi="Times New Roman" w:cs="Times New Roman"/>
          <w:b/>
          <w:bCs/>
        </w:rPr>
        <w:t xml:space="preserve"> </w:t>
      </w:r>
      <w:r w:rsidRPr="00916578">
        <w:rPr>
          <w:rFonts w:ascii="Times New Roman" w:hAnsi="Times New Roman" w:cs="Times New Roman"/>
          <w:b/>
          <w:bCs/>
        </w:rPr>
        <w:t>(270 words)</w:t>
      </w:r>
    </w:p>
    <w:p w14:paraId="7C9C2B93" w14:textId="068DB7BA" w:rsidR="00EC0AF9" w:rsidRPr="00916578" w:rsidRDefault="00EC0AF9" w:rsidP="00916578">
      <w:pPr>
        <w:spacing w:line="360" w:lineRule="auto"/>
        <w:ind w:firstLine="720"/>
        <w:rPr>
          <w:rFonts w:ascii="Times New Roman" w:hAnsi="Times New Roman" w:cs="Times New Roman"/>
        </w:rPr>
      </w:pPr>
      <w:r w:rsidRPr="00916578">
        <w:rPr>
          <w:rFonts w:ascii="Times New Roman" w:hAnsi="Times New Roman" w:cs="Times New Roman"/>
        </w:rPr>
        <w:t>The EBITDA data of United Airlines, which is available in the annual reports, including SEC 10-Q quarterly reports</w:t>
      </w:r>
      <w:r w:rsidR="00366DB1">
        <w:rPr>
          <w:rFonts w:ascii="Times New Roman" w:hAnsi="Times New Roman" w:cs="Times New Roman"/>
        </w:rPr>
        <w:t xml:space="preserve"> (United Airlines Holdings, 2016-2025)</w:t>
      </w:r>
      <w:r w:rsidRPr="00916578">
        <w:rPr>
          <w:rFonts w:ascii="Times New Roman" w:hAnsi="Times New Roman" w:cs="Times New Roman"/>
        </w:rPr>
        <w:t>, indicates that there are three performance periods during the 2016-2025 timeframe. Annual EBITDA figures (USD millions) are: 2016: $6,315m; 2017: $5,647m; 2018: $5,532m; 2019: $6,589m; 2020: −$3,871m; 2021: $1,463m; 2022: $4,793m; 2023: $6,882m; 2024: $8,024m; 2025: $7,652m. The stable earnings experienced between 2016 and 2019 were marked by the following characteristics: EBITDA being between $5,532m to 6,589m, passenger demand being high, capacity management being disciplined, and favourable competition environment</w:t>
      </w:r>
      <w:r w:rsidR="00366DB1">
        <w:rPr>
          <w:rFonts w:ascii="Times New Roman" w:hAnsi="Times New Roman" w:cs="Times New Roman"/>
        </w:rPr>
        <w:t xml:space="preserve"> (United Airlines Holdings, 2016-2025)</w:t>
      </w:r>
      <w:r w:rsidRPr="00916578">
        <w:rPr>
          <w:rFonts w:ascii="Times New Roman" w:hAnsi="Times New Roman" w:cs="Times New Roman"/>
        </w:rPr>
        <w:t xml:space="preserve">. The slight drop in earnings in 2017 and 2018 can be explained by the increase in the cost of jet fuel after the partial recovery of world oil prices, as well as by the high costs of labour due to the renegotiated collective bargaining agreements. The recovery to $6,589m achieved in 2019 was due to the strong growth in international routes and better yield management in the cabin classes. The COVID-19 pandemic led to a disastrous decline in earnings in 2020 where annual EBITDA declined to -3,871m - an annual-on-annual decline of 10,460m and the largest shock in the data. The </w:t>
      </w:r>
      <w:r w:rsidRPr="00916578">
        <w:rPr>
          <w:rFonts w:ascii="Times New Roman" w:hAnsi="Times New Roman" w:cs="Times New Roman"/>
        </w:rPr>
        <w:lastRenderedPageBreak/>
        <w:t>unprecedented destruction of demand, and global passenger numbers fell more than 60 percent, made profitable operations impossible, even with partial CARES Act payroll support. In 2021, recovery was low at $1,463m with corporate and international travel still trailing domestic leisure demand. Since 2022, United Airlines began a lengthy recovery curve, peaking at a record high of $8,024m in 2024, due to an excess of travel demand, higher premium cabin prices, and the implementation of the United Next fleet growth and network strategy. The low moderation to 7652m in 2025 is an indication of a normalising yield environment and the new cost pressures on the environment as a result of renegotiated labour contracts and continued Boeing and Airbus aircraft delivery delays.</w:t>
      </w:r>
    </w:p>
    <w:p w14:paraId="560FA7BE" w14:textId="0ADE1D25" w:rsidR="00EC0AF9" w:rsidRPr="00916578" w:rsidRDefault="00EC0AF9" w:rsidP="00916578">
      <w:pPr>
        <w:spacing w:line="360" w:lineRule="auto"/>
        <w:rPr>
          <w:rFonts w:ascii="Times New Roman" w:hAnsi="Times New Roman" w:cs="Times New Roman"/>
          <w:b/>
          <w:bCs/>
        </w:rPr>
      </w:pPr>
      <w:r w:rsidRPr="00916578">
        <w:rPr>
          <w:rFonts w:ascii="Times New Roman" w:hAnsi="Times New Roman" w:cs="Times New Roman"/>
          <w:b/>
          <w:bCs/>
        </w:rPr>
        <w:t>Question 2(iv) — Economic Capital: Concept and Risk Coverage</w:t>
      </w:r>
      <w:r w:rsidR="009A0F7C" w:rsidRPr="00916578">
        <w:rPr>
          <w:rFonts w:ascii="Times New Roman" w:hAnsi="Times New Roman" w:cs="Times New Roman"/>
          <w:b/>
          <w:bCs/>
        </w:rPr>
        <w:t xml:space="preserve"> </w:t>
      </w:r>
      <w:r w:rsidRPr="00916578">
        <w:rPr>
          <w:rFonts w:ascii="Times New Roman" w:hAnsi="Times New Roman" w:cs="Times New Roman"/>
          <w:b/>
          <w:bCs/>
        </w:rPr>
        <w:t>(200 words)</w:t>
      </w:r>
    </w:p>
    <w:p w14:paraId="527097F9" w14:textId="6781FA3E" w:rsidR="00EC0AF9" w:rsidRDefault="00EC0AF9" w:rsidP="00916578">
      <w:pPr>
        <w:spacing w:line="360" w:lineRule="auto"/>
        <w:ind w:firstLine="720"/>
        <w:rPr>
          <w:rFonts w:ascii="Times New Roman" w:hAnsi="Times New Roman" w:cs="Times New Roman"/>
        </w:rPr>
      </w:pPr>
      <w:r w:rsidRPr="00916578">
        <w:rPr>
          <w:rFonts w:ascii="Times New Roman" w:hAnsi="Times New Roman" w:cs="Times New Roman"/>
        </w:rPr>
        <w:t>Economic Capital (EC) refers to the quantity of risk capital that a company internally believes that it needs to possess to be financially viable and absorb some unexpected losses at a given level of confidence over a certain period of time</w:t>
      </w:r>
      <w:r w:rsidR="00366DB1">
        <w:rPr>
          <w:rFonts w:ascii="Times New Roman" w:hAnsi="Times New Roman" w:cs="Times New Roman"/>
        </w:rPr>
        <w:t xml:space="preserve"> (</w:t>
      </w:r>
      <w:r w:rsidR="00366DB1" w:rsidRPr="00366DB1">
        <w:rPr>
          <w:rFonts w:ascii="Times New Roman" w:hAnsi="Times New Roman" w:cs="Times New Roman"/>
        </w:rPr>
        <w:t>Brimco, 2025</w:t>
      </w:r>
      <w:r w:rsidR="00366DB1">
        <w:rPr>
          <w:rFonts w:ascii="Times New Roman" w:hAnsi="Times New Roman" w:cs="Times New Roman"/>
        </w:rPr>
        <w:t>)</w:t>
      </w:r>
      <w:r w:rsidRPr="00916578">
        <w:rPr>
          <w:rFonts w:ascii="Times New Roman" w:hAnsi="Times New Roman" w:cs="Times New Roman"/>
        </w:rPr>
        <w:t>. In contrast to regulatory capital, externally set by supervisory authorities, EC is an internal management instrument that is set to the risk profile of the firms that reflect the buffer of equity or liquid reserves required to absorb tail-risk results. EC encompasses the entire gamut of risks that may hurt the financial status of a firm. In the case of a company like United Airlines, these are market risk, which is exposure to the price of jet fuel, interest rates, and foreign exchange moves; credit risk, which is the defaulting of financial instruments and receivables by the counterparty; operational risk, which is losses due to system failures, safety incidents, or regulatory violations; and business risk</w:t>
      </w:r>
      <w:r w:rsidR="00366DB1">
        <w:rPr>
          <w:rFonts w:ascii="Times New Roman" w:hAnsi="Times New Roman" w:cs="Times New Roman"/>
        </w:rPr>
        <w:t xml:space="preserve"> (</w:t>
      </w:r>
      <w:r w:rsidR="00366DB1" w:rsidRPr="00366DB1">
        <w:rPr>
          <w:rFonts w:ascii="Times New Roman" w:hAnsi="Times New Roman" w:cs="Times New Roman"/>
        </w:rPr>
        <w:t>KPMG, 2016</w:t>
      </w:r>
      <w:r w:rsidR="00366DB1">
        <w:rPr>
          <w:rFonts w:ascii="Times New Roman" w:hAnsi="Times New Roman" w:cs="Times New Roman"/>
        </w:rPr>
        <w:t>)</w:t>
      </w:r>
      <w:r w:rsidRPr="00916578">
        <w:rPr>
          <w:rFonts w:ascii="Times New Roman" w:hAnsi="Times New Roman" w:cs="Times New Roman"/>
        </w:rPr>
        <w:t>, which is the volatility of earnings in the face of macroeconomic downturns and demand Practically, EC tells capital structure choices and makes sure that the company is able to maintain operations and meet debt commitments even in times of extreme earnings distress.</w:t>
      </w:r>
    </w:p>
    <w:p w14:paraId="75FDFF84" w14:textId="77777777" w:rsidR="00366DB1" w:rsidRDefault="00366DB1" w:rsidP="00916578">
      <w:pPr>
        <w:spacing w:line="360" w:lineRule="auto"/>
        <w:ind w:firstLine="720"/>
        <w:rPr>
          <w:rFonts w:ascii="Times New Roman" w:hAnsi="Times New Roman" w:cs="Times New Roman"/>
        </w:rPr>
      </w:pPr>
    </w:p>
    <w:p w14:paraId="3D1F7D81" w14:textId="77777777" w:rsidR="00366DB1" w:rsidRDefault="00366DB1" w:rsidP="00916578">
      <w:pPr>
        <w:spacing w:line="360" w:lineRule="auto"/>
        <w:ind w:firstLine="720"/>
        <w:rPr>
          <w:rFonts w:ascii="Times New Roman" w:hAnsi="Times New Roman" w:cs="Times New Roman"/>
        </w:rPr>
      </w:pPr>
    </w:p>
    <w:p w14:paraId="3C9A86F8" w14:textId="77777777" w:rsidR="00366DB1" w:rsidRDefault="00366DB1" w:rsidP="00916578">
      <w:pPr>
        <w:spacing w:line="360" w:lineRule="auto"/>
        <w:ind w:firstLine="720"/>
        <w:rPr>
          <w:rFonts w:ascii="Times New Roman" w:hAnsi="Times New Roman" w:cs="Times New Roman"/>
        </w:rPr>
      </w:pPr>
    </w:p>
    <w:p w14:paraId="0B938092" w14:textId="77777777" w:rsidR="00366DB1" w:rsidRDefault="00366DB1" w:rsidP="00916578">
      <w:pPr>
        <w:spacing w:line="360" w:lineRule="auto"/>
        <w:ind w:firstLine="720"/>
        <w:rPr>
          <w:rFonts w:ascii="Times New Roman" w:hAnsi="Times New Roman" w:cs="Times New Roman"/>
        </w:rPr>
      </w:pPr>
    </w:p>
    <w:p w14:paraId="15EF1281" w14:textId="77777777" w:rsidR="00366DB1" w:rsidRDefault="00366DB1" w:rsidP="00916578">
      <w:pPr>
        <w:spacing w:line="360" w:lineRule="auto"/>
        <w:ind w:firstLine="720"/>
        <w:rPr>
          <w:rFonts w:ascii="Times New Roman" w:hAnsi="Times New Roman" w:cs="Times New Roman"/>
        </w:rPr>
      </w:pPr>
    </w:p>
    <w:p w14:paraId="623BB39D" w14:textId="77777777" w:rsidR="00366DB1" w:rsidRDefault="00366DB1" w:rsidP="00916578">
      <w:pPr>
        <w:spacing w:line="360" w:lineRule="auto"/>
        <w:ind w:firstLine="720"/>
        <w:rPr>
          <w:rFonts w:ascii="Times New Roman" w:hAnsi="Times New Roman" w:cs="Times New Roman"/>
        </w:rPr>
      </w:pPr>
    </w:p>
    <w:p w14:paraId="22EA5D2A" w14:textId="0755303B" w:rsidR="00366DB1" w:rsidRPr="00366DB1" w:rsidRDefault="00366DB1" w:rsidP="00366DB1">
      <w:pPr>
        <w:spacing w:line="360" w:lineRule="auto"/>
        <w:ind w:firstLine="720"/>
        <w:jc w:val="center"/>
        <w:rPr>
          <w:rFonts w:ascii="Times New Roman" w:hAnsi="Times New Roman" w:cs="Times New Roman"/>
          <w:b/>
          <w:bCs/>
        </w:rPr>
      </w:pPr>
      <w:r w:rsidRPr="00366DB1">
        <w:rPr>
          <w:rFonts w:ascii="Times New Roman" w:hAnsi="Times New Roman" w:cs="Times New Roman"/>
          <w:b/>
          <w:bCs/>
        </w:rPr>
        <w:lastRenderedPageBreak/>
        <w:t>References</w:t>
      </w:r>
    </w:p>
    <w:p w14:paraId="2FCA92DF" w14:textId="77777777" w:rsidR="00366DB1" w:rsidRDefault="00366DB1" w:rsidP="00366DB1">
      <w:pPr>
        <w:spacing w:line="360" w:lineRule="auto"/>
        <w:ind w:left="720" w:hanging="720"/>
      </w:pPr>
      <w:r>
        <w:rPr>
          <w:rFonts w:ascii="Times New Roman" w:eastAsia="Times New Roman" w:hAnsi="Times New Roman" w:cs="Times New Roman"/>
        </w:rPr>
        <w:t xml:space="preserve">ALMIS International (2024). Improve how you manage your Financial Institutions Earnings at Risk. ALMIS International. </w:t>
      </w:r>
      <w:hyperlink r:id="rId6" w:history="1">
        <w:r>
          <w:rPr>
            <w:rStyle w:val="Hyperlink"/>
            <w:rFonts w:ascii="Times New Roman" w:eastAsia="Times New Roman" w:hAnsi="Times New Roman" w:cs="Times New Roman"/>
          </w:rPr>
          <w:t>https://www.almisinternational.com/improve-how-you-manage-your-financial-institutions-earnings-at-risk/</w:t>
        </w:r>
      </w:hyperlink>
    </w:p>
    <w:p w14:paraId="18592AC5" w14:textId="40141FC0" w:rsidR="00366DB1" w:rsidRDefault="00366DB1" w:rsidP="00366DB1">
      <w:pPr>
        <w:spacing w:line="360" w:lineRule="auto"/>
        <w:ind w:left="720" w:hanging="720"/>
        <w:rPr>
          <w:rStyle w:val="Hyperlink"/>
        </w:rPr>
      </w:pPr>
      <w:r>
        <w:rPr>
          <w:rFonts w:ascii="Times New Roman" w:eastAsia="Times New Roman" w:hAnsi="Times New Roman" w:cs="Times New Roman"/>
        </w:rPr>
        <w:t xml:space="preserve">Brimco (2025). Economic Capital: Definition, Methods, and Examples. Brimco Financial Terminology. </w:t>
      </w:r>
      <w:hyperlink r:id="rId7" w:history="1">
        <w:r>
          <w:rPr>
            <w:rStyle w:val="Hyperlink"/>
            <w:rFonts w:ascii="Times New Roman" w:eastAsia="Times New Roman" w:hAnsi="Times New Roman" w:cs="Times New Roman"/>
          </w:rPr>
          <w:t>https://www.brimco.io/terms/economic-capital/</w:t>
        </w:r>
      </w:hyperlink>
    </w:p>
    <w:p w14:paraId="7B1BB921" w14:textId="4AEA82FD" w:rsidR="00366DB1" w:rsidRDefault="00366DB1" w:rsidP="00366DB1">
      <w:pPr>
        <w:spacing w:line="360" w:lineRule="auto"/>
        <w:ind w:left="720" w:hanging="720"/>
        <w:rPr>
          <w:rStyle w:val="Hyperlink"/>
        </w:rPr>
      </w:pPr>
      <w:r>
        <w:rPr>
          <w:rFonts w:ascii="Times New Roman" w:eastAsia="Times New Roman" w:hAnsi="Times New Roman" w:cs="Times New Roman"/>
        </w:rPr>
        <w:t xml:space="preserve">KPMG Moldova (2016). ICAAP and economic capital management. KPMG Advisory Services. </w:t>
      </w:r>
      <w:hyperlink r:id="rId8" w:history="1">
        <w:r>
          <w:rPr>
            <w:rStyle w:val="Hyperlink"/>
            <w:rFonts w:ascii="Times New Roman" w:eastAsia="Times New Roman" w:hAnsi="Times New Roman" w:cs="Times New Roman"/>
          </w:rPr>
          <w:t>https://kpmg.com/md/en/home/services/advisory/consulting/risk-compliance-services/integrated-risk-management/icaap--economic-capital-management.html</w:t>
        </w:r>
      </w:hyperlink>
    </w:p>
    <w:p w14:paraId="43C50577" w14:textId="39F4C6E8" w:rsidR="00366DB1" w:rsidRDefault="00366DB1" w:rsidP="00366DB1">
      <w:pPr>
        <w:spacing w:line="360" w:lineRule="auto"/>
        <w:ind w:left="720" w:hanging="720"/>
        <w:rPr>
          <w:rStyle w:val="Hyperlink"/>
        </w:rPr>
      </w:pPr>
      <w:r>
        <w:rPr>
          <w:rFonts w:ascii="Times New Roman" w:eastAsia="Times New Roman" w:hAnsi="Times New Roman" w:cs="Times New Roman"/>
        </w:rPr>
        <w:t xml:space="preserve">MORS Software (2025). Earnings at Risk (EaR): What It Is, How It Works, and Why It Matters. MORS Software Financial Analysis. </w:t>
      </w:r>
      <w:hyperlink r:id="rId9" w:history="1">
        <w:r>
          <w:rPr>
            <w:rStyle w:val="Hyperlink"/>
            <w:rFonts w:ascii="Times New Roman" w:eastAsia="Times New Roman" w:hAnsi="Times New Roman" w:cs="Times New Roman"/>
          </w:rPr>
          <w:t>https://morssoftware.com/how-does-ear-impact-financial-decision-making/</w:t>
        </w:r>
      </w:hyperlink>
    </w:p>
    <w:p w14:paraId="56695D61" w14:textId="2BF612E4" w:rsidR="00366DB1" w:rsidRPr="00916578" w:rsidRDefault="00366DB1" w:rsidP="00366DB1">
      <w:pPr>
        <w:spacing w:line="360" w:lineRule="auto"/>
        <w:ind w:left="720" w:hanging="720"/>
        <w:rPr>
          <w:rFonts w:ascii="Times New Roman" w:hAnsi="Times New Roman" w:cs="Times New Roman"/>
        </w:rPr>
      </w:pPr>
      <w:r>
        <w:rPr>
          <w:rFonts w:ascii="Times New Roman" w:eastAsia="Times New Roman" w:hAnsi="Times New Roman" w:cs="Times New Roman"/>
        </w:rPr>
        <w:t xml:space="preserve">United Airlines Holdings, Inc. (2016–2025). Quarterly Reports on Form 10-Q (Q1–Q4, 2016–2025). U.S. Securities and Exchange Commission (SEC) EDGAR. </w:t>
      </w:r>
      <w:hyperlink r:id="rId10" w:history="1">
        <w:r>
          <w:rPr>
            <w:rStyle w:val="Hyperlink"/>
            <w:rFonts w:ascii="Times New Roman" w:eastAsia="Times New Roman" w:hAnsi="Times New Roman" w:cs="Times New Roman"/>
          </w:rPr>
          <w:t>https://www.sec.gov/cgi-bin/browse-edgar?action=getcompany&amp;CIK=0000100517&amp;type=10-Q&amp;dateb=&amp;owner=include&amp;count=40</w:t>
        </w:r>
      </w:hyperlink>
    </w:p>
    <w:sectPr w:rsidR="00366DB1" w:rsidRPr="00916578" w:rsidSect="00182827">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D57E4" w14:textId="77777777" w:rsidR="0010037A" w:rsidRDefault="0010037A" w:rsidP="00182827">
      <w:pPr>
        <w:spacing w:after="0" w:line="240" w:lineRule="auto"/>
      </w:pPr>
      <w:r>
        <w:separator/>
      </w:r>
    </w:p>
  </w:endnote>
  <w:endnote w:type="continuationSeparator" w:id="0">
    <w:p w14:paraId="44BFAF0C" w14:textId="77777777" w:rsidR="0010037A" w:rsidRDefault="0010037A" w:rsidP="00182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442225"/>
      <w:docPartObj>
        <w:docPartGallery w:val="Page Numbers (Bottom of Page)"/>
        <w:docPartUnique/>
      </w:docPartObj>
    </w:sdtPr>
    <w:sdtEndPr>
      <w:rPr>
        <w:noProof/>
      </w:rPr>
    </w:sdtEndPr>
    <w:sdtContent>
      <w:p w14:paraId="22989509" w14:textId="0021A6D4" w:rsidR="00182827" w:rsidRDefault="001828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D02FFC" w14:textId="77777777" w:rsidR="00182827" w:rsidRDefault="00182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943A7" w14:textId="77777777" w:rsidR="0010037A" w:rsidRDefault="0010037A" w:rsidP="00182827">
      <w:pPr>
        <w:spacing w:after="0" w:line="240" w:lineRule="auto"/>
      </w:pPr>
      <w:r>
        <w:separator/>
      </w:r>
    </w:p>
  </w:footnote>
  <w:footnote w:type="continuationSeparator" w:id="0">
    <w:p w14:paraId="543D1EB8" w14:textId="77777777" w:rsidR="0010037A" w:rsidRDefault="0010037A" w:rsidP="001828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F9"/>
    <w:rsid w:val="0010037A"/>
    <w:rsid w:val="00182827"/>
    <w:rsid w:val="00366DB1"/>
    <w:rsid w:val="00877472"/>
    <w:rsid w:val="00916578"/>
    <w:rsid w:val="009A0F7C"/>
    <w:rsid w:val="00A13F96"/>
    <w:rsid w:val="00E63441"/>
    <w:rsid w:val="00EC0AF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9B1E3"/>
  <w15:chartTrackingRefBased/>
  <w15:docId w15:val="{6678467D-89F3-41AC-92A7-82111DF2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F9"/>
    <w:rPr>
      <w:rFonts w:eastAsiaTheme="majorEastAsia" w:cstheme="majorBidi"/>
      <w:color w:val="272727" w:themeColor="text1" w:themeTint="D8"/>
    </w:rPr>
  </w:style>
  <w:style w:type="paragraph" w:styleId="Title">
    <w:name w:val="Title"/>
    <w:basedOn w:val="Normal"/>
    <w:next w:val="Normal"/>
    <w:link w:val="TitleChar"/>
    <w:uiPriority w:val="10"/>
    <w:qFormat/>
    <w:rsid w:val="00EC0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F9"/>
    <w:pPr>
      <w:spacing w:before="160"/>
      <w:jc w:val="center"/>
    </w:pPr>
    <w:rPr>
      <w:i/>
      <w:iCs/>
      <w:color w:val="404040" w:themeColor="text1" w:themeTint="BF"/>
    </w:rPr>
  </w:style>
  <w:style w:type="character" w:customStyle="1" w:styleId="QuoteChar">
    <w:name w:val="Quote Char"/>
    <w:basedOn w:val="DefaultParagraphFont"/>
    <w:link w:val="Quote"/>
    <w:uiPriority w:val="29"/>
    <w:rsid w:val="00EC0AF9"/>
    <w:rPr>
      <w:i/>
      <w:iCs/>
      <w:color w:val="404040" w:themeColor="text1" w:themeTint="BF"/>
    </w:rPr>
  </w:style>
  <w:style w:type="paragraph" w:styleId="ListParagraph">
    <w:name w:val="List Paragraph"/>
    <w:basedOn w:val="Normal"/>
    <w:uiPriority w:val="34"/>
    <w:qFormat/>
    <w:rsid w:val="00EC0AF9"/>
    <w:pPr>
      <w:ind w:left="720"/>
      <w:contextualSpacing/>
    </w:pPr>
  </w:style>
  <w:style w:type="character" w:styleId="IntenseEmphasis">
    <w:name w:val="Intense Emphasis"/>
    <w:basedOn w:val="DefaultParagraphFont"/>
    <w:uiPriority w:val="21"/>
    <w:qFormat/>
    <w:rsid w:val="00EC0AF9"/>
    <w:rPr>
      <w:i/>
      <w:iCs/>
      <w:color w:val="0F4761" w:themeColor="accent1" w:themeShade="BF"/>
    </w:rPr>
  </w:style>
  <w:style w:type="paragraph" w:styleId="IntenseQuote">
    <w:name w:val="Intense Quote"/>
    <w:basedOn w:val="Normal"/>
    <w:next w:val="Normal"/>
    <w:link w:val="IntenseQuoteChar"/>
    <w:uiPriority w:val="30"/>
    <w:qFormat/>
    <w:rsid w:val="00EC0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AF9"/>
    <w:rPr>
      <w:i/>
      <w:iCs/>
      <w:color w:val="0F4761" w:themeColor="accent1" w:themeShade="BF"/>
    </w:rPr>
  </w:style>
  <w:style w:type="character" w:styleId="IntenseReference">
    <w:name w:val="Intense Reference"/>
    <w:basedOn w:val="DefaultParagraphFont"/>
    <w:uiPriority w:val="32"/>
    <w:qFormat/>
    <w:rsid w:val="00EC0AF9"/>
    <w:rPr>
      <w:b/>
      <w:bCs/>
      <w:smallCaps/>
      <w:color w:val="0F4761" w:themeColor="accent1" w:themeShade="BF"/>
      <w:spacing w:val="5"/>
    </w:rPr>
  </w:style>
  <w:style w:type="paragraph" w:styleId="Header">
    <w:name w:val="header"/>
    <w:basedOn w:val="Normal"/>
    <w:link w:val="HeaderChar"/>
    <w:uiPriority w:val="99"/>
    <w:unhideWhenUsed/>
    <w:rsid w:val="001828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827"/>
  </w:style>
  <w:style w:type="paragraph" w:styleId="Footer">
    <w:name w:val="footer"/>
    <w:basedOn w:val="Normal"/>
    <w:link w:val="FooterChar"/>
    <w:uiPriority w:val="99"/>
    <w:unhideWhenUsed/>
    <w:rsid w:val="001828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827"/>
  </w:style>
  <w:style w:type="character" w:styleId="Hyperlink">
    <w:name w:val="Hyperlink"/>
    <w:uiPriority w:val="99"/>
    <w:unhideWhenUsed/>
    <w:rsid w:val="00366DB1"/>
    <w:rPr>
      <w:color w:val="0563C1"/>
      <w:u w:val="single"/>
    </w:rPr>
  </w:style>
  <w:style w:type="character" w:styleId="UnresolvedMention">
    <w:name w:val="Unresolved Mention"/>
    <w:basedOn w:val="DefaultParagraphFont"/>
    <w:uiPriority w:val="99"/>
    <w:semiHidden/>
    <w:unhideWhenUsed/>
    <w:rsid w:val="00366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pmg.com/md/en/home/services/advisory/consulting/risk-compliance-services/integrated-risk-management/icaap--economic-capital-management.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brimco.io/terms/economic-capita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lmisinternational.com/improve-how-you-manage-your-financial-institutions-earnings-at-ris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www.sec.gov/cgi-bin/browse-edgar?action=getcompany&amp;CIK=0000100517&amp;type=10-Q&amp;dateb=&amp;owner=include&amp;count=40" TargetMode="External"/><Relationship Id="rId4" Type="http://schemas.openxmlformats.org/officeDocument/2006/relationships/footnotes" Target="footnotes.xml"/><Relationship Id="rId9" Type="http://schemas.openxmlformats.org/officeDocument/2006/relationships/hyperlink" Target="https://morssoftware.com/how-does-ear-impact-financial-decision-ma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matheka</dc:creator>
  <cp:keywords/>
  <dc:description/>
  <cp:lastModifiedBy>Luisayan Mureithi</cp:lastModifiedBy>
  <cp:revision>2</cp:revision>
  <dcterms:created xsi:type="dcterms:W3CDTF">2026-05-19T08:01:00Z</dcterms:created>
  <dcterms:modified xsi:type="dcterms:W3CDTF">2026-05-19T08:01:00Z</dcterms:modified>
</cp:coreProperties>
</file>