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Acta del Lunes 23 de Septiembre: Laboratorio de Robótica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-Se procede a la división de un grupo de montaje y otro de research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-Se ha buscado información acerca de los distintos componentes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-En paralelo, se ha montado la plataforma del robot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-Se han conectado los distintos componentes.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-Se decide que el BT y los ultrasonidos se enciendan una vez que el Arduino haya acabado de inicializarse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-Se eligen los pines asignados a cada dispositivo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-Se procede a mirar el sentido de giro de cada rueda con una prueba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