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15</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
              <w:rPr>
                <w:rFonts w:ascii="Calibri" w:hAnsi="Calibri"/>
                <w:b/>
                <w:sz w:val="17"/>
              </w:rPr>
              <w:t>16</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tc>
      </w:tr>
      <w:tr>
        <w:tc>
          <w:tcPr>
            <w:tcW w:type="dxa" w:w="1171"/>
          </w:tcPr>
          <w:p>
            <w:r/>
            <w:r>
              <w:rPr>
                <w:rFonts w:ascii="Calibri" w:hAnsi="Calibri"/>
                <w:b/>
                <w:sz w:val="17"/>
              </w:rPr>
              <w:t>17</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18</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19</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22</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23</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24</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25</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26</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27</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28</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