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15</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16</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tc>
      </w:tr>
      <w:tr>
        <w:tc>
          <w:tcPr>
            <w:tcW w:type="dxa" w:w="1171"/>
          </w:tcPr>
          <w:p>
            <w:r/>
            <w:r>
              <w:rPr>
                <w:rFonts w:ascii="Calibri" w:hAnsi="Calibri"/>
                <w:b/>
                <w:sz w:val="17"/>
              </w:rPr>
              <w:t>17</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18</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19</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22</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23</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tc>
      </w:tr>
      <w:tr>
        <w:tc>
          <w:tcPr>
            <w:tcW w:type="dxa" w:w="1171"/>
          </w:tcPr>
          <w:p>
            <w:r/>
            <w:r>
              <w:rPr>
                <w:rFonts w:ascii="Calibri" w:hAnsi="Calibri"/>
                <w:b/>
                <w:sz w:val="17"/>
              </w:rPr>
              <w:t>24</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25</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26</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27</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28</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29</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