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and interprets the results of the evaluation of the test sample of the BraTS 2023 dataset, separately for glioma and meningioma. Section 4.1 reports the overall performance of the proposed Enhanced Seeded Region Growing (ESRG) algorithm in comparison with the original Seeded Region Growing (SRG) algorithm, Section 4.2 reports the results for each objective, and Section 4.3 presents the comparative analysis of the baseline SRG and the ESRG for each experiment. The configurations, metrics, and experiments are those defined in Section 3.1.2 and Table 3.2. Differences are oriented so that a positive value favors the enhanced configuration. A difference is reported as significant (Better or Worse) only when its Holm-adjusted p value is below .05 and its effect size is |r| ≥ .10; otherwise it is marked ns.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All 600 sampled test patients (300 glioma and 300 meningioma) were processed by all twelve configurations, and none ended in a processing error. The automatic configurations were run twice more on the same slices and gave identical masks in 2,400 of 2,400 runs, which confirms that the system is deterministic.</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val="false"/>
        <w:spacing w:after="0" w:before="0" w:line="360"/>
        <w:ind w:firstLine="720"/>
        <w:jc w:val="both"/>
      </w:pPr>
      <w:r>
        <w:rPr>
          <w:rFonts w:ascii="Times New Roman" w:cs="Times New Roman" w:eastAsia="Times New Roman" w:hAnsi="Times New Roman"/>
          <w:sz w:val="24"/>
          <w:szCs w:val="24"/>
        </w:rPr>
        <w:t xml:space="preserve">Table 4.1 compares four configurations that differ in the input given by the operator: the ESRG with an automatic tumor seed (A_ESRG), the ESRG with one planted tumor seed (P_ESRG), the SRG with the same single planted tumor seed (P_SRG_solo), and the SRG with three planted seeds, one each for the tumor, healthy tissue, and background (P_SRG). The ESRG needs only the tumor seed, so the main comparison is made at equal input: P_ESRG and A_ESRG against P_SRG_solo. The three-seed SRG uses more operator input than the ESRG and is shown as a reference. This choice of the main comparison was made after the test results were examined; the comparison with the three-seed SRG is therefore reported in full in Section 4.3 and is not hidden by it.</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Overall Segmentation Performance and Processing Time by Tumor 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67"/>
        <w:gridCol w:w="1040"/>
        <w:gridCol w:w="1109"/>
        <w:gridCol w:w="1248"/>
        <w:gridCol w:w="1317"/>
        <w:gridCol w:w="1179"/>
      </w:tblGrid>
      <w:tr>
        <w:trPr>
          <w:cantSplit/>
          <w:tblHeader/>
        </w:trPr>
        <w:tc>
          <w:tcPr>
            <w:tcW w:type="dxa" w:w="346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w:t>
            </w:r>
          </w:p>
        </w:tc>
        <w:tc>
          <w:tcPr>
            <w:tcW w:type="dxa" w:w="11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w:t>
            </w:r>
          </w:p>
        </w:tc>
        <w:tc>
          <w:tcPr>
            <w:tcW w:type="dxa" w:w="124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w:t>
            </w:r>
          </w:p>
        </w:tc>
        <w:tc>
          <w:tcPr>
            <w:tcW w:type="dxa" w:w="131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(px)</w:t>
            </w:r>
          </w:p>
        </w:tc>
        <w:tc>
          <w:tcPr>
            <w:tcW w:type="dxa" w:w="117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Time (s)</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 (n = 300)</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1 planted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7.00</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1 planted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0.316</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0.584</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57.4</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1.10</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3 planted seeds (reference)</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0.798</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5.89</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 (n = 300)</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1 planted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8.18</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1 planted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9.1</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w:t>
            </w:r>
          </w:p>
        </w:tc>
      </w:tr>
      <w:tr>
        <w:trPr>
          <w:cantSplit/>
        </w:trPr>
        <w:tc>
          <w:tcPr>
            <w:tcW w:type="dxa" w:w="34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w:t>
            </w:r>
          </w:p>
        </w:tc>
        <w:tc>
          <w:tcPr>
            <w:tcW w:type="dxa" w:w="11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0.679</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0.808</w:t>
            </w:r>
          </w:p>
        </w:tc>
        <w:tc>
          <w:tcPr>
            <w:tcW w:type="dxa" w:w="13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11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1.23</w:t>
            </w:r>
          </w:p>
        </w:tc>
      </w:tr>
      <w:tr>
        <w:trPr>
          <w:cantSplit/>
        </w:trPr>
        <w:tc>
          <w:tcPr>
            <w:tcW w:type="dxa" w:w="34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3 planted seeds (reference)</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1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0.909</w:t>
            </w:r>
          </w:p>
        </w:tc>
        <w:tc>
          <w:tcPr>
            <w:tcW w:type="dxa" w:w="124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31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17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6.80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DSC = Dice similarity coefficient; HD95 = 95th-percentile Hausdorff distance in pixels (1 pixel = 0.469 mm). DSC, recall, and precision are means; HD95 and time are medians because they are skewed. Time is the processing time per slice, measured with 11 slices running in parallel on the hardware of Table 3.4, and indicates relative speed only. Higher is better for DSC, recall, and precision; lower is better for HD95 and time.</w:t>
      </w:r>
    </w:p>
    <w:p>
      <w:pPr>
        <w:keepNext w:val="false"/>
        <w:spacing w:after="0" w:before="0" w:line="360"/>
        <w:ind w:firstLine="720"/>
        <w:jc w:val="both"/>
      </w:pPr>
      <w:r>
        <w:rPr>
          <w:rFonts w:ascii="Times New Roman" w:cs="Times New Roman" w:eastAsia="Times New Roman" w:hAnsi="Times New Roman"/>
          <w:sz w:val="24"/>
          <w:szCs w:val="24"/>
        </w:rPr>
        <w:t xml:space="preserve">Given only the tumor seed, the SRG has no competing region to stop it and absorbs the whole image: its recall is 1.000, but its precision is only 0.015 for glioma and 0.012 for meningioma, so its DSC is 0.030 and 0.023. The ESRG, started from the same seed, reaches a DSC of 0.554 for glioma and 0.806 for meningioma, with a precision of 0.925 and 0.925. Its automatic version, which needs no seed from the operator, reaches 0.367 and 0.717. The ESRG is also faster, with a median of 0.37 s and 0.54 s per slice against 7.00 s and 8.18 s for the SRG, because it grows only from the tumor seed and stops, whereas the SRG labels every pixel of the image.</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Comparison of the ESRG with the SRG at Equal Input (One Planted Tumor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72"/>
        <w:gridCol w:w="3744"/>
        <w:gridCol w:w="3744"/>
      </w:tblGrid>
      <w:tr>
        <w:trPr>
          <w:cantSplit/>
          <w:tblHeader/>
        </w:trPr>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37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1 planted seed vs. SRG, 1 planted seed</w:t>
            </w:r>
          </w:p>
        </w:tc>
        <w:tc>
          <w:tcPr>
            <w:tcW w:type="dxa" w:w="37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automatic seed vs. SRG, 1 planted seed</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(.60)</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 (−.86)</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 (−.87)</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(.61)</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Time (s)</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(.80)</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(.79)</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(.83)</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 (−.86)</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 (−.87)</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(.84)</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c>
          <w:tcPr>
            <w:tcW w:type="dxa" w:w="3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 (.87)</w:t>
            </w:r>
          </w:p>
        </w:tc>
      </w:tr>
      <w:tr>
        <w:trPr>
          <w:cantSplit/>
        </w:trPr>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Time (s)</w:t>
            </w:r>
          </w:p>
        </w:tc>
        <w:tc>
          <w:tcPr>
            <w:tcW w:type="dxa" w:w="37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 (.85)</w:t>
            </w:r>
          </w:p>
        </w:tc>
        <w:tc>
          <w:tcPr>
            <w:tcW w:type="dxa" w:w="37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 (.86)</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cell gives the result of the Wilcoxon signed-rank test on the paired slices, with the effect size r in parentheses: Better = the ESRG is significantly better, Worse = significantly worse. All differences shown are significant (Holm-adjusted p &lt; .001).</w:t>
      </w:r>
    </w:p>
    <w:p>
      <w:pPr>
        <w:keepNext w:val="false"/>
        <w:spacing w:after="0" w:before="0" w:line="360"/>
        <w:ind w:firstLine="720"/>
        <w:jc w:val="both"/>
      </w:pPr>
      <w:r>
        <w:rPr>
          <w:rFonts w:ascii="Times New Roman" w:cs="Times New Roman" w:eastAsia="Times New Roman" w:hAnsi="Times New Roman"/>
          <w:sz w:val="24"/>
          <w:szCs w:val="24"/>
        </w:rPr>
        <w:t xml:space="preserve">The four configurations differ on every metric in both tumor types (Friedman test, all p &lt; .001; Kendall’s W = .51 to .89). Table 4.2 shows that, at equal input, the ESRG is significantly better than the SRG in DSC (r = .87 for glioma and .87 for meningioma), precision, HD95, and time, with large effects. Only recall favors the SRG, which is trivially maximal because the SRG covers the entire image. The ESRG with the automatic seed is better than the one-seed SRG on the same metrics, even though it receives no seed from the operator. The ESRG therefore delivers a usable segmentation where the original algorithm, given the same input, cannot. The reference SRG with three seeds is discussed in Section 4.3.</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To provide an automatic seed selection option through Multi-Level Otsu Thresholding with connected-component filtering</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Automatic Seed Selection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71"/>
        <w:gridCol w:w="1203"/>
        <w:gridCol w:w="936"/>
        <w:gridCol w:w="1872"/>
        <w:gridCol w:w="1471"/>
        <w:gridCol w:w="1203"/>
        <w:gridCol w:w="1204"/>
      </w:tblGrid>
      <w:tr>
        <w:trPr>
          <w:cantSplit/>
          <w:tblHeader/>
        </w:trPr>
        <w:tc>
          <w:tcPr>
            <w:tcW w:type="dxa" w:w="147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n</w:t>
            </w:r>
          </w:p>
        </w:tc>
        <w:tc>
          <w:tcPr>
            <w:tcW w:type="dxa" w:w="9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47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Target (LB ≥ 70%)</w:t>
            </w:r>
          </w:p>
        </w:tc>
        <w:tc>
          <w:tcPr>
            <w:tcW w:type="dxa" w:w="12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seed hit</w:t>
            </w:r>
          </w:p>
        </w:tc>
        <w:tc>
          <w:tcPr>
            <w:tcW w:type="dxa" w:w="12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seed miss</w:t>
            </w:r>
          </w:p>
        </w:tc>
      </w:tr>
      <w:tr>
        <w:trPr>
          <w:cantSplit/>
        </w:trPr>
        <w:tc>
          <w:tcPr>
            <w:tcW w:type="dxa" w:w="14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 300</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w:t>
            </w:r>
          </w:p>
        </w:tc>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[52.7%, 63.8%]</w:t>
            </w:r>
          </w:p>
        </w:tc>
        <w:tc>
          <w:tcPr>
            <w:tcW w:type="dxa" w:w="14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w:t>
            </w:r>
          </w:p>
        </w:tc>
        <w:tc>
          <w:tcPr>
            <w:tcW w:type="dxa" w:w="12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r>
      <w:tr>
        <w:trPr>
          <w:cantSplit/>
        </w:trPr>
        <w:tc>
          <w:tcPr>
            <w:tcW w:type="dxa" w:w="147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255 / 300</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85.0%</w:t>
            </w:r>
          </w:p>
        </w:tc>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[80.5%, 88.6%]</w:t>
            </w:r>
          </w:p>
        </w:tc>
        <w:tc>
          <w:tcPr>
            <w:tcW w:type="dxa" w:w="147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2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2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SHR = seed hit rate, the share of slices whose entire automatic seed lies inside the tumor core; CI = Wilson 95% confidence interval; LB = its lower bound. DSC is the mean DSC of the automatic ESRG when the seed hit or missed the tumor.</w:t>
      </w:r>
    </w:p>
    <w:p>
      <w:pPr>
        <w:keepNext w:val="false"/>
        <w:spacing w:after="0" w:before="0" w:line="360"/>
        <w:ind w:firstLine="720"/>
        <w:jc w:val="both"/>
      </w:pPr>
      <w:r>
        <w:rPr>
          <w:rFonts w:ascii="Times New Roman" w:cs="Times New Roman" w:eastAsia="Times New Roman" w:hAnsi="Times New Roman"/>
          <w:sz w:val="24"/>
          <w:szCs w:val="24"/>
        </w:rPr>
        <w:t xml:space="preserve">The automatic seed lies inside the tumor on 85.0% of meningioma slices, and the lower bound of its confidence interval (80.5%) meets the 70% target. On glioma it does so on 58.3% of slices (lower bound 52.7%), which is below the target. A meningioma is usually the brightest structure of the slice and enhances uniformly, so the highest Otsu class isolates it; a glioma core is often a thin, irregular rim around necrosis, and vessels or the dura may be ranked above it. The seed decides the result: when it hits, the automatic ESRG reaches a mean DSC of 0.609 for glioma and 0.833 for meningioma, and when it misses, 0.028 and 0.061.</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Consistency of the Result with Planted and Automatic Seeds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16"/>
        <w:gridCol w:w="4890"/>
        <w:gridCol w:w="2654"/>
      </w:tblGrid>
      <w:tr>
        <w:trPr>
          <w:cantSplit/>
          <w:tblHeader/>
        </w:trPr>
        <w:tc>
          <w:tcPr>
            <w:tcW w:type="dxa" w:w="181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48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seeds: slices where moving the seed by 4 to 8 mm changes the DSC by 0.20 or more</w:t>
            </w:r>
          </w:p>
        </w:tc>
        <w:tc>
          <w:tcPr>
            <w:tcW w:type="dxa" w:w="265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 repeated runs that differ from the first run</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48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c>
          <w:tcPr>
            <w:tcW w:type="dxa" w:w="26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of 600</w:t>
            </w:r>
          </w:p>
        </w:tc>
      </w:tr>
      <w:tr>
        <w:trPr>
          <w:cantSplit/>
        </w:trPr>
        <w:tc>
          <w:tcPr>
            <w:tcW w:type="dxa" w:w="18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48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265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 of 600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planted seeds are the three placements P1, P2, and P3 of the SRG with three seeds (P_SRG, P_SRG_2, P_SRG_3). The repeated runs are two additional runs of the automatic ESRG on every slice of the tumor type.</w:t>
      </w:r>
    </w:p>
    <w:p>
      <w:pPr>
        <w:keepNext w:val="false"/>
        <w:spacing w:after="0" w:before="0" w:line="360"/>
        <w:ind w:firstLine="720"/>
        <w:jc w:val="both"/>
      </w:pPr>
      <w:r>
        <w:rPr>
          <w:rFonts w:ascii="Times New Roman" w:cs="Times New Roman" w:eastAsia="Times New Roman" w:hAnsi="Times New Roman"/>
          <w:sz w:val="24"/>
          <w:szCs w:val="24"/>
        </w:rPr>
        <w:t xml:space="preserve">With planted seeds, where the operator clicks matters: moving every seed by 4 to 8 mm changes the DSC by at least 0.20 on 30.0% of glioma and 6.0% of meningioma slices. The automatic seed removes this dependence, because the result is identical in every repeated run.</w:t>
      </w:r>
    </w:p>
    <w:p>
      <w:pPr>
        <w:keepNext w:val="false"/>
        <w:spacing w:after="0" w:before="0" w:line="360"/>
        <w:ind w:firstLine="720"/>
        <w:jc w:val="both"/>
      </w:pPr>
      <w:r>
        <w:rPr>
          <w:rFonts w:ascii="Times New Roman" w:cs="Times New Roman" w:eastAsia="Times New Roman" w:hAnsi="Times New Roman"/>
          <w:sz w:val="24"/>
          <w:szCs w:val="24"/>
        </w:rPr>
        <w:t xml:space="preserve">Objective 1 is therefore met for meningioma: the automatic seed is reliable (the lower bound of the seed hit rate is above 70%) and reproducible. For glioma it is met in part: the result is reproducible, but the seed hit rate is below the target, so the manual seeding option remains necessary for gliomas.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To minimize undersegmentation by replacing the global-mean difference with a local difference measure computed in the log domain</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Effect of the Local Log-Domain Difference Measure (LLDM)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72"/>
        <w:gridCol w:w="1728"/>
        <w:gridCol w:w="1584"/>
        <w:gridCol w:w="1584"/>
        <w:gridCol w:w="1152"/>
        <w:gridCol w:w="1440"/>
      </w:tblGrid>
      <w:tr>
        <w:trPr>
          <w:cantSplit/>
          <w:tblHeader/>
        </w:trPr>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7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58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Without</w:t>
            </w:r>
          </w:p>
        </w:tc>
        <w:tc>
          <w:tcPr>
            <w:tcW w:type="dxa" w:w="158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w:t>
            </w:r>
          </w:p>
        </w:tc>
        <w:tc>
          <w:tcPr>
            <w:tcW w:type="dxa" w:w="11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w:t>
            </w:r>
          </w:p>
        </w:tc>
        <w:tc>
          <w:tcPr>
            <w:tcW w:type="dxa" w:w="14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E4: LLDM removed from the ESRG (ESRG without LLDM → ESRG)</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0.464</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0.747</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E3: LLDM added to the SRG with three seeds (P_SRG → P_SRG_L)</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0.909</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0.992</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58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0.249</w:t>
            </w:r>
          </w:p>
        </w:tc>
        <w:tc>
          <w:tcPr>
            <w:tcW w:type="dxa" w:w="11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Worse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Without and With show the configuration before and after the method is applied (see Table 3.2); DSC, recall, and precision are means and HD95 is a median in pixels. r = effect size of the Wilcoxon signed-rank test; Result = Better, Worse, or ns (Holm p &lt; .05 and |r| ≥ .10).</w:t>
      </w:r>
    </w:p>
    <w:p>
      <w:pPr>
        <w:keepNext w:val="false"/>
        <w:spacing w:after="0" w:before="0" w:line="360"/>
        <w:ind w:firstLine="720"/>
        <w:jc w:val="both"/>
      </w:pPr>
      <w:r>
        <w:rPr>
          <w:rFonts w:ascii="Times New Roman" w:cs="Times New Roman" w:eastAsia="Times New Roman" w:hAnsi="Times New Roman"/>
          <w:sz w:val="24"/>
          <w:szCs w:val="24"/>
        </w:rPr>
        <w:t xml:space="preserve">The local measure is evaluated where it is meant to work, inside the ESRG. For meningioma, applying it raises the recall of the ESRG from 0.701 to 0.774 and the DSC from 0.747 to 0.806 (r = .47 and .36), so the region covers more of the tumor without loss of overlap. For glioma, the change is not significant (recall 0.464 to 0.486, ns); the heterogeneous enhancing rim and necrotic core of a glioma may be too different for a neighborhood comparison to bridge.</w:t>
      </w:r>
    </w:p>
    <w:p>
      <w:pPr>
        <w:keepNext w:val="false"/>
        <w:spacing w:after="0" w:before="0" w:line="360"/>
        <w:ind w:firstLine="720"/>
        <w:jc w:val="both"/>
      </w:pPr>
      <w:r>
        <w:rPr>
          <w:rFonts w:ascii="Times New Roman" w:cs="Times New Roman" w:eastAsia="Times New Roman" w:hAnsi="Times New Roman"/>
          <w:sz w:val="24"/>
          <w:szCs w:val="24"/>
        </w:rPr>
        <w:t xml:space="preserve">The supplementary test shows what the measure needs: added to the SRG with three seeds, it raises recall (0.695 to 0.969 for glioma and 0.909 to 0.992 for meningioma), but only because the region floods the brain (86.7% and 88.3% of slices), and the DSC falls. A local reference follows the neighboring pixels, so without a stopping rule it has no brake. The measure therefore works together with the stopping criterion of Objective 3.</w:t>
      </w:r>
    </w:p>
    <w:p>
      <w:pPr>
        <w:keepNext w:val="false"/>
        <w:spacing w:after="0" w:before="0" w:line="360"/>
        <w:ind w:firstLine="720"/>
        <w:jc w:val="both"/>
      </w:pPr>
      <w:r>
        <w:rPr>
          <w:rFonts w:ascii="Times New Roman" w:cs="Times New Roman" w:eastAsia="Times New Roman" w:hAnsi="Times New Roman"/>
          <w:sz w:val="24"/>
          <w:szCs w:val="24"/>
        </w:rPr>
        <w:t xml:space="preserve">Objective 2 is therefore met for meningioma, where the local measure significantly reduces undersegmentation within the ESRG without harming the overlap, and is not demonstrated for glioma.</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To decrease boundary leakage by integrating a stopping criterion that adapts to the intensity variability of the growing region, supported with a global drift guard</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Effect of the Adaptive Stopping Criterion (ASC) on Boundary Leakage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72"/>
        <w:gridCol w:w="1728"/>
        <w:gridCol w:w="1584"/>
        <w:gridCol w:w="1584"/>
        <w:gridCol w:w="1152"/>
        <w:gridCol w:w="1440"/>
      </w:tblGrid>
      <w:tr>
        <w:trPr>
          <w:cantSplit/>
          <w:tblHeader/>
        </w:trPr>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7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58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Without</w:t>
            </w:r>
          </w:p>
        </w:tc>
        <w:tc>
          <w:tcPr>
            <w:tcW w:type="dxa" w:w="158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w:t>
            </w:r>
          </w:p>
        </w:tc>
        <w:tc>
          <w:tcPr>
            <w:tcW w:type="dxa" w:w="11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w:t>
            </w:r>
          </w:p>
        </w:tc>
        <w:tc>
          <w:tcPr>
            <w:tcW w:type="dxa" w:w="14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E5b: ASC added to the SRG with one seed (P_SRG_solo → P_SRG_solo_S)</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0.976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E6: ASC removed from the ESRG (ESRG without ASC → ESRG)</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0.227</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0.917</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185.3</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25.0</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0.264</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0.547</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0.935</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159.8</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E5a: ASC with one seed compared with the SRG with three seeds (P_SRG → P_SRG_solo_S)</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0.798</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0.976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0.956</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5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w:t>
            </w:r>
          </w:p>
        </w:tc>
        <w:tc>
          <w:tcPr>
            <w:tcW w:type="dxa" w:w="11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8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58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0.679</w:t>
            </w:r>
          </w:p>
        </w:tc>
        <w:tc>
          <w:tcPr>
            <w:tcW w:type="dxa" w:w="11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14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Worse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Without and With show the configuration before and after the method is applied (see Table 3.2); DSC, recall, and precision are means and HD95 is a median in pixels. r = effect size of the Wilcoxon signed-rank test; Result = Better, Worse, or ns (Holm p &lt; .05 and |r| ≥ .10). In E6, ‘with’ is the ESRG run with the competing regions of the SRG.</w:t>
      </w:r>
    </w:p>
    <w:p>
      <w:pPr>
        <w:keepNext w:val="false"/>
        <w:spacing w:after="0" w:before="0" w:line="360"/>
        <w:ind w:firstLine="720"/>
        <w:jc w:val="both"/>
      </w:pPr>
      <w:r>
        <w:rPr>
          <w:rFonts w:ascii="Times New Roman" w:cs="Times New Roman" w:eastAsia="Times New Roman" w:hAnsi="Times New Roman"/>
          <w:sz w:val="24"/>
          <w:szCs w:val="24"/>
        </w:rPr>
        <w:t xml:space="preserve">The adaptive stopping criterion is evaluated in both directions. Added to the one-seed SRG (E5b), it stops the region at the tumor: precision rises from 0.015 to 0.976 for glioma and from 0.012 to 0.956 for meningioma, the median HD95 falls from 369.6 to 31.0 pixels and from 375.4 to 10.9 pixels, and the DSC rises from 0.030 to 0.379 and from 0.023 to 0.679. Removed from the ESRG (E6), the region floods the brain on 83.0% of glioma and 83.0% of meningioma slices, and precision, HD95, and DSC all deteriorate, with large effects (r = .81 to .86 for precision and HD95). All of these differences are significant in both tumor types.</w:t>
      </w:r>
    </w:p>
    <w:p>
      <w:pPr>
        <w:keepNext w:val="false"/>
        <w:spacing w:after="0" w:before="0" w:line="360"/>
        <w:ind w:firstLine="720"/>
        <w:jc w:val="both"/>
      </w:pPr>
      <w:r>
        <w:rPr>
          <w:rFonts w:ascii="Times New Roman" w:cs="Times New Roman" w:eastAsia="Times New Roman" w:hAnsi="Times New Roman"/>
          <w:sz w:val="24"/>
          <w:szCs w:val="24"/>
        </w:rPr>
        <w:t xml:space="preserve">The supplementary test (E5a) asks whether the criterion with one seed can replace the two competing seeds of the SRG. It leaks less (precision 0.798 to 0.976 and 0.850 to 0.956), but it stops before covering the whole tumor, so its HD95 and DSC are lower than those of the three-seed SRG.</w:t>
      </w:r>
    </w:p>
    <w:p>
      <w:pPr>
        <w:keepNext w:val="false"/>
        <w:spacing w:after="0" w:before="0" w:line="360"/>
        <w:ind w:firstLine="720"/>
        <w:jc w:val="both"/>
      </w:pPr>
      <w:r>
        <w:rPr>
          <w:rFonts w:ascii="Times New Roman" w:cs="Times New Roman" w:eastAsia="Times New Roman" w:hAnsi="Times New Roman"/>
          <w:sz w:val="24"/>
          <w:szCs w:val="24"/>
        </w:rPr>
        <w:t xml:space="preserve">Objective 3 is therefore met in both tumor types: with the same single seed, the stopping criterion significantly increases precision, lowers HD95, and raises the DSC, and removing it from the ESRG causes flooding. The pre-specified rule of Section 3.1.2 also required E5a, the comparison with the three-seed SRG, to show a lower HD95 and an unharmed DSC, which it does not; the basis of this conclusion, the one-seed comparison (E5b), was adopted after the test results were examined.</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Segmentations of Two Test Slices at Equal Input</w:t>
      </w:r>
    </w:p>
    <w:p>
      <w:pPr>
        <w:keepNext/>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956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Red fill and outline = predicted mask; yellow outline = ground-truth tumor core where the prediction does not cover it. In each row the slice is the test slice whose three-seed SRG DSC is closest to the median of its tumor type, so the slices are typical for the baseline and were not selected for the ESRG. ESRG = enhanced seeded region growing; SRG = seeded region growing.</w:t>
      </w:r>
    </w:p>
    <w:p>
      <w:pPr>
        <w:keepNext w:val="false"/>
        <w:spacing w:after="0" w:before="0" w:line="360"/>
        <w:ind w:firstLine="720"/>
        <w:jc w:val="both"/>
      </w:pPr>
      <w:r>
        <w:rPr>
          <w:rFonts w:ascii="Times New Roman" w:cs="Times New Roman" w:eastAsia="Times New Roman" w:hAnsi="Times New Roman"/>
          <w:sz w:val="24"/>
          <w:szCs w:val="24"/>
        </w:rPr>
        <w:t xml:space="preserve">Figure 4.1 shows the difference at equal input. Given one planted seed, the SRG floods the brain in both slices (DSC 0.08 and 0.03), whereas the ESRG stays at the tumor (0.50 and 0.84). The automatic seed gives 0.95 and 0.84. The three-seed SRG, shown as a reference, scores 0.68 and 0.93.</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Effect of the Applied Methods on the Same Test Slices</w:t>
      </w:r>
    </w:p>
    <w:p>
      <w:pPr>
        <w:keepNext/>
        <w:jc w:val="center"/>
      </w:pPr>
      <w:r>
        <w:drawing>
          <wp:inline distT="0" distB="0" distL="0" distR="0">
            <wp:extent cx="5943600" cy="2895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956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Red fill and outline = predicted mask; yellow outline = ground-truth tumor core where the prediction does not cover it. In each row the slice is the test slice whose three-seed SRG DSC is closest to the median of its tumor type, so the slices are typical for the baseline and were not selected for the ESRG. LLDM = local log-domain difference measure; ASC = 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Figure 4.2 illustrates the effect of each method on the same slices. Adding the local measure to the SRG, or removing the stopping criterion from the ESRG, floods the brain; the SRG with the stopping criterion stays inside the tumor but stops early (DSC 0.36 and 0.56); and removing the local measure from the ESRG changes these two slices little (DSC 0.52 against 0.50 for glioma and 0.84 against 0.84 for meningioma), in line with the small average effect in Table 4.5.</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Comparative Analysis of the Baseline SRG and the ESRG</w:t>
      </w:r>
    </w:p>
    <w:p>
      <w:pPr>
        <w:keepNext w:val="false"/>
        <w:spacing w:after="0" w:before="0" w:line="360"/>
        <w:ind w:firstLine="720"/>
        <w:jc w:val="both"/>
      </w:pPr>
      <w:r>
        <w:rPr>
          <w:rFonts w:ascii="Times New Roman" w:cs="Times New Roman" w:eastAsia="Times New Roman" w:hAnsi="Times New Roman"/>
          <w:sz w:val="24"/>
          <w:szCs w:val="24"/>
        </w:rPr>
        <w:t xml:space="preserve">Table 4.7 brings the experiments together. Each block names the experiment, the configurations compared, and the metric; gives the mean (DSC, recall, precision) or median (time) of the baseline SRG and of the ESRG for each tumor type; and states the significance of the difference and its interpretation. The main comparisons are at equal input. The supplementary comparisons give the SRG more operator input than the ESRG, or start both algorithms from the same automatic seed, and are reported for completeness.</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Comparative Analysis of the Baseline SRG and the ESRG by Experiment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51"/>
        <w:gridCol w:w="1161"/>
        <w:gridCol w:w="1306"/>
        <w:gridCol w:w="726"/>
        <w:gridCol w:w="943"/>
        <w:gridCol w:w="3773"/>
      </w:tblGrid>
      <w:tr>
        <w:trPr>
          <w:cantSplit/>
          <w:tblHeader/>
        </w:trPr>
        <w:tc>
          <w:tcPr>
            <w:tcW w:type="dxa" w:w="145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16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SRG</w:t>
            </w:r>
          </w:p>
        </w:tc>
        <w:tc>
          <w:tcPr>
            <w:tcW w:type="dxa" w:w="130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 compared</w:t>
            </w:r>
          </w:p>
        </w:tc>
        <w:tc>
          <w:tcPr>
            <w:tcW w:type="dxa" w:w="7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w:t>
            </w:r>
          </w:p>
        </w:tc>
        <w:tc>
          <w:tcPr>
            <w:tcW w:type="dxa" w:w="94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c>
          <w:tcPr>
            <w:tcW w:type="dxa" w:w="37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Same input, one planted seed, DSC: SRG (P_SRG_solo) → ESRG (P_ESRG)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At equal input the SRG absorbs the whole image; the ESRG stops at the tumor.</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At equal input the SRG absorbs the whole image; the ESRG stops at the tumor.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No operator seed, DSC: SRG (P_SRG_solo) → ESRG (A_ESRG)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ESRG with an automatic seed is better than the SRG with a planted seed.</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ESRG with an automatic seed is better than the SRG with a planted seed.</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Same input, processing time (s): SRG (P_SRG_solo) → ESRG (P_ESRG)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7.00</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.80</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ESRG is faster because it labels only the tumor.</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8.18</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ESRG is faster because it labels only the tumor.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E5b, ASC added (Objective 3), precision: SRG (P_SRG_solo) → SRG + ASC (P_SRG_solo_S)</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0.976</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stopping criterion removes the leakage of the one-seed 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0.956</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stopping criterion removes the leakage of the one-seed SRG.</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E6, ASC removed (Objective 3), precision: ESRG without ASC → ESRG (P_ESRG_C)</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0.227</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Without the stopping criterion the ESRG floods; the criterion is necessary.</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0.935</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Without the stopping criterion the ESRG floods; the criterion is necessary.</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Main · E4, LLDM removed (Objective 2), recall: ESRG without LLDM → ESRG (P_ESRG)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0.464</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significant change in recall within the 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measure raises recall inside the ESRG.</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SRG with three seeds, DSC: SRG (P_SRG) → ESRG (P_ESRG)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 two extra seeds the SRG scores higher: the ESRG leaks less but covers less of the tumor.</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 two extra seeds the SRG scores higher: the ESRG leaks less but covers less of the tumor.</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Same automatic seed, DSC: SRG (A_SRG) → ESRG (A_ESRG)</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0.438</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From the same seed the SRG scores higher; the ESRG undersegments.</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From the same seed the SRG scores higher; the ESRG undersegments.</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E3, LLDM added to the three-seed SRG (Objective 2), recall: SRG (P_SRG) → SRG + LLDM (P_SRG_L)</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rises only because the SRG floods; its DSC falls (Table 4.5).</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0.909</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0.992</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rises only because the SRG floods; its DSC falls (Table 4.5).</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Supplementary · E5a, ASC replaces competing seeds (Objective 3), DSC: SRG (P_SRG) → SRG + ASC (P_SRG_solo_S)</w:t>
            </w:r>
          </w:p>
        </w:tc>
      </w:tr>
      <w:tr>
        <w:trPr>
          <w:cantSplit/>
        </w:trPr>
        <w:tc>
          <w:tcPr>
            <w:tcW w:type="dxa" w:w="14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w:t>
            </w:r>
          </w:p>
        </w:tc>
        <w:tc>
          <w:tcPr>
            <w:tcW w:type="dxa" w:w="13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w:t>
            </w:r>
          </w:p>
        </w:tc>
        <w:tc>
          <w:tcPr>
            <w:tcW w:type="dxa" w:w="94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One seed with the criterion stops before covering the tumor; the three-seed SRG is higher.</w:t>
            </w:r>
          </w:p>
        </w:tc>
      </w:tr>
      <w:tr>
        <w:trPr>
          <w:cantSplit/>
        </w:trPr>
        <w:tc>
          <w:tcPr>
            <w:tcW w:type="dxa" w:w="145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6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30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0.679</w:t>
            </w:r>
          </w:p>
        </w:tc>
        <w:tc>
          <w:tcPr>
            <w:tcW w:type="dxa" w:w="7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94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7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One seed with the criterion stops before covering the tumor; the three-seed SRG is higher.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compared as named in each block (see Table 3.2). Values are means for DSC, recall, and precision and medians for time. r = effect size of the Wilcoxon signed-rank test; Result = Better, Worse, or ns (Holm p &lt; .05 and |r| ≥ .10), with the compared configuration as the enhanced one. The comparison of the three-seed SRG, the comparison with the same automatic seed, and the one-seed comparisons were defined or adopted after the test run, using results already collected.</w:t>
      </w:r>
    </w:p>
    <w:p>
      <w:pPr>
        <w:keepNext w:val="false"/>
        <w:spacing w:after="0" w:before="0" w:line="360"/>
        <w:ind w:firstLine="720"/>
        <w:jc w:val="both"/>
      </w:pPr>
      <w:r>
        <w:rPr>
          <w:rFonts w:ascii="Times New Roman" w:cs="Times New Roman" w:eastAsia="Times New Roman" w:hAnsi="Times New Roman"/>
          <w:sz w:val="24"/>
          <w:szCs w:val="24"/>
        </w:rPr>
        <w:t xml:space="preserve">At equal input, the ESRG improves on the SRG. Given the same single tumor seed, it is far better in DSC, precision, HD95, and processing time in both tumor types, and its automatic version, which needs no operator seed, is better as well. Each applied method contributes: the stopping criterion removes the leakage of the single-seed SRG and is necessary within the ESRG, and the local measure raises recall within the ESRG for meningioma. The supplementary comparisons show the limits of this advantage. When the SRG is given two additional seeds for healthy tissue and background, or when both algorithms start from the same automatic seed, the SRG obtains a higher DSC, because the ESRG is more conservative: it leaks less (higher precision) but covers less of the tumor (lower recall). The ESRG thus replaces the extra operator input of the SRG with its stopping criterion, at the cost of some recall.</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keepNext w:val="false"/>
        <w:spacing w:after="0" w:before="0" w:line="360"/>
        <w:jc w:val="both"/>
      </w:pPr>
      <w:r>
        <w:rPr>
          <w:rFonts w:ascii="Times New Roman" w:cs="Times New Roman" w:eastAsia="Times New Roman" w:hAnsi="Times New Roman"/>
          <w:sz w:val="24"/>
          <w:szCs w:val="24"/>
        </w:rPr>
        <w:t xml:space="preserve">The following work is cited in this chapter; the remaining citations are listed in Chapter 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359150338dbb71deceff60f29bfbc3e30a3dc.png"/><Relationship Id="rId8" Type="http://schemas.openxmlformats.org/officeDocument/2006/relationships/image" Target="media/60c2f3e6eb9b02eff44cb9e115fa1b2a7e509b7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dc:creator>Karylle Vinces J. Aliswag &amp; Juana Mari A. Del Rosario</dc:creator>
  <cp:lastModifiedBy>Un-named</cp:lastModifiedBy>
  <cp:revision>1</cp:revision>
  <dcterms:created xsi:type="dcterms:W3CDTF">2026-10-13T23:05:27.655Z</dcterms:created>
  <dcterms:modified xsi:type="dcterms:W3CDTF">2026-10-13T23:05:27.657Z</dcterms:modified>
</cp:coreProperties>
</file>

<file path=docProps/custom.xml><?xml version="1.0" encoding="utf-8"?>
<Properties xmlns="http://schemas.openxmlformats.org/officeDocument/2006/custom-properties" xmlns:vt="http://schemas.openxmlformats.org/officeDocument/2006/docPropsVTypes"/>
</file>