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48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480"/>
        <w:jc w:val="center"/>
      </w:pPr>
      <w:r>
        <w:rPr>
          <w:rFonts w:ascii="Times New Roman" w:cs="Times New Roman" w:eastAsia="Times New Roman" w:hAnsi="Times New Roman"/>
          <w:b/>
          <w:bCs/>
          <w:color w:val="000000"/>
          <w:sz w:val="28"/>
          <w:szCs w:val="28"/>
        </w:rPr>
        <w:t xml:space="preserve">RESULTS AND DISCUSSION</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4.1 General Results</w:t>
      </w:r>
    </w:p>
    <w:p>
      <w:pPr>
        <w:spacing w:after="0" w:before="0" w:line="480"/>
        <w:ind w:firstLine="720"/>
        <w:jc w:val="both"/>
      </w:pPr>
      <w:r>
        <w:rPr>
          <w:rFonts w:ascii="Times New Roman" w:cs="Times New Roman" w:eastAsia="Times New Roman" w:hAnsi="Times New Roman"/>
          <w:i w:val="false"/>
          <w:iCs w:val="false"/>
          <w:sz w:val="24"/>
          <w:szCs w:val="24"/>
        </w:rPr>
        <w:t xml:space="preserve">This chapter presents the results of the Enhanced Seeded Region Growing (ESRG) algorithm and compares them with the original Seeded Region Growing (SRG) algorithm of Adams and Bischof (1994), which serves as the baseline control. Both algorithms were evaluated on the test split of the BRISC 2025 dataset (Fateh et al., 2026), which contains 860 slices, every one of which has a ground-truth tumor mask. Performance was measured with the metrics defined in Section 3.4.4: the Dice Similarity Coefficient (DSC, Equation 3.32), Intersection over Union (IoU, Equation 3.33), precision (Equation 3.34), recall (Equation 3.35), the 95th-percentile Hausdorff Distance (HD95, Equation 3.37), the Seed Hit Rate (Equation 3.38), the Leakage Rate (Equation 3.39), and processing time. All parameters were fixed at the values in Table 3.4 before testing.</w:t>
      </w:r>
    </w:p>
    <w:p>
      <w:pPr>
        <w:spacing w:after="0" w:before="0" w:line="480"/>
        <w:ind w:firstLine="720"/>
        <w:jc w:val="both"/>
      </w:pPr>
      <w:r>
        <w:rPr>
          <w:rFonts w:ascii="Times New Roman" w:cs="Times New Roman" w:eastAsia="Times New Roman" w:hAnsi="Times New Roman"/>
          <w:i w:val="false"/>
          <w:iCs w:val="false"/>
          <w:sz w:val="24"/>
          <w:szCs w:val="24"/>
        </w:rPr>
        <w:t xml:space="preserve">All evaluations were produced by an automated batch pipeline (experiments/evaluate.py) that draws the sample, runs every configuration on every sampled slice, and writes one row of raw results per slice and configuration. A second script (experiments/analyze.py) computes every statistic, table value, and figure in this chapter from those rows. The raw results are attached as a separate workbook, ESRG_Chapter4_raw_evaluation_results.xlsx, which contains the sampled slices, all 6,500 raw result rows, a dictionary of every column, and a per-configuration summary. None of the 6,500 runs ended in an error.</w:t>
      </w:r>
    </w:p>
    <w:p>
      <w:pPr>
        <w:pStyle w:val="Heading3"/>
        <w:keepNext/>
        <w:spacing w:after="0" w:before="120" w:line="480"/>
        <w:jc w:val="left"/>
      </w:pPr>
      <w:r>
        <w:rPr>
          <w:rFonts w:ascii="Times New Roman" w:cs="Times New Roman" w:eastAsia="Times New Roman" w:hAnsi="Times New Roman"/>
          <w:b/>
          <w:bCs/>
          <w:color w:val="000000"/>
          <w:sz w:val="24"/>
          <w:szCs w:val="24"/>
        </w:rPr>
        <w:t xml:space="preserve">Sampling</w:t>
      </w:r>
    </w:p>
    <w:p>
      <w:pPr>
        <w:spacing w:after="0" w:before="0" w:line="480"/>
        <w:ind w:firstLine="720"/>
        <w:jc w:val="both"/>
      </w:pPr>
      <w:r>
        <w:rPr>
          <w:rFonts w:ascii="Times New Roman" w:cs="Times New Roman" w:eastAsia="Times New Roman" w:hAnsi="Times New Roman"/>
          <w:i w:val="false"/>
          <w:iCs w:val="false"/>
          <w:sz w:val="24"/>
          <w:szCs w:val="24"/>
        </w:rPr>
        <w:t xml:space="preserve">A stratified random sample of 500 slices was drawn from the test split. The population was divided into nine strata, one for each combination of tumor class and imaging plane, and the sample was allocated to the strata in proportion to their size: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b>
                  <m:sSubPr/>
                  <m:e>
                    <m:r>
                      <m:t xml:space="preserve">n</m:t>
                    </m:r>
                  </m:e>
                  <m:sub>
                    <m:r>
                      <m:t xml:space="preserve">h</m:t>
                    </m:r>
                  </m:sub>
                </m:sSub>
                <m:r>
                  <m:t xml:space="preserve">=</m:t>
                </m:r>
                <m:r>
                  <m:t xml:space="preserve">n</m:t>
                </m:r>
                <m:r>
                  <m:t xml:space="preserve">·</m:t>
                </m:r>
                <m:f>
                  <m:num>
                    <m:sSub>
                      <m:sSubPr/>
                      <m:e>
                        <m:r>
                          <m:t xml:space="preserve">N</m:t>
                        </m:r>
                      </m:e>
                      <m:sub>
                        <m:r>
                          <m:t xml:space="preserve">h</m:t>
                        </m:r>
                      </m:sub>
                    </m:sSub>
                  </m:num>
                  <m:den>
                    <m:r>
                      <m:t xml:space="preserve">N</m:t>
                    </m:r>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(4.1)</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h</w:t>
      </w:r>
      <w:r>
        <w:rPr>
          <w:rFonts w:ascii="Times New Roman" w:cs="Times New Roman" w:eastAsia="Times New Roman" w:hAnsi="Times New Roman"/>
          <w:i w:val="false"/>
          <w:iCs w:val="false"/>
          <w:sz w:val="24"/>
          <w:szCs w:val="24"/>
        </w:rPr>
        <w:t xml:space="preserve"> – number of slices sampled from stratum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rounded by the largest-remainder method so that the strata sum exactly to </w:t>
      </w:r>
      <w:r>
        <w:rPr>
          <w:rFonts w:ascii="Times New Roman" w:cs="Times New Roman" w:eastAsia="Times New Roman" w:hAnsi="Times New Roman"/>
          <w:i/>
          <w:iCs/>
          <w:sz w:val="24"/>
          <w:szCs w:val="24"/>
        </w:rPr>
        <w:t xml:space="preserve">n</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total sample size, 500 slices</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bscript"/>
        </w:rPr>
        <w:t xml:space="preserve">h</w:t>
      </w:r>
      <w:r>
        <w:rPr>
          <w:rFonts w:ascii="Times New Roman" w:cs="Times New Roman" w:eastAsia="Times New Roman" w:hAnsi="Times New Roman"/>
          <w:i w:val="false"/>
          <w:iCs w:val="false"/>
          <w:sz w:val="24"/>
          <w:szCs w:val="24"/>
        </w:rPr>
        <w:t xml:space="preserve"> – number of test-split slices in stratum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(a tumor class and imaging plane)</w:t>
      </w:r>
    </w:p>
    <w:p>
      <w:pPr>
        <w:keepNext w:val="false"/>
        <w:spacing w:after="20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total number of test-split slices, 860</w:t>
      </w:r>
    </w:p>
    <w:p>
      <w:pPr>
        <w:spacing w:after="0" w:before="0" w:line="480"/>
        <w:ind w:firstLine="720"/>
        <w:jc w:val="both"/>
      </w:pPr>
      <w:r>
        <w:rPr>
          <w:rFonts w:ascii="Times New Roman" w:cs="Times New Roman" w:eastAsia="Times New Roman" w:hAnsi="Times New Roman"/>
          <w:i w:val="false"/>
          <w:iCs w:val="false"/>
          <w:sz w:val="24"/>
          <w:szCs w:val="24"/>
        </w:rPr>
        <w:t xml:space="preserve">Within each stratum, the slices were selected at random with a fixed seed (2026), so the sample can be reproduced exactly. With proportional allocation, every stratum has the same sampling fraction (500/860 = 58.1%), and each tumor class and plane is represented in the same proportion as in the full test split (Table 4.1). The precision that this sample size provides for a proportion, such as a success rate, is given by the margin of error with the finite population correction (Cochran, 1977):</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e</m:t>
                </m:r>
                <m:r>
                  <m:t xml:space="preserve">=</m:t>
                </m:r>
                <m:r>
                  <m:t xml:space="preserve">z</m:t>
                </m:r>
                <m:rad>
                  <m:radPr>
                    <m:degHide m:val="1"/>
                  </m:radPr>
                  <m:deg/>
                  <m:e>
                    <m:f>
                      <m:num>
                        <m:r>
                          <m:t xml:space="preserve">p</m:t>
                        </m:r>
                        <m:d>
                          <m:dPr/>
                          <m:e>
                            <m:r>
                              <m:t xml:space="preserve">1</m:t>
                            </m:r>
                            <m:r>
                              <m:t xml:space="preserve">−</m:t>
                            </m:r>
                            <m:r>
                              <m:t xml:space="preserve">p</m:t>
                            </m:r>
                          </m:e>
                        </m:d>
                      </m:num>
                      <m:den>
                        <m:r>
                          <m:t xml:space="preserve">n</m:t>
                        </m:r>
                      </m:den>
                    </m:f>
                    <m:r>
                      <m:t xml:space="preserve">·</m:t>
                    </m:r>
                    <m:f>
                      <m:num>
                        <m:r>
                          <m:t xml:space="preserve">N</m:t>
                        </m:r>
                        <m:r>
                          <m:t xml:space="preserve">−</m:t>
                        </m:r>
                        <m:r>
                          <m:t xml:space="preserve">n</m:t>
                        </m:r>
                      </m:num>
                      <m:den>
                        <m:r>
                          <m:t xml:space="preserve">N</m:t>
                        </m:r>
                        <m:r>
                          <m:t xml:space="preserve">−</m:t>
                        </m:r>
                        <m:r>
                          <m:t xml:space="preserve">1</m:t>
                        </m:r>
                      </m:den>
                    </m:f>
                  </m:e>
                </m:ra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(4.2)</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 – margin of error of an estimated proportion</w:t>
      </w:r>
    </w:p>
    <w:p>
      <w:pPr>
        <w:keepNext/>
        <w:spacing w:after="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1.96, the standard normal value for 95% confidence</w:t>
      </w:r>
    </w:p>
    <w:p>
      <w:pPr>
        <w:keepNext/>
        <w:spacing w:after="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assumed population proportion;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.50 gives the largest (most conservative) margin</w:t>
      </w:r>
    </w:p>
    <w:p>
      <w:pPr>
        <w:keepNext w:val="false"/>
        <w:spacing w:after="20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sample size (500) and population size (860)</w:t>
      </w:r>
    </w:p>
    <w:p>
      <w:pPr>
        <w:spacing w:after="0" w:before="0" w:line="480"/>
        <w:ind w:firstLine="720"/>
        <w:jc w:val="both"/>
      </w:pPr>
      <w:r>
        <w:rPr>
          <w:rFonts w:ascii="Times New Roman" w:cs="Times New Roman" w:eastAsia="Times New Roman" w:hAnsi="Times New Roman"/>
          <w:i w:val="false"/>
          <w:iCs w:val="false"/>
          <w:sz w:val="24"/>
          <w:szCs w:val="24"/>
        </w:rPr>
        <w:t xml:space="preserve">Substituting these values gives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 = ±2.8%, so a proportion estimated from the sample lies within about 2.8 percentage points of its value in the full test split at 95% confidence. This is tighter than the ±5% of the minimum sample of 266 slices given by Cochran’s formula for this population.</w:t>
      </w:r>
    </w:p>
    <w:p>
      <w:pPr>
        <w:keepNext/>
        <w:spacing w:after="0" w:before="240" w:line="480"/>
      </w:pPr>
      <w:r>
        <w:rPr>
          <w:rFonts w:ascii="Times New Roman" w:cs="Times New Roman" w:eastAsia="Times New Roman" w:hAnsi="Times New Roman"/>
          <w:b/>
          <w:bCs/>
          <w:i w:val="false"/>
          <w:iCs w:val="false"/>
          <w:sz w:val="24"/>
          <w:szCs w:val="24"/>
        </w:rPr>
        <w:t xml:space="preserve">Table 4.1</w:t>
      </w:r>
    </w:p>
    <w:p>
      <w:pPr>
        <w:keepNext/>
        <w:spacing w:after="0" w:line="480"/>
      </w:pPr>
      <w:r>
        <w:rPr>
          <w:rFonts w:ascii="Times New Roman" w:cs="Times New Roman" w:eastAsia="Times New Roman" w:hAnsi="Times New Roman"/>
          <w:i/>
          <w:iCs/>
          <w:sz w:val="24"/>
          <w:szCs w:val="24"/>
        </w:rPr>
        <w:t xml:space="preserve">Composition of the stratified test sample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160"/>
        <w:gridCol w:w="1300"/>
        <w:gridCol w:w="1300"/>
        <w:gridCol w:w="1300"/>
        <w:gridCol w:w="1600"/>
        <w:gridCol w:w="1700"/>
      </w:tblGrid>
      <w:tr>
        <w:trPr>
          <w:cantSplit/>
          <w:tblHeader/>
        </w:trPr>
        <w:tc>
          <w:tcPr>
            <w:tcW w:type="dxa" w:w="21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Axial</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Coronal</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Sagittal</w:t>
            </w:r>
          </w:p>
        </w:tc>
        <w:tc>
          <w:tcPr>
            <w:tcW w:type="dxa" w:w="1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Sample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rPr>
              <w:t xml:space="preserve">)</w:t>
            </w:r>
          </w:p>
        </w:tc>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Test split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rPr>
              <w:t xml:space="preserve">)</w:t>
            </w:r>
          </w:p>
        </w:tc>
      </w:tr>
      <w:tr>
        <w:trPr>
          <w:cantSplit/>
        </w:trPr>
        <w:tc>
          <w:tcPr>
            <w:tcW w:type="dxa" w:w="2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48</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178</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306</w:t>
            </w:r>
          </w:p>
        </w:tc>
      </w:tr>
      <w:tr>
        <w:trPr>
          <w:cantSplit/>
        </w:trPr>
        <w:tc>
          <w:tcPr>
            <w:tcW w:type="dxa" w:w="2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174</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300</w:t>
            </w:r>
          </w:p>
        </w:tc>
      </w:tr>
      <w:tr>
        <w:trPr>
          <w:cantSplit/>
        </w:trPr>
        <w:tc>
          <w:tcPr>
            <w:tcW w:type="dxa" w:w="2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47</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w:t>
            </w:r>
          </w:p>
        </w:tc>
        <w:tc>
          <w:tcPr>
            <w:tcW w:type="dxa" w:w="1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148</w:t>
            </w:r>
          </w:p>
        </w:tc>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254</w:t>
            </w:r>
          </w:p>
        </w:tc>
      </w:tr>
      <w:tr>
        <w:trPr>
          <w:cantSplit/>
        </w:trPr>
        <w:tc>
          <w:tcPr>
            <w:tcW w:type="dxa" w:w="21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202</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500</w:t>
            </w:r>
          </w:p>
        </w:tc>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860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Cell values are the numbers of sampled slices,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vertAlign w:val="subscript"/>
        </w:rPr>
        <w:t xml:space="preserve">h</w:t>
      </w:r>
      <w:r>
        <w:rPr>
          <w:rFonts w:ascii="Times New Roman" w:cs="Times New Roman" w:eastAsia="Times New Roman" w:hAnsi="Times New Roman"/>
          <w:i w:val="false"/>
          <w:iCs w:val="false"/>
          <w:sz w:val="20"/>
          <w:szCs w:val="20"/>
        </w:rPr>
        <w:t xml:space="preserve">, computed with Equation 4.1 from the stratum sizes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vertAlign w:val="subscript"/>
        </w:rPr>
        <w:t xml:space="preserve">h</w:t>
      </w:r>
      <w:r>
        <w:rPr>
          <w:rFonts w:ascii="Times New Roman" w:cs="Times New Roman" w:eastAsia="Times New Roman" w:hAnsi="Times New Roman"/>
          <w:i w:val="false"/>
          <w:iCs w:val="false"/>
          <w:sz w:val="20"/>
          <w:szCs w:val="20"/>
        </w:rPr>
        <w:t xml:space="preserve"> of the BRISC 2025 test split (listed in the Strata sheet of the raw-results workbook). Tumor class and plane are read from each filename.</w:t>
      </w:r>
    </w:p>
    <w:p>
      <w:pPr>
        <w:pStyle w:val="Heading3"/>
        <w:keepNext/>
        <w:spacing w:after="0" w:before="120" w:line="480"/>
        <w:jc w:val="left"/>
      </w:pPr>
      <w:r>
        <w:rPr>
          <w:rFonts w:ascii="Times New Roman" w:cs="Times New Roman" w:eastAsia="Times New Roman" w:hAnsi="Times New Roman"/>
          <w:b/>
          <w:bCs/>
          <w:color w:val="000000"/>
          <w:sz w:val="24"/>
          <w:szCs w:val="24"/>
        </w:rPr>
        <w:t xml:space="preserve">Evaluation Protocol</w:t>
      </w:r>
    </w:p>
    <w:p>
      <w:pPr>
        <w:spacing w:after="0" w:before="0" w:line="480"/>
        <w:ind w:firstLine="720"/>
        <w:jc w:val="both"/>
      </w:pPr>
      <w:r>
        <w:rPr>
          <w:rFonts w:ascii="Times New Roman" w:cs="Times New Roman" w:eastAsia="Times New Roman" w:hAnsi="Times New Roman"/>
          <w:i w:val="false"/>
          <w:iCs w:val="false"/>
          <w:sz w:val="24"/>
          <w:szCs w:val="24"/>
        </w:rPr>
        <w:t xml:space="preserve">To separate the contribution of each enhancement, every sampled slice was processed under the thirteen configurations in Table 4.2, so that all comparisons are paired on identical images. Two seeding conditions were used. Under </w:t>
      </w:r>
      <w:r>
        <w:rPr>
          <w:rFonts w:ascii="Times New Roman" w:cs="Times New Roman" w:eastAsia="Times New Roman" w:hAnsi="Times New Roman"/>
          <w:i/>
          <w:iCs/>
          <w:sz w:val="24"/>
          <w:szCs w:val="24"/>
        </w:rPr>
        <w:t xml:space="preserve">automatic seeding</w:t>
      </w:r>
      <w:r>
        <w:rPr>
          <w:rFonts w:ascii="Times New Roman" w:cs="Times New Roman" w:eastAsia="Times New Roman" w:hAnsi="Times New Roman"/>
          <w:i w:val="false"/>
          <w:iCs w:val="false"/>
          <w:sz w:val="24"/>
          <w:szCs w:val="24"/>
        </w:rPr>
        <w:t xml:space="preserve">, each algorithm starts from the seed produced by the automated seed selection of Objective 1; the baseline also receives a regular grid of background seeds (every 8 pixels inside the head mask), because the original algorithm needs competing regions in order to stop. Under </w:t>
      </w:r>
      <w:r>
        <w:rPr>
          <w:rFonts w:ascii="Times New Roman" w:cs="Times New Roman" w:eastAsia="Times New Roman" w:hAnsi="Times New Roman"/>
          <w:i/>
          <w:iCs/>
          <w:sz w:val="24"/>
          <w:szCs w:val="24"/>
        </w:rPr>
        <w:t xml:space="preserve">planted seeding</w:t>
      </w:r>
      <w:r>
        <w:rPr>
          <w:rFonts w:ascii="Times New Roman" w:cs="Times New Roman" w:eastAsia="Times New Roman" w:hAnsi="Times New Roman"/>
          <w:i w:val="false"/>
          <w:iCs w:val="false"/>
          <w:sz w:val="24"/>
          <w:szCs w:val="24"/>
        </w:rPr>
        <w:t xml:space="preserve">, a single click is placed at the deepest pixel of the ground-truth tumor, the pixel farthest from the tumor boundary, and is dilated into a disk of radius 3 pixels exactly as a manual click is. ESRG then reduces this disk to its core, as it does in manual mode (Section 3.4.1), while SRG grows it against the same background grid. Planted seeding simulates a correctly placed manual seed on every slice and therefore measures region growing independently of seed selection.</w:t>
      </w:r>
    </w:p>
    <w:p>
      <w:pPr>
        <w:spacing w:after="0" w:before="0" w:line="480"/>
        <w:ind w:firstLine="720"/>
        <w:jc w:val="both"/>
      </w:pPr>
      <w:r>
        <w:rPr>
          <w:rFonts w:ascii="Times New Roman" w:cs="Times New Roman" w:eastAsia="Times New Roman" w:hAnsi="Times New Roman"/>
          <w:i w:val="false"/>
          <w:iCs w:val="false"/>
          <w:sz w:val="24"/>
          <w:szCs w:val="24"/>
        </w:rPr>
        <w:t xml:space="preserve">For Experiment E2, a synthetic bias field was multiplied into each slice before normalization, reproducing the image-formation model of Equation 3.13:</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sSup>
                  <m:sSupPr/>
                  <m:e>
                    <m:r>
                      <m:t xml:space="preserve">I</m:t>
                    </m:r>
                  </m:e>
                  <m:sup>
                    <m:r>
                      <m:t xml:space="preserve">′</m:t>
                    </m:r>
                  </m:sup>
                </m:sSup>
                <m:d>
                  <m:dPr/>
                  <m:e>
                    <m:r>
                      <m:t xml:space="preserve">x</m:t>
                    </m:r>
                  </m:e>
                </m:d>
                <m:r>
                  <m:t xml:space="preserve">=</m:t>
                </m:r>
                <m:r>
                  <m:t xml:space="preserve">I</m:t>
                </m:r>
                <m:d>
                  <m:dPr/>
                  <m:e>
                    <m:r>
                      <m:t xml:space="preserve">x</m:t>
                    </m:r>
                  </m:e>
                </m:d>
                <m:r>
                  <m:t xml:space="preserve">·</m:t>
                </m:r>
                <m:d>
                  <m:dPr>
                    <m:begChr m:val="["/>
                    <m:endChr m:val="]"/>
                  </m:dPr>
                  <m:e>
                    <m:r>
                      <m:t xml:space="preserve">1</m:t>
                    </m:r>
                    <m:r>
                      <m:t xml:space="preserve">+</m:t>
                    </m:r>
                    <m:f>
                      <m:num>
                        <m:r>
                          <m:t xml:space="preserve">β</m:t>
                        </m:r>
                      </m:num>
                      <m:den>
                        <m:r>
                          <m:t xml:space="preserve">2</m:t>
                        </m:r>
                      </m:den>
                    </m:f>
                    <m:r>
                      <m:t xml:space="preserve">·</m:t>
                    </m:r>
                    <m:f>
                      <m:num>
                        <m:r>
                          <m:t xml:space="preserve">u</m:t>
                        </m:r>
                        <m:d>
                          <m:dPr/>
                          <m:e>
                            <m:r>
                              <m:t xml:space="preserve">x</m:t>
                            </m:r>
                          </m:e>
                        </m:d>
                      </m:num>
                      <m:den>
                        <m:limLow>
                          <m:e>
                            <m:r>
                              <m:rPr>
                                <m:sty m:val="p"/>
                              </m:rPr>
                              <m:t xml:space="preserve">max</m:t>
                            </m:r>
                          </m:e>
                          <m:lim>
                            <m:r>
                              <m:t xml:space="preserve">z</m:t>
                            </m:r>
                          </m:lim>
                        </m:limLow>
                        <m:r>
                          <m:t xml:space="preserve">|</m:t>
                        </m:r>
                        <m:r>
                          <m:t xml:space="preserve">u</m:t>
                        </m:r>
                        <m:d>
                          <m:dPr/>
                          <m:e>
                            <m:r>
                              <m:t xml:space="preserve">z</m:t>
                            </m:r>
                          </m:e>
                        </m:d>
                        <m:r>
                          <m:t xml:space="preserve">|</m:t>
                        </m:r>
                      </m:den>
                    </m:f>
                  </m:e>
                </m:d>
                <m:r>
                  <m:t xml:space="preserve">,</m:t>
                </m:r>
                <m:r>
                  <m:t xml:space="preserve">  </m:t>
                </m:r>
                <m:r>
                  <m:t xml:space="preserve">u</m:t>
                </m:r>
                <m:d>
                  <m:dPr/>
                  <m:e>
                    <m:r>
                      <m:t xml:space="preserve">x</m:t>
                    </m:r>
                  </m:e>
                </m:d>
                <m:r>
                  <m:t xml:space="preserve">=</m:t>
                </m:r>
                <m:d>
                  <m:dPr/>
                  <m:e>
                    <m:r>
                      <m:t xml:space="preserve">x</m:t>
                    </m:r>
                    <m:r>
                      <m:t xml:space="preserve">−</m:t>
                    </m:r>
                    <m:r>
                      <m:t xml:space="preserve">c</m:t>
                    </m:r>
                  </m:e>
                </m:d>
                <m:r>
                  <m:t xml:space="preserve">·</m:t>
                </m:r>
                <m:d>
                  <m:dPr/>
                  <m:e>
                    <m:r>
                      <m:rPr>
                        <m:sty m:val="p"/>
                      </m:rPr>
                      <m:t xml:space="preserve">cos</m:t>
                    </m:r>
                    <m:r>
                      <m:t xml:space="preserve">θ</m:t>
                    </m:r>
                    <m:r>
                      <m:t xml:space="preserve">,</m:t>
                    </m:r>
                    <m:r>
                      <m:rPr>
                        <m:sty m:val="p"/>
                      </m:rPr>
                      <m:t xml:space="preserve">sin</m:t>
                    </m:r>
                    <m:r>
                      <m:t xml:space="preserve">θ</m:t>
                    </m:r>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(4.3)</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intensity of pixel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in the loaded slice before and after the bias field is applied</w:t>
      </w:r>
    </w:p>
    <w:p>
      <w:pPr>
        <w:keepNext/>
        <w:spacing w:after="0" w:line="360"/>
        <w:ind w:left="1440" w:hanging="720"/>
      </w:pPr>
      <w:r>
        <w:rPr>
          <w:rFonts w:ascii="Times New Roman" w:cs="Times New Roman" w:eastAsia="Times New Roman" w:hAnsi="Times New Roman"/>
          <w:i w:val="false"/>
          <w:iCs w:val="false"/>
          <w:sz w:val="24"/>
          <w:szCs w:val="24"/>
        </w:rPr>
        <w:t xml:space="preserve">β</w:t>
      </w:r>
      <w:r>
        <w:rPr>
          <w:rFonts w:ascii="Times New Roman" w:cs="Times New Roman" w:eastAsia="Times New Roman" w:hAnsi="Times New Roman"/>
          <w:i w:val="false"/>
          <w:iCs w:val="false"/>
          <w:sz w:val="24"/>
          <w:szCs w:val="24"/>
        </w:rPr>
        <w:t xml:space="preserve"> – bias amplitude, 0.4: the field spans 0.8 to 1.2, a 40% intensity non-uniformity as used in the BrainWeb simulator</w:t>
      </w:r>
    </w:p>
    <w:p>
      <w:pPr>
        <w:keepNext/>
        <w:spacing w:after="0" w:line="360"/>
        <w:ind w:left="1440" w:hanging="720"/>
      </w:pP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signed distance of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from the image center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along the gradient direction</w:t>
      </w:r>
    </w:p>
    <w:p>
      <w:pPr>
        <w:keepNext/>
        <w:spacing w:after="0" w:line="360"/>
        <w:ind w:left="1440" w:hanging="720"/>
      </w:pPr>
      <w:r>
        <w:rPr>
          <w:rFonts w:ascii="Times New Roman" w:cs="Times New Roman" w:eastAsia="Times New Roman" w:hAnsi="Times New Roman"/>
          <w:i w:val="false"/>
          <w:iCs w:val="false"/>
          <w:sz w:val="24"/>
          <w:szCs w:val="24"/>
        </w:rPr>
        <w:t xml:space="preserve">θ</w:t>
      </w:r>
      <w:r>
        <w:rPr>
          <w:rFonts w:ascii="Times New Roman" w:cs="Times New Roman" w:eastAsia="Times New Roman" w:hAnsi="Times New Roman"/>
          <w:i w:val="false"/>
          <w:iCs w:val="false"/>
          <w:sz w:val="24"/>
          <w:szCs w:val="24"/>
        </w:rPr>
        <w:t xml:space="preserve"> – gradient direction, drawn at random for each slice with a fixed seed (recorded in the bias_theta_deg column)</w:t>
      </w:r>
    </w:p>
    <w:p>
      <w:pPr>
        <w:keepNext w:val="false"/>
        <w:spacing w:after="200" w:line="360"/>
        <w:ind w:left="1440" w:hanging="720"/>
      </w:pP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vertAlign w:val="subscript"/>
        </w:rPr>
        <w:t xml:space="preserve">z</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largest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in the image, which scales the field to exactly ±β/2 at the image edges</w:t>
      </w:r>
    </w:p>
    <w:p>
      <w:pPr>
        <w:keepNext/>
        <w:spacing w:after="0" w:before="240" w:line="480"/>
      </w:pPr>
      <w:r>
        <w:rPr>
          <w:rFonts w:ascii="Times New Roman" w:cs="Times New Roman" w:eastAsia="Times New Roman" w:hAnsi="Times New Roman"/>
          <w:b/>
          <w:bCs/>
          <w:i w:val="false"/>
          <w:iCs w:val="false"/>
          <w:sz w:val="24"/>
          <w:szCs w:val="24"/>
        </w:rPr>
        <w:t xml:space="preserve">Table 4.2</w:t>
      </w:r>
    </w:p>
    <w:p>
      <w:pPr>
        <w:keepNext/>
        <w:spacing w:after="0" w:line="480"/>
      </w:pPr>
      <w:r>
        <w:rPr>
          <w:rFonts w:ascii="Times New Roman" w:cs="Times New Roman" w:eastAsia="Times New Roman" w:hAnsi="Times New Roman"/>
          <w:i/>
          <w:iCs/>
          <w:sz w:val="24"/>
          <w:szCs w:val="24"/>
        </w:rPr>
        <w:t xml:space="preserve">Configurations evaluated on every sampled slice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0"/>
        <w:gridCol w:w="1250"/>
        <w:gridCol w:w="1150"/>
        <w:gridCol w:w="850"/>
        <w:gridCol w:w="3110"/>
        <w:gridCol w:w="1300"/>
      </w:tblGrid>
      <w:tr>
        <w:trPr>
          <w:cantSplit/>
          <w:tblHeader/>
        </w:trPr>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Configuration</w:t>
            </w:r>
          </w:p>
        </w:tc>
        <w:tc>
          <w:tcPr>
            <w:tcW w:type="dxa" w:w="12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Algorithm</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Seeding</w:t>
            </w:r>
          </w:p>
        </w:tc>
        <w:tc>
          <w:tcPr>
            <w:tcW w:type="dxa" w:w="8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Bias field</w:t>
            </w:r>
          </w:p>
        </w:tc>
        <w:tc>
          <w:tcPr>
            <w:tcW w:type="dxa" w:w="31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Change from the default</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Experiment</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A_SRG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E1, E3, E6</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A_ESRG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 (full)</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Automatic</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E1, E3, E5, E6</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 E3, E4</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P_ESRG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 (full)</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 E3, E4</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P_ESRG_global</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Global measure: δ(</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μ</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E4 (Obj. 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P_ESRG_nolog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Log transform off: </w:t>
            </w:r>
            <w:r>
              <w:rPr>
                <w:rFonts w:ascii="Times New Roman" w:cs="Times New Roman" w:eastAsia="Times New Roman" w:hAnsi="Times New Roman"/>
                <w:b w:val="false"/>
                <w:bCs w:val="false"/>
                <w:i/>
                <w:iCs/>
                <w:sz w:val="20"/>
                <w:szCs w:val="20"/>
              </w:rPr>
              <w:t xml:space="preserve">L</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val="false"/>
                <w:bCs w:val="false"/>
                <w:i/>
                <w:iCs/>
                <w:sz w:val="20"/>
                <w:szCs w:val="20"/>
              </w:rPr>
              <w:t xml:space="preserve">I</w:t>
            </w:r>
            <w:r>
              <w:rPr>
                <w:rFonts w:ascii="Times New Roman" w:cs="Times New Roman" w:eastAsia="Times New Roman" w:hAnsi="Times New Roman"/>
                <w:b w:val="false"/>
                <w:bCs w:val="false"/>
                <w:i w:val="false"/>
                <w:iCs w:val="false"/>
                <w:sz w:val="20"/>
                <w:szCs w:val="20"/>
              </w:rPr>
              <w:t xml:space="preserve">(</w:t>
            </w:r>
            <w:r>
              <w:rPr>
                <w:rFonts w:ascii="Times New Roman" w:cs="Times New Roman" w:eastAsia="Times New Roman" w:hAnsi="Times New Roman"/>
                <w:b w:val="false"/>
                <w:bCs w:val="false"/>
                <w:i/>
                <w:iCs/>
                <w:sz w:val="20"/>
                <w:szCs w:val="20"/>
              </w:rPr>
              <w:t xml:space="preserve">x</w:t>
            </w: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E4 (Obj. 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P_ESRG_nostop</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 stopping criterion (unconditional absorption)</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E4 (Obj. 3)</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P_ESRG_nopurify</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Click disk used without core purification</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Seed size</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B_SRG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B_SRG_N4</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N4 bias-field correction before growing</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B_ESRG</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 (full)</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B_ESRG_global</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31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Global measure</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w:t>
            </w:r>
          </w:p>
        </w:tc>
      </w:tr>
      <w:tr>
        <w:trPr>
          <w:cantSplit/>
        </w:trPr>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B_ESRG_nolog</w:t>
            </w:r>
          </w:p>
        </w:tc>
        <w:tc>
          <w:tcPr>
            <w:tcW w:type="dxa" w:w="12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ESRG</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Planted</w:t>
            </w:r>
          </w:p>
        </w:tc>
        <w:tc>
          <w:tcPr>
            <w:tcW w:type="dxa" w:w="8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Yes</w:t>
            </w:r>
          </w:p>
        </w:tc>
        <w:tc>
          <w:tcPr>
            <w:tcW w:type="dxa" w:w="31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Log transform off</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E2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Every configuration was run on all 500 slices (500 × 13 = 6,500 runs). “Change from the default” lists the only setting that differs from Table 3.4; all other parameters are identical. Experiments E1–E6 are those of Table 3.5. The configuration identifier appears in the config column of the raw-results workbook.</w:t>
      </w:r>
    </w:p>
    <w:p>
      <w:pPr>
        <w:pStyle w:val="Heading3"/>
        <w:keepNext/>
        <w:spacing w:after="0" w:before="120" w:line="480"/>
        <w:jc w:val="left"/>
      </w:pPr>
      <w:r>
        <w:rPr>
          <w:rFonts w:ascii="Times New Roman" w:cs="Times New Roman" w:eastAsia="Times New Roman" w:hAnsi="Times New Roman"/>
          <w:b/>
          <w:bCs/>
          <w:color w:val="000000"/>
          <w:sz w:val="24"/>
          <w:szCs w:val="24"/>
        </w:rPr>
        <w:t xml:space="preserve">Statistical Treatment of the Results</w:t>
      </w:r>
    </w:p>
    <w:p>
      <w:pPr>
        <w:spacing w:after="0" w:before="0" w:line="480"/>
        <w:ind w:firstLine="720"/>
        <w:jc w:val="both"/>
      </w:pPr>
      <w:r>
        <w:rPr>
          <w:rFonts w:ascii="Times New Roman" w:cs="Times New Roman" w:eastAsia="Times New Roman" w:hAnsi="Times New Roman"/>
          <w:i w:val="false"/>
          <w:iCs w:val="false"/>
          <w:sz w:val="24"/>
          <w:szCs w:val="24"/>
        </w:rPr>
        <w:t xml:space="preserve">Because each slice was processed under every configuration, two configurations are compared on the same slices with the Wilcoxon signed-rank test (Wilcoxon, 1945), which does not assume normally distributed differences. This matters here because per-slice DSC is bounded and bimodal (Figure 4.5). For every slice, the difference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vertAlign w:val="subscript"/>
        </w:rPr>
        <w:t xml:space="preserve">i</w:t>
      </w:r>
      <w:r>
        <w:rPr>
          <w:rFonts w:ascii="Times New Roman" w:cs="Times New Roman" w:eastAsia="Times New Roman" w:hAnsi="Times New Roman"/>
          <w:i w:val="false"/>
          <w:iCs w:val="false"/>
          <w:sz w:val="24"/>
          <w:szCs w:val="24"/>
        </w:rPr>
        <w:t xml:space="preserve"> between the compared configuration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and the reference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is computed; zero differences are dropped, the remaining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vertAlign w:val="subscript"/>
        </w:rPr>
        <w:t xml:space="preserve">i</w:t>
      </w:r>
      <w:r>
        <w:rPr>
          <w:rFonts w:ascii="Times New Roman" w:cs="Times New Roman" w:eastAsia="Times New Roman" w:hAnsi="Times New Roman"/>
          <w:i w:val="false"/>
          <w:iCs w:val="false"/>
          <w:sz w:val="24"/>
          <w:szCs w:val="24"/>
        </w:rPr>
        <w:t xml:space="preserve">| are ranked, and the standardized statistic is: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Z</m:t>
                </m:r>
                <m:r>
                  <m:t xml:space="preserve">=</m:t>
                </m:r>
                <m:f>
                  <m:num>
                    <m:sSub>
                      <m:sSubPr/>
                      <m:e>
                        <m:r>
                          <m:t xml:space="preserve">W</m:t>
                        </m:r>
                      </m:e>
                      <m:sub>
                        <m:r>
                          <m:t xml:space="preserve">+</m:t>
                        </m:r>
                      </m:sub>
                    </m:sSub>
                    <m:r>
                      <m:t xml:space="preserve">−</m:t>
                    </m:r>
                    <m:f>
                      <m:num>
                        <m:sSup>
                          <m:sSupPr/>
                          <m:e>
                            <m:r>
                              <m:t xml:space="preserve">n</m:t>
                            </m:r>
                          </m:e>
                          <m:sup>
                            <m:r>
                              <m:t xml:space="preserve">′</m:t>
                            </m:r>
                          </m:sup>
                        </m:sSup>
                        <m:d>
                          <m:dPr/>
                          <m:e>
                            <m:sSup>
                              <m:sSupPr/>
                              <m:e>
                                <m:r>
                                  <m:t xml:space="preserve">n</m:t>
                                </m:r>
                              </m:e>
                              <m:sup>
                                <m:r>
                                  <m:t xml:space="preserve">′</m:t>
                                </m:r>
                              </m:sup>
                            </m:sSup>
                            <m:r>
                              <m:t xml:space="preserve">+</m:t>
                            </m:r>
                            <m:r>
                              <m:t xml:space="preserve">1</m:t>
                            </m:r>
                          </m:e>
                        </m:d>
                      </m:num>
                      <m:den>
                        <m:r>
                          <m:t xml:space="preserve">4</m:t>
                        </m:r>
                      </m:den>
                    </m:f>
                  </m:num>
                  <m:den>
                    <m:rad>
                      <m:radPr>
                        <m:degHide m:val="1"/>
                      </m:radPr>
                      <m:deg/>
                      <m:e>
                        <m:f>
                          <m:num>
                            <m:sSup>
                              <m:sSupPr/>
                              <m:e>
                                <m:r>
                                  <m:t xml:space="preserve">n</m:t>
                                </m:r>
                              </m:e>
                              <m:sup>
                                <m:r>
                                  <m:t xml:space="preserve">′</m:t>
                                </m:r>
                              </m:sup>
                            </m:sSup>
                            <m:d>
                              <m:dPr/>
                              <m:e>
                                <m:sSup>
                                  <m:sSupPr/>
                                  <m:e>
                                    <m:r>
                                      <m:t xml:space="preserve">n</m:t>
                                    </m:r>
                                  </m:e>
                                  <m:sup>
                                    <m:r>
                                      <m:t xml:space="preserve">′</m:t>
                                    </m:r>
                                  </m:sup>
                                </m:sSup>
                                <m:r>
                                  <m:t xml:space="preserve">+</m:t>
                                </m:r>
                                <m:r>
                                  <m:t xml:space="preserve">1</m:t>
                                </m:r>
                              </m:e>
                            </m:d>
                            <m:d>
                              <m:dPr/>
                              <m:e>
                                <m:r>
                                  <m:t xml:space="preserve">2</m:t>
                                </m:r>
                                <m:sSup>
                                  <m:sSupPr/>
                                  <m:e>
                                    <m:r>
                                      <m:t xml:space="preserve">n</m:t>
                                    </m:r>
                                  </m:e>
                                  <m:sup>
                                    <m:r>
                                      <m:t xml:space="preserve">′</m:t>
                                    </m:r>
                                  </m:sup>
                                </m:sSup>
                                <m:r>
                                  <m:t xml:space="preserve">+</m:t>
                                </m:r>
                                <m:r>
                                  <m:t xml:space="preserve">1</m:t>
                                </m:r>
                              </m:e>
                            </m:d>
                          </m:num>
                          <m:den>
                            <m:r>
                              <m:t xml:space="preserve">24</m:t>
                            </m:r>
                          </m:den>
                        </m:f>
                        <m:r>
                          <m:t xml:space="preserve">−</m:t>
                        </m:r>
                        <m:f>
                          <m:num>
                            <m:nary>
                              <m:naryPr>
                                <m:chr m:val="∑"/>
                                <m:limLoc m:val="undOvr"/>
                                <m:supHide m:val="1"/>
                              </m:naryPr>
                              <m:sub>
                                <m:r>
                                  <m:t xml:space="preserve">g</m:t>
                                </m:r>
                              </m:sub>
                              <m:sup/>
                              <m:e>
                                <m:d>
                                  <m:dPr/>
                                  <m:e>
                                    <m:sSup>
                                      <m:sSupPr/>
                                      <m:e>
                                        <m:sSub>
                                          <m:sSubPr/>
                                          <m:e>
                                            <m:r>
                                              <m:t xml:space="preserve">t</m:t>
                                            </m:r>
                                          </m:e>
                                          <m:sub>
                                            <m:r>
                                              <m:t xml:space="preserve">g</m:t>
                                            </m:r>
                                          </m:sub>
                                        </m:sSub>
                                      </m:e>
                                      <m:sup>
                                        <m:r>
                                          <m:t xml:space="preserve">3</m:t>
                                        </m:r>
                                      </m:sup>
                                    </m:sSup>
                                    <m:r>
                                      <m:t xml:space="preserve">−</m:t>
                                    </m:r>
                                    <m:sSub>
                                      <m:sSubPr/>
                                      <m:e>
                                        <m:r>
                                          <m:t xml:space="preserve">t</m:t>
                                        </m:r>
                                      </m:e>
                                      <m:sub>
                                        <m:r>
                                          <m:t xml:space="preserve">g</m:t>
                                        </m:r>
                                      </m:sub>
                                    </m:sSub>
                                  </m:e>
                                </m:d>
                              </m:e>
                            </m:nary>
                          </m:num>
                          <m:den>
                            <m:r>
                              <m:t xml:space="preserve">48</m:t>
                            </m:r>
                          </m:den>
                        </m:f>
                      </m:e>
                    </m:rad>
                  </m:den>
                </m:f>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(4.4)</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vertAlign w:val="subscript"/>
        </w:rPr>
        <w:t xml:space="preserve">+</w:t>
      </w:r>
      <w:r>
        <w:rPr>
          <w:rFonts w:ascii="Times New Roman" w:cs="Times New Roman" w:eastAsia="Times New Roman" w:hAnsi="Times New Roman"/>
          <w:i w:val="false"/>
          <w:iCs w:val="false"/>
          <w:sz w:val="24"/>
          <w:szCs w:val="24"/>
        </w:rPr>
        <w:t xml:space="preserve"> – sum of the ranks of the positive differences (slices on which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scored higher than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p>
    <w:p>
      <w:pPr>
        <w:keepNext/>
        <w:spacing w:after="0" w:line="360"/>
        <w:ind w:left="1440" w:hanging="720"/>
      </w:pP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 number of slices with a non-zero difference</w:t>
      </w:r>
    </w:p>
    <w:p>
      <w:pPr>
        <w:keepNext/>
        <w:spacing w:after="0" w:line="360"/>
        <w:ind w:left="1440" w:hanging="720"/>
      </w:pP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bscript"/>
        </w:rPr>
        <w:t xml:space="preserve">g</w:t>
      </w:r>
      <w:r>
        <w:rPr>
          <w:rFonts w:ascii="Times New Roman" w:cs="Times New Roman" w:eastAsia="Times New Roman" w:hAnsi="Times New Roman"/>
          <w:i w:val="false"/>
          <w:iCs w:val="false"/>
          <w:sz w:val="24"/>
          <w:szCs w:val="24"/>
        </w:rPr>
        <w:t xml:space="preserve"> – number of differences sharing the same absolute value in tie group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(tie correction)</w:t>
      </w:r>
    </w:p>
    <w:p>
      <w:pPr>
        <w:keepNext w:val="false"/>
        <w:spacing w:after="200" w:line="360"/>
        <w:ind w:left="1440" w:hanging="720"/>
      </w:pP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standardized statistic; positive when </w:t>
      </w:r>
      <w:r>
        <w:rPr>
          <w:rFonts w:ascii="Times New Roman" w:cs="Times New Roman" w:eastAsia="Times New Roman" w:hAnsi="Times New Roman"/>
          <w:i/>
          <w:iCs/>
          <w:sz w:val="24"/>
          <w:szCs w:val="24"/>
        </w:rPr>
        <w:t xml:space="preserve">y</w:t>
      </w:r>
      <w:r>
        <w:rPr>
          <w:rFonts w:ascii="Times New Roman" w:cs="Times New Roman" w:eastAsia="Times New Roman" w:hAnsi="Times New Roman"/>
          <w:i w:val="false"/>
          <w:iCs w:val="false"/>
          <w:sz w:val="24"/>
          <w:szCs w:val="24"/>
        </w:rPr>
        <w:t xml:space="preserve"> tends to score higher than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negative when lower</w:t>
      </w:r>
    </w:p>
    <w:p>
      <w:pPr>
        <w:spacing w:after="0" w:before="0" w:line="480"/>
        <w:ind w:firstLine="720"/>
        <w:jc w:val="both"/>
      </w:pPr>
      <w:r>
        <w:rPr>
          <w:rFonts w:ascii="Times New Roman" w:cs="Times New Roman" w:eastAsia="Times New Roman" w:hAnsi="Times New Roman"/>
          <w:i w:val="false"/>
          <w:iCs w:val="false"/>
          <w:sz w:val="24"/>
          <w:szCs w:val="24"/>
        </w:rPr>
        <w:t xml:space="preserve">The two-sided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value is read from the standard normal distribution, and the effect size is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(Equation 3.41), where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is the number of complete pairs. Values of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near .1, .3, and .5 are conventionally small, medium, and large (Fritz et al., 2012). When several tests answer the same question, such as the seven metrics of one comparison or the three tumor classes, the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values are adjusted with the Holm procedure (Equation 3.40). Paired proportions, such as success and leakage rates, are compared with the exact McNemar test, which uses only the slices on which the two configurations disagree: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080"/>
        <w:gridCol w:w="7200"/>
        <w:gridCol w:w="1080"/>
      </w:tblGrid>
      <w:tr>
        <w:trPr>
          <w:cantSplit/>
        </w:trPr>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left"/>
            </w:pPr>
          </w:p>
        </w:tc>
        <w:tc>
          <w:tcPr>
            <w:tcW w:type="dxa" w:w="720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center"/>
            </w:pPr>
            <m:oMathPara>
              <m:oMathParaPr>
                <m:jc m:val="center"/>
              </m:oMathParaPr>
              <m:oMath>
                <m:r>
                  <m:t xml:space="preserve">p</m:t>
                </m:r>
                <m:r>
                  <m:t xml:space="preserve">=</m:t>
                </m:r>
                <m:r>
                  <m:rPr>
                    <m:sty m:val="p"/>
                  </m:rPr>
                  <m:t xml:space="preserve">min</m:t>
                </m:r>
                <m:d>
                  <m:dPr/>
                  <m:e>
                    <m:r>
                      <m:t xml:space="preserve">1</m:t>
                    </m:r>
                    <m:r>
                      <m:t xml:space="preserve">,</m:t>
                    </m:r>
                    <m:r>
                      <m:t xml:space="preserve"> </m:t>
                    </m:r>
                    <m:r>
                      <m:t xml:space="preserve">2</m:t>
                    </m:r>
                    <m:r>
                      <m:t xml:space="preserve">·</m:t>
                    </m:r>
                    <m:nary>
                      <m:naryPr>
                        <m:chr m:val="∑"/>
                        <m:limLoc m:val="undOvr"/>
                      </m:naryPr>
                      <m:sub>
                        <m:r>
                          <m:t xml:space="preserve">i</m:t>
                        </m:r>
                        <m:r>
                          <m:t xml:space="preserve">=</m:t>
                        </m:r>
                        <m:r>
                          <m:t xml:space="preserve">0</m:t>
                        </m:r>
                      </m:sub>
                      <m:sup>
                        <m:r>
                          <m:rPr>
                            <m:sty m:val="p"/>
                          </m:rPr>
                          <m:t xml:space="preserve">min</m:t>
                        </m:r>
                        <m:d>
                          <m:dPr/>
                          <m:e>
                            <m:r>
                              <m:t xml:space="preserve">b</m:t>
                            </m:r>
                            <m:r>
                              <m:t xml:space="preserve">,</m:t>
                            </m:r>
                            <m:r>
                              <m:t xml:space="preserve">c</m:t>
                            </m:r>
                          </m:e>
                        </m:d>
                      </m:sup>
                      <m:e>
                        <m:f>
                          <m:num>
                            <m:d>
                              <m:dPr/>
                              <m:e>
                                <m:r>
                                  <m:t xml:space="preserve">b</m:t>
                                </m:r>
                                <m:r>
                                  <m:t xml:space="preserve">+</m:t>
                                </m:r>
                                <m:r>
                                  <m:t xml:space="preserve">c</m:t>
                                </m:r>
                              </m:e>
                            </m:d>
                            <m:r>
                              <m:t xml:space="preserve">!</m:t>
                            </m:r>
                          </m:num>
                          <m:den>
                            <m:r>
                              <m:t xml:space="preserve">i</m:t>
                            </m:r>
                            <m:r>
                              <m:t xml:space="preserve">!</m:t>
                            </m:r>
                            <m:d>
                              <m:dPr/>
                              <m:e>
                                <m:r>
                                  <m:t xml:space="preserve">b</m:t>
                                </m:r>
                                <m:r>
                                  <m:t xml:space="preserve">+</m:t>
                                </m:r>
                                <m:r>
                                  <m:t xml:space="preserve">c</m:t>
                                </m:r>
                                <m:r>
                                  <m:t xml:space="preserve">−</m:t>
                                </m:r>
                                <m:r>
                                  <m:t xml:space="preserve">i</m:t>
                                </m:r>
                              </m:e>
                            </m:d>
                            <m:r>
                              <m:t xml:space="preserve">!</m:t>
                            </m:r>
                          </m:den>
                        </m:f>
                        <m:sSup>
                          <m:sSupPr/>
                          <m:e>
                            <m:r>
                              <m:t xml:space="preserve">0.5</m:t>
                            </m:r>
                          </m:e>
                          <m:sup>
                            <m:r>
                              <m:t xml:space="preserve">b</m:t>
                            </m:r>
                            <m:r>
                              <m:t xml:space="preserve">+</m:t>
                            </m:r>
                            <m:r>
                              <m:t xml:space="preserve">c</m:t>
                            </m:r>
                          </m:sup>
                        </m:sSup>
                      </m:e>
                    </m:nary>
                  </m:e>
                </m:d>
              </m:oMath>
            </m:oMathPara>
          </w:p>
        </w:tc>
        <w:tc>
          <w:tcPr>
            <w:tcW w:type="dxa" w:w="1080"/>
            <w:tcBorders>
              <w:top w:val="none" w:color="FFFFFF" w:sz="0"/>
              <w:left w:val="none" w:color="FFFFFF" w:sz="0"/>
              <w:bottom w:val="none" w:color="FFFFFF" w:sz="0"/>
              <w:right w:val="none" w:color="FFFFFF" w:sz="0"/>
            </w:tcBorders>
            <w:tcMar>
              <w:top w:type="dxa" w:w="60"/>
              <w:left w:type="dxa" w:w="0"/>
              <w:bottom w:type="dxa" w:w="60"/>
              <w:right w:type="dxa" w:w="0"/>
            </w:tcMar>
            <w:vAlign w:val="center"/>
          </w:tcPr>
          <w:p>
            <w:pPr>
              <w:keepNext/>
              <w:spacing w:line="240"/>
              <w:jc w:val="right"/>
            </w:pPr>
            <w:r>
              <w:rPr>
                <w:rFonts w:ascii="Times New Roman" w:cs="Times New Roman" w:eastAsia="Times New Roman" w:hAnsi="Times New Roman"/>
                <w:sz w:val="24"/>
                <w:szCs w:val="24"/>
              </w:rPr>
              <w:t xml:space="preserve">(4.5)</w:t>
            </w:r>
          </w:p>
        </w:tc>
      </w:tr>
    </w:tbl>
    <w:p>
      <w:pPr>
        <w:keepNext/>
        <w:spacing w:after="0" w:line="360"/>
        <w:ind w:left="720"/>
      </w:pPr>
      <w:r>
        <w:rPr>
          <w:rFonts w:ascii="Times New Roman" w:cs="Times New Roman" w:eastAsia="Times New Roman" w:hAnsi="Times New Roman"/>
          <w:i w:val="false"/>
          <w:iCs w:val="false"/>
          <w:sz w:val="24"/>
          <w:szCs w:val="24"/>
        </w:rPr>
        <w:t xml:space="preserve">where:</w:t>
      </w:r>
    </w:p>
    <w:p>
      <w:pPr>
        <w:keepNext/>
        <w:spacing w:after="0" w:line="360"/>
        <w:ind w:left="1440" w:hanging="720"/>
      </w:pPr>
      <w:r>
        <w:rPr>
          <w:rFonts w:ascii="Times New Roman" w:cs="Times New Roman" w:eastAsia="Times New Roman" w:hAnsi="Times New Roman"/>
          <w:i/>
          <w:iCs/>
          <w:sz w:val="24"/>
          <w:szCs w:val="24"/>
        </w:rPr>
        <w:t xml:space="preserve">b</w:t>
      </w:r>
      <w:r>
        <w:rPr>
          <w:rFonts w:ascii="Times New Roman" w:cs="Times New Roman" w:eastAsia="Times New Roman" w:hAnsi="Times New Roman"/>
          <w:i w:val="false"/>
          <w:iCs w:val="false"/>
          <w:sz w:val="24"/>
          <w:szCs w:val="24"/>
        </w:rPr>
        <w:t xml:space="preserve"> – number of slices on which only the reference configuration has the outcome (for example, only SRG succeeds)</w:t>
      </w:r>
    </w:p>
    <w:p>
      <w:pPr>
        <w:keepNext/>
        <w:spacing w:after="0" w:line="360"/>
        <w:ind w:left="1440" w:hanging="720"/>
      </w:pP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number of slices on which only the compared configuration has the outcome</w:t>
      </w:r>
    </w:p>
    <w:p>
      <w:pPr>
        <w:keepNext w:val="false"/>
        <w:spacing w:after="200" w:line="360"/>
        <w:ind w:left="1440" w:hanging="720"/>
      </w:pP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exact two-sided binomial probability of a split at least this uneven if both configurations had the same rate</w:t>
      </w:r>
    </w:p>
    <w:p>
      <w:pPr>
        <w:spacing w:after="0" w:before="0" w:line="480"/>
        <w:ind w:firstLine="720"/>
        <w:jc w:val="both"/>
      </w:pPr>
      <w:r>
        <w:rPr>
          <w:rFonts w:ascii="Times New Roman" w:cs="Times New Roman" w:eastAsia="Times New Roman" w:hAnsi="Times New Roman"/>
          <w:i w:val="false"/>
          <w:iCs w:val="false"/>
          <w:sz w:val="24"/>
          <w:szCs w:val="24"/>
        </w:rPr>
        <w:t xml:space="preserve">Proportions are reported with Wilson 95% confidence intervals, and differences among tumor classes are tested with the chi-square test of independence for proportions and the Kruskal–Wallis test for DSC. The ablation configurations are compared jointly with the Friedman test (Friedman, 1937), followed by pairwise Wilcoxon tests. All tests use a significance level of .05.</w:t>
      </w:r>
    </w:p>
    <w:p>
      <w:pPr>
        <w:pStyle w:val="Heading3"/>
        <w:keepNext/>
        <w:spacing w:after="0" w:before="120" w:line="480"/>
        <w:jc w:val="left"/>
      </w:pPr>
      <w:r>
        <w:rPr>
          <w:rFonts w:ascii="Times New Roman" w:cs="Times New Roman" w:eastAsia="Times New Roman" w:hAnsi="Times New Roman"/>
          <w:b/>
          <w:bCs/>
          <w:color w:val="000000"/>
          <w:sz w:val="24"/>
          <w:szCs w:val="24"/>
        </w:rPr>
        <w:t xml:space="preserve">Overall Performance</w:t>
      </w:r>
    </w:p>
    <w:p>
      <w:pPr>
        <w:spacing w:after="0" w:before="0" w:line="480"/>
        <w:ind w:firstLine="720"/>
        <w:jc w:val="both"/>
      </w:pPr>
      <w:r>
        <w:rPr>
          <w:rFonts w:ascii="Times New Roman" w:cs="Times New Roman" w:eastAsia="Times New Roman" w:hAnsi="Times New Roman"/>
          <w:i w:val="false"/>
          <w:iCs w:val="false"/>
          <w:sz w:val="24"/>
          <w:szCs w:val="24"/>
        </w:rPr>
        <w:t xml:space="preserve">Table 4.3 compares the two algorithms under automatic seeding, which is how the system operates without user input.</w:t>
      </w:r>
    </w:p>
    <w:p>
      <w:pPr>
        <w:keepNext/>
        <w:spacing w:after="0" w:before="240" w:line="480"/>
      </w:pPr>
      <w:r>
        <w:rPr>
          <w:rFonts w:ascii="Times New Roman" w:cs="Times New Roman" w:eastAsia="Times New Roman" w:hAnsi="Times New Roman"/>
          <w:b/>
          <w:bCs/>
          <w:i w:val="false"/>
          <w:iCs w:val="false"/>
          <w:sz w:val="24"/>
          <w:szCs w:val="24"/>
        </w:rPr>
        <w:t xml:space="preserve">Table 4.3</w:t>
      </w:r>
    </w:p>
    <w:p>
      <w:pPr>
        <w:keepNext/>
        <w:spacing w:after="0" w:line="480"/>
      </w:pPr>
      <w:r>
        <w:rPr>
          <w:rFonts w:ascii="Times New Roman" w:cs="Times New Roman" w:eastAsia="Times New Roman" w:hAnsi="Times New Roman"/>
          <w:i/>
          <w:iCs/>
          <w:sz w:val="24"/>
          <w:szCs w:val="24"/>
        </w:rPr>
        <w:t xml:space="preserve">Overall performance of the baseline and enhanced algorithm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1180"/>
        <w:gridCol w:w="860"/>
        <w:gridCol w:w="1180"/>
        <w:gridCol w:w="860"/>
        <w:gridCol w:w="1080"/>
        <w:gridCol w:w="1100"/>
        <w:gridCol w:w="1200"/>
      </w:tblGrid>
      <w:tr>
        <w:trPr>
          <w:cantSplit/>
          <w:tblHeader/>
        </w:trPr>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Metric</w:t>
            </w:r>
          </w:p>
        </w:tc>
        <w:tc>
          <w:tcPr>
            <w:tcW w:type="dxa" w:w="11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p>
        </w:tc>
        <w:tc>
          <w:tcPr>
            <w:tcW w:type="dxa" w:w="11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p>
        </w:tc>
        <w:tc>
          <w:tcPr>
            <w:tcW w:type="dxa" w:w="10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0.166 (0.215)</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0.345 (0.392)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0.077</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13.05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IoU</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0.109 (0.158)</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0.291 (0.352)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0.040</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13.06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0.474 (0.497)</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0.424 (0.476)</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.209</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0.110 (0.159)</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0.459 (0.418)</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0.543</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14.80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.66</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104.9 (82.2)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88.0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118.3 (103.5)</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111.8</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3.0%</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32.2%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 / 152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Leakage rate</w:t>
            </w:r>
          </w:p>
        </w:tc>
        <w:tc>
          <w:tcPr>
            <w:tcW w:type="dxa" w:w="11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1.8%</w:t>
            </w:r>
          </w:p>
        </w:tc>
        <w:tc>
          <w:tcPr>
            <w:tcW w:type="dxa" w:w="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 / 139</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 = 500 paired slices.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i w:val="false"/>
          <w:iCs w:val="false"/>
          <w:sz w:val="20"/>
          <w:szCs w:val="20"/>
        </w:rPr>
        <w:t xml:space="preserve">) is the mean and standard deviation over slices, and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i w:val="false"/>
          <w:iCs w:val="false"/>
          <w:sz w:val="20"/>
          <w:szCs w:val="20"/>
        </w:rPr>
        <w:t xml:space="preserve"> is the median. Each metric is computed per slice by comparing the predicted mask with the ground truth (Equations 3.32–3.37). Precision and HD95 are undefined when the predicted mask is empty (the 7 slices for which the seed selection reported no tumor candidate), so these rows use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 = 493 pairs.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val="false"/>
          <w:iCs w:val="false"/>
          <w:sz w:val="20"/>
          <w:szCs w:val="20"/>
        </w:rPr>
        <w:t xml:space="preserve"> come from the Wilcoxon signed-rank test of ESRG against SRG (Equation 4.4 and Equation 3.41); a positive value means ESRG scored higher, which is an improvement for every metric except HD95, where lower is better. For the success and leakage rates, </w:t>
      </w:r>
      <w:r>
        <w:rPr>
          <w:rFonts w:ascii="Times New Roman" w:cs="Times New Roman" w:eastAsia="Times New Roman" w:hAnsi="Times New Roman"/>
          <w:i/>
          <w:iCs/>
          <w:sz w:val="20"/>
          <w:szCs w:val="20"/>
        </w:rPr>
        <w:t xml:space="preserve">b</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val="false"/>
          <w:iCs w:val="false"/>
          <w:sz w:val="20"/>
          <w:szCs w:val="20"/>
        </w:rPr>
        <w:t xml:space="preserve"> are the slices on which only SRG or only ESRG had the outcome, tested with the exact McNemar test (Equation 4.5). Leakage is a predicted area more than twice the true area (Equation 3.39). The seven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values are Holm-adjusted together.</w:t>
      </w:r>
    </w:p>
    <w:p>
      <w:pPr>
        <w:spacing w:after="0" w:before="0" w:line="480"/>
        <w:ind w:firstLine="720"/>
        <w:jc w:val="both"/>
      </w:pPr>
      <w:r>
        <w:rPr>
          <w:rFonts w:ascii="Times New Roman" w:cs="Times New Roman" w:eastAsia="Times New Roman" w:hAnsi="Times New Roman"/>
          <w:i w:val="false"/>
          <w:iCs w:val="false"/>
          <w:sz w:val="24"/>
          <w:szCs w:val="24"/>
        </w:rPr>
        <w:t xml:space="preserve">Under automatic seeding, the enhanced algorithm significantly outperforms the baseline on the overlap metrics. Mean DSC rises from 0.166 to 0.345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13.05,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.58), a large effect, and mean IoU rises from 0.109 to 0.291. The largest gain is in recall, which increases about fourfold, from 0.110 to 0.459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.66). The share of slices segmented successfully grows from 3.0% to 32.2%: ESRG succeeded on 152 slices on which SRG failed, and the reverse happened on only 6.</w:t>
      </w:r>
    </w:p>
    <w:p>
      <w:pPr>
        <w:spacing w:after="0" w:before="0" w:line="480"/>
        <w:ind w:firstLine="720"/>
        <w:jc w:val="both"/>
      </w:pPr>
      <w:r>
        <w:rPr>
          <w:rFonts w:ascii="Times New Roman" w:cs="Times New Roman" w:eastAsia="Times New Roman" w:hAnsi="Times New Roman"/>
          <w:i w:val="false"/>
          <w:iCs w:val="false"/>
          <w:sz w:val="24"/>
          <w:szCs w:val="24"/>
        </w:rPr>
        <w:t xml:space="preserve">Precision does not differ significantly (0.474 against 0.424,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.209), nor does HD95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.923), and the leakage rate is higher for the enhanced algorithm (29.4% against 1.8%). This does not mean that the baseline controls leakage better. Its background seeds surround the tumor seed and claim nearby tissue first, so its tumor region rarely grows beyond a small area: its median predicted area is only 0.21 times the true tumor area under automatic seeding and 0.05 times with a correctly planted seed. The baseline therefore avoids leakage by severely undersegmenting, which is reflected in its low recall. Moreover, of the 147 slices on which ESRG leaked under automatic seeding, 124 (84.4%) started from a seed that was not entirely inside the tumor, so the region grew in the wrong tissue from the outset. This is a failure of seed placement rather than of the stopping criterion, and Section 4.2 separates the two.</w:t>
      </w:r>
    </w:p>
    <w:p>
      <w:pPr>
        <w:keepNext/>
        <w:spacing w:after="0" w:before="240" w:line="480"/>
      </w:pPr>
      <w:r>
        <w:rPr>
          <w:rFonts w:ascii="Times New Roman" w:cs="Times New Roman" w:eastAsia="Times New Roman" w:hAnsi="Times New Roman"/>
          <w:b/>
          <w:bCs/>
          <w:i w:val="false"/>
          <w:iCs w:val="false"/>
          <w:sz w:val="24"/>
          <w:szCs w:val="24"/>
        </w:rPr>
        <w:t xml:space="preserve">Figure 4.1</w:t>
      </w:r>
    </w:p>
    <w:p>
      <w:pPr>
        <w:keepNext/>
        <w:spacing w:after="60" w:line="480"/>
      </w:pPr>
      <w:r>
        <w:rPr>
          <w:rFonts w:ascii="Times New Roman" w:cs="Times New Roman" w:eastAsia="Times New Roman" w:hAnsi="Times New Roman"/>
          <w:i/>
          <w:iCs/>
          <w:sz w:val="24"/>
          <w:szCs w:val="24"/>
        </w:rPr>
        <w:t xml:space="preserve">Mean overlap scores of the baseline and enhanced algorithm under automatic seeding and with a planted seed</w:t>
      </w:r>
    </w:p>
    <w:p>
      <w:pPr>
        <w:keepNext/>
        <w:jc w:val="center"/>
      </w:pPr>
      <w:r>
        <w:drawing>
          <wp:inline distT="0" distB="0" distL="0" distR="0">
            <wp:extent cx="5943600" cy="25603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56032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Bars are the mean over the 500 sampled slices of each metric (values in Tables 4.3 and 4.4). Error bars are 95% confidence intervals of the mean, computed as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val="false"/>
          <w:iCs w:val="false"/>
          <w:sz w:val="20"/>
          <w:szCs w:val="20"/>
          <w:vertAlign w:val="subscript"/>
        </w:rPr>
        <w:t xml:space="preserve">0.975, N−1</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w:t>
      </w:r>
    </w:p>
    <w:p>
      <w:pPr>
        <w:spacing w:after="0" w:before="0" w:line="480"/>
        <w:ind w:firstLine="720"/>
        <w:jc w:val="both"/>
      </w:pPr>
      <w:r>
        <w:rPr>
          <w:rFonts w:ascii="Times New Roman" w:cs="Times New Roman" w:eastAsia="Times New Roman" w:hAnsi="Times New Roman"/>
          <w:i w:val="false"/>
          <w:iCs w:val="false"/>
          <w:sz w:val="24"/>
          <w:szCs w:val="24"/>
        </w:rPr>
        <w:t xml:space="preserve">Because the automatic results depend on whether the seed lands in the tumor, Table 4.4 repeats the comparison with the seed planted inside the tumor on every slice. This isolates the region-growing procedure, which is where Objectives 2 and 3 act.</w:t>
      </w:r>
    </w:p>
    <w:p>
      <w:pPr>
        <w:keepNext/>
        <w:spacing w:after="0" w:before="240" w:line="480"/>
      </w:pPr>
      <w:r>
        <w:rPr>
          <w:rFonts w:ascii="Times New Roman" w:cs="Times New Roman" w:eastAsia="Times New Roman" w:hAnsi="Times New Roman"/>
          <w:b/>
          <w:bCs/>
          <w:i w:val="false"/>
          <w:iCs w:val="false"/>
          <w:sz w:val="24"/>
          <w:szCs w:val="24"/>
        </w:rPr>
        <w:t xml:space="preserve">Table 4.4</w:t>
      </w:r>
    </w:p>
    <w:p>
      <w:pPr>
        <w:keepNext/>
        <w:spacing w:after="0" w:line="480"/>
      </w:pPr>
      <w:r>
        <w:rPr>
          <w:rFonts w:ascii="Times New Roman" w:cs="Times New Roman" w:eastAsia="Times New Roman" w:hAnsi="Times New Roman"/>
          <w:i/>
          <w:iCs/>
          <w:sz w:val="24"/>
          <w:szCs w:val="24"/>
        </w:rPr>
        <w:t xml:space="preserve">Overall performance with the seed planted inside the tumor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1180"/>
        <w:gridCol w:w="860"/>
        <w:gridCol w:w="1180"/>
        <w:gridCol w:w="860"/>
        <w:gridCol w:w="1080"/>
        <w:gridCol w:w="1100"/>
        <w:gridCol w:w="1200"/>
      </w:tblGrid>
      <w:tr>
        <w:trPr>
          <w:cantSplit/>
          <w:tblHeader/>
        </w:trPr>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Metric</w:t>
            </w:r>
          </w:p>
        </w:tc>
        <w:tc>
          <w:tcPr>
            <w:tcW w:type="dxa" w:w="11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p>
        </w:tc>
        <w:tc>
          <w:tcPr>
            <w:tcW w:type="dxa" w:w="11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p>
        </w:tc>
        <w:tc>
          <w:tcPr>
            <w:tcW w:type="dxa" w:w="10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0.166 (0.181)</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0.099</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0.409 (0.320)</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0.410</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11.31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IoU</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0.104 (0.141)</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0.314 (0.283)</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0.258</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11.33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0.996 (0.026)</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0.858 (0.324)</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−8.82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−.39</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0.106 (0.148)</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 (0.339)</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0.407</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14.24</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40.1 (26.6)</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33.7</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51.4 (67.2)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25.0</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−3.86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26.0%</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13 / 127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Leakage rate</w:t>
            </w:r>
          </w:p>
        </w:tc>
        <w:tc>
          <w:tcPr>
            <w:tcW w:type="dxa" w:w="11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c>
          <w:tcPr>
            <w:tcW w:type="dxa" w:w="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 / 71</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 = 500 paired slices; the columns are computed as in Table 4.3. Both algorithms start from the same click at the deepest ground-truth pixel. With a planted seed, no slice has an empty prediction, so every row uses all 500 pairs. For HD95, a negative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 means that ESRG has the smaller (better) boundary distance on most slices.</w:t>
      </w:r>
    </w:p>
    <w:p>
      <w:pPr>
        <w:spacing w:after="0" w:before="0" w:line="480"/>
        <w:ind w:firstLine="720"/>
        <w:jc w:val="both"/>
      </w:pPr>
      <w:r>
        <w:rPr>
          <w:rFonts w:ascii="Times New Roman" w:cs="Times New Roman" w:eastAsia="Times New Roman" w:hAnsi="Times New Roman"/>
          <w:i w:val="false"/>
          <w:iCs w:val="false"/>
          <w:sz w:val="24"/>
          <w:szCs w:val="24"/>
        </w:rPr>
        <w:t xml:space="preserve">With a correctly placed seed, the enhanced algorithm again performs significantly better. Mean DSC is 0.409 against 0.166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.51), and mean recall 0.438 against 0.106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.64). The baseline’s precision is almost perfect (0.996), but only because it absorbs very little tissue: it recovers about 11% of the tumor on average. The enhanced algorithm trades a moderate loss in precision (0.858; median 1.000) for a fourfold gain in recall, which yields a much better overall delineation. Its median HD95 is also lower (25.0 against 33.7 px,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meaning that its boundary lies closer to the true boundary on most slices. Its mean HD95 is higher only because the 14.2% of slices that leak have very large boundary errors.</w:t>
      </w:r>
    </w:p>
    <w:p>
      <w:pPr>
        <w:keepNext/>
        <w:spacing w:after="0" w:before="240" w:line="480"/>
      </w:pPr>
      <w:r>
        <w:rPr>
          <w:rFonts w:ascii="Times New Roman" w:cs="Times New Roman" w:eastAsia="Times New Roman" w:hAnsi="Times New Roman"/>
          <w:b/>
          <w:bCs/>
          <w:i w:val="false"/>
          <w:iCs w:val="false"/>
          <w:sz w:val="24"/>
          <w:szCs w:val="24"/>
        </w:rPr>
        <w:t xml:space="preserve">Table 4.5</w:t>
      </w:r>
    </w:p>
    <w:p>
      <w:pPr>
        <w:keepNext/>
        <w:spacing w:after="0" w:line="480"/>
      </w:pPr>
      <w:r>
        <w:rPr>
          <w:rFonts w:ascii="Times New Roman" w:cs="Times New Roman" w:eastAsia="Times New Roman" w:hAnsi="Times New Roman"/>
          <w:i/>
          <w:iCs/>
          <w:sz w:val="24"/>
          <w:szCs w:val="24"/>
        </w:rPr>
        <w:t xml:space="preserve">Evaluation summary per objective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00"/>
        <w:gridCol w:w="1500"/>
        <w:gridCol w:w="2860"/>
        <w:gridCol w:w="1300"/>
        <w:gridCol w:w="1400"/>
      </w:tblGrid>
      <w:tr>
        <w:trPr>
          <w:cantSplit/>
          <w:tblHeader/>
        </w:trPr>
        <w:tc>
          <w:tcPr>
            <w:tcW w:type="dxa" w:w="2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Objective</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Primary metric</w:t>
            </w:r>
          </w:p>
        </w:tc>
        <w:tc>
          <w:tcPr>
            <w:tcW w:type="dxa" w:w="2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Comparison</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Reference</w:t>
            </w:r>
          </w:p>
        </w:tc>
        <w:tc>
          <w:tcPr>
            <w:tcW w:type="dxa" w:w="14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Enhanced</w:t>
            </w:r>
          </w:p>
        </w:tc>
      </w:tr>
      <w:tr>
        <w:trPr>
          <w:cantSplit/>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Obj. 1 Automated seed selection</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Seed hit rate</w:t>
            </w:r>
          </w:p>
        </w:tc>
        <w:tc>
          <w:tcPr>
            <w:tcW w:type="dxa" w:w="2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Automatic seed vs. ground truth</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n/a</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46.5%</w:t>
            </w:r>
          </w:p>
        </w:tc>
      </w:tr>
      <w:tr>
        <w:trPr>
          <w:cantSplit/>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Obj. 2 Minimize undersegmentation</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Recall (mean)</w:t>
            </w:r>
          </w:p>
        </w:tc>
        <w:tc>
          <w:tcPr>
            <w:tcW w:type="dxa" w:w="2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SRG vs. ESRG, planted seed</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0.106</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w:t>
            </w:r>
          </w:p>
        </w:tc>
      </w:tr>
      <w:tr>
        <w:trPr>
          <w:cantSplit/>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p>
        </w:tc>
        <w:tc>
          <w:tcPr>
            <w:tcW w:type="dxa" w:w="2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Global vs. local measure (ESRG)</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0.165</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w:t>
            </w:r>
          </w:p>
        </w:tc>
      </w:tr>
      <w:tr>
        <w:trPr>
          <w:cantSplit/>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p>
        </w:tc>
        <w:tc>
          <w:tcPr>
            <w:tcW w:type="dxa" w:w="2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Log transform off vs. on (ESRG)</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0.347</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w:t>
            </w:r>
          </w:p>
        </w:tc>
      </w:tr>
      <w:tr>
        <w:trPr>
          <w:cantSplit/>
        </w:trPr>
        <w:tc>
          <w:tcPr>
            <w:tcW w:type="dxa" w:w="2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Obj. 3 Decrease boundary leakage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Precision (mean)</w:t>
            </w:r>
          </w:p>
        </w:tc>
        <w:tc>
          <w:tcPr>
            <w:tcW w:type="dxa" w:w="2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 stopping rule vs. adaptive stopping (ESRG)</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0.074</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0.858</w:t>
            </w:r>
          </w:p>
        </w:tc>
      </w:tr>
      <w:tr>
        <w:trPr>
          <w:cantSplit/>
        </w:trPr>
        <w:tc>
          <w:tcPr>
            <w:tcW w:type="dxa" w:w="2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Leakage rate</w:t>
            </w:r>
          </w:p>
        </w:tc>
        <w:tc>
          <w:tcPr>
            <w:tcW w:type="dxa" w:w="2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No stopping rule vs. adaptive stopping (ESRG)</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96.4%</w:t>
            </w:r>
          </w:p>
        </w:tc>
        <w:tc>
          <w:tcPr>
            <w:tcW w:type="dxa" w:w="14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“Reference” is the configuration without the enhancement and “Enhanced” the full ESRG. Objectives 2 and 3 are measured with the planted seed, so that seed placement does not affect them. The original algorithm has no automated seeding option, so a seed hit rate does not apply to it. Each value is detailed and tested in Section 4.2.</w:t>
      </w:r>
    </w:p>
    <w:p>
      <w:pPr>
        <w:spacing w:after="0" w:before="0" w:line="480"/>
        <w:ind w:firstLine="720"/>
        <w:jc w:val="both"/>
      </w:pPr>
      <w:r>
        <w:rPr>
          <w:rFonts w:ascii="Times New Roman" w:cs="Times New Roman" w:eastAsia="Times New Roman" w:hAnsi="Times New Roman"/>
          <w:i w:val="false"/>
          <w:iCs w:val="false"/>
          <w:sz w:val="24"/>
          <w:szCs w:val="24"/>
        </w:rPr>
        <w:t xml:space="preserve">Table 4.5 links each objective to the metric that measures it most directly: the seed hit rate for seeding reliability, recall for undersegmentation, and precision and the leakage rate for boundary leakage. Objectives 2 and 3 are tested with planted seeds and with ablations, in which one enhancement is switched off while everything else is held fixed. The following section presents each objective in turn.</w:t>
      </w:r>
    </w:p>
    <w:p>
      <w:pPr>
        <w:pStyle w:val="Heading2"/>
        <w:keepNext/>
        <w:spacing w:after="0" w:before="240" w:line="48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4.2.1 Automated Seed Selection</w:t>
      </w:r>
    </w:p>
    <w:p>
      <w:pPr>
        <w:spacing w:after="0" w:before="0" w:line="480"/>
        <w:ind w:firstLine="720"/>
        <w:jc w:val="both"/>
      </w:pPr>
      <w:r>
        <w:rPr>
          <w:rFonts w:ascii="Times New Roman" w:cs="Times New Roman" w:eastAsia="Times New Roman" w:hAnsi="Times New Roman"/>
          <w:i w:val="false"/>
          <w:iCs w:val="false"/>
          <w:sz w:val="24"/>
          <w:szCs w:val="24"/>
        </w:rPr>
        <w:t xml:space="preserve">The first limitation is that the original algorithm has no defined seed selection step, so its output depends on where an operator places the seed, which produces inconsistent results (Adams &amp; Bischof, 1994). The proposed solution automates seed selection: multi-level Otsu thresholding isolates the brightest interior tissue, structures near the head outline are removed by the clearance filter, the remaining candidates are ranked, and the distance-transform core of the top-ranked candidate becomes the seed (Section 3.4.1). The seed is deterministic, so repeated runs on the same image give identical results. Reliability is measured by the seed hit rate (Equation 3.38), the percentage of slices whose entire seed core lies inside the ground-truth tumor.</w:t>
      </w:r>
    </w:p>
    <w:p>
      <w:pPr>
        <w:keepNext/>
        <w:spacing w:after="0" w:before="240" w:line="480"/>
      </w:pPr>
      <w:r>
        <w:rPr>
          <w:rFonts w:ascii="Times New Roman" w:cs="Times New Roman" w:eastAsia="Times New Roman" w:hAnsi="Times New Roman"/>
          <w:b/>
          <w:bCs/>
          <w:i w:val="false"/>
          <w:iCs w:val="false"/>
          <w:sz w:val="24"/>
          <w:szCs w:val="24"/>
        </w:rPr>
        <w:t xml:space="preserve">Table 4.6</w:t>
      </w:r>
    </w:p>
    <w:p>
      <w:pPr>
        <w:keepNext/>
        <w:spacing w:after="0" w:line="480"/>
      </w:pPr>
      <w:r>
        <w:rPr>
          <w:rFonts w:ascii="Times New Roman" w:cs="Times New Roman" w:eastAsia="Times New Roman" w:hAnsi="Times New Roman"/>
          <w:i/>
          <w:iCs/>
          <w:sz w:val="24"/>
          <w:szCs w:val="24"/>
        </w:rPr>
        <w:t xml:space="preserve">Seed hit rate of the automated seed selection and its effect on delineation, by tumor class and plane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50"/>
        <w:gridCol w:w="600"/>
        <w:gridCol w:w="950"/>
        <w:gridCol w:w="1050"/>
        <w:gridCol w:w="900"/>
        <w:gridCol w:w="1250"/>
        <w:gridCol w:w="1000"/>
        <w:gridCol w:w="1000"/>
        <w:gridCol w:w="1260"/>
      </w:tblGrid>
      <w:tr>
        <w:trPr>
          <w:cantSplit/>
          <w:tblHeader/>
        </w:trPr>
        <w:tc>
          <w:tcPr>
            <w:tcW w:type="dxa" w:w="13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Group</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n</w:t>
            </w:r>
          </w:p>
        </w:tc>
        <w:tc>
          <w:tcPr>
            <w:tcW w:type="dxa" w:w="9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No candidate</w:t>
            </w:r>
          </w:p>
        </w:tc>
        <w:tc>
          <w:tcPr>
            <w:tcW w:type="dxa" w:w="10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Hits /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S</w:t>
            </w:r>
          </w:p>
        </w:tc>
        <w:tc>
          <w:tcPr>
            <w:tcW w:type="dxa" w:w="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Seed hit rate</w:t>
            </w:r>
          </w:p>
        </w:tc>
        <w:tc>
          <w:tcPr>
            <w:tcW w:type="dxa" w:w="12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95% CI</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DSC, hit</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DSC, miss</w:t>
            </w:r>
          </w:p>
        </w:tc>
        <w:tc>
          <w:tcPr>
            <w:tcW w:type="dxa" w:w="12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Success, hit / miss</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tcPr>
          <w:p>
            <w:pPr>
              <w:spacing w:line="240"/>
            </w:pPr>
            <w:r>
              <w:rPr>
                <w:rFonts w:ascii="Times New Roman" w:cs="Times New Roman" w:eastAsia="Times New Roman" w:hAnsi="Times New Roman"/>
                <w:i/>
                <w:iCs/>
                <w:sz w:val="20"/>
                <w:szCs w:val="20"/>
              </w:rPr>
              <w:t xml:space="preserve">By tumor class</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178</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136 / 172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79.1%</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[72.4, 84.5]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81.6% / 0.0%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174</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 / 173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33.5%</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[26.9, 40.9]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60.3% / 0.9%</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148</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35 / 148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23.6%</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[17.5, 31.1]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0.507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40.0% / 0.0%</w:t>
            </w:r>
          </w:p>
        </w:tc>
      </w:tr>
      <w:tr>
        <w:trPr>
          <w:cantSplit/>
        </w:trPr>
        <w:tc>
          <w:tcPr>
            <w:tcW w:type="dxa" w:w="9360"/>
            <w:gridSpan w:val="9"/>
            <w:tcBorders>
              <w:top w:val="none" w:color="FFFFFF" w:sz="0"/>
              <w:left w:val="none" w:color="FFFFFF" w:sz="0"/>
              <w:bottom w:val="none" w:color="FFFFFF" w:sz="0"/>
              <w:right w:val="none" w:color="FFFFFF" w:sz="0"/>
            </w:tcBorders>
            <w:tcMar>
              <w:top w:type="dxa" w:w="30"/>
              <w:left w:type="dxa" w:w="80"/>
              <w:bottom w:type="dxa" w:w="30"/>
              <w:right w:type="dxa" w:w="80"/>
            </w:tcMar>
          </w:tcPr>
          <w:p>
            <w:pPr>
              <w:spacing w:line="240"/>
            </w:pPr>
            <w:r>
              <w:rPr>
                <w:rFonts w:ascii="Times New Roman" w:cs="Times New Roman" w:eastAsia="Times New Roman" w:hAnsi="Times New Roman"/>
                <w:i/>
                <w:iCs/>
                <w:sz w:val="20"/>
                <w:szCs w:val="20"/>
              </w:rPr>
              <w:t xml:space="preserve">By imaging plane</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202</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91 / 198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46.0%</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[39.2, 52.9]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0.843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75.8% / 0.0%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83 / 148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56.1%</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[48.0, 63.8]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0.758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61.4% / 1.5%</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9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w:t>
            </w:r>
          </w:p>
        </w:tc>
        <w:tc>
          <w:tcPr>
            <w:tcW w:type="dxa" w:w="10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55 / 147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37.4%</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[30.0, 45.5]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72.7% / 0.0%</w:t>
            </w:r>
          </w:p>
        </w:tc>
      </w:tr>
      <w:tr>
        <w:trPr>
          <w:cantSplit/>
        </w:trPr>
        <w:tc>
          <w:tcPr>
            <w:tcW w:type="dxa" w:w="13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500</w:t>
            </w:r>
          </w:p>
        </w:tc>
        <w:tc>
          <w:tcPr>
            <w:tcW w:type="dxa" w:w="9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w:t>
            </w:r>
          </w:p>
        </w:tc>
        <w:tc>
          <w:tcPr>
            <w:tcW w:type="dxa" w:w="10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229 / 493</w:t>
            </w:r>
          </w:p>
        </w:tc>
        <w:tc>
          <w:tcPr>
            <w:tcW w:type="dxa" w:w="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46.5%</w:t>
            </w:r>
          </w:p>
        </w:tc>
        <w:tc>
          <w:tcPr>
            <w:tcW w:type="dxa" w:w="12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[42.1, 50.9]</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2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69.9% / 0.4%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Configuration A_ESRG. A hit is a slice whose whole seed core lies inside the ground-truth tumor (seed_hit column). Following Equation 3.38, the rate is hits divided by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vertAlign w:val="subscript"/>
        </w:rPr>
        <w:t xml:space="preserve">S</w:t>
      </w:r>
      <w:r>
        <w:rPr>
          <w:rFonts w:ascii="Times New Roman" w:cs="Times New Roman" w:eastAsia="Times New Roman" w:hAnsi="Times New Roman"/>
          <w:i w:val="false"/>
          <w:iCs w:val="false"/>
          <w:sz w:val="20"/>
          <w:szCs w:val="20"/>
        </w:rPr>
        <w:t xml:space="preserve">, the slices that received a seed; “No candidate” counts the slices on which the selector found no valid candidate and reported no detection instead of guessing. The 95% CI is the Wilson score interval. DSC values are medians of the enhanced algorithm under automatic seeding; slices without a seed count as misses. Class differences in the hit rate: χ²(2) = 116.13,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plane differences: χ²(2) = 10.36,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 .006.</w:t>
      </w:r>
    </w:p>
    <w:p>
      <w:pPr>
        <w:keepNext/>
        <w:spacing w:after="0" w:before="240" w:line="480"/>
      </w:pPr>
      <w:r>
        <w:rPr>
          <w:rFonts w:ascii="Times New Roman" w:cs="Times New Roman" w:eastAsia="Times New Roman" w:hAnsi="Times New Roman"/>
          <w:b/>
          <w:bCs/>
          <w:i w:val="false"/>
          <w:iCs w:val="false"/>
          <w:sz w:val="24"/>
          <w:szCs w:val="24"/>
        </w:rPr>
        <w:t xml:space="preserve">Figure 4.2</w:t>
      </w:r>
    </w:p>
    <w:p>
      <w:pPr>
        <w:keepNext/>
        <w:spacing w:after="60" w:line="480"/>
      </w:pPr>
      <w:r>
        <w:rPr>
          <w:rFonts w:ascii="Times New Roman" w:cs="Times New Roman" w:eastAsia="Times New Roman" w:hAnsi="Times New Roman"/>
          <w:i/>
          <w:iCs/>
          <w:sz w:val="24"/>
          <w:szCs w:val="24"/>
        </w:rPr>
        <w:t xml:space="preserve">Seed hit rate of the automated seed selection by tumor class</w:t>
      </w:r>
    </w:p>
    <w:p>
      <w:pPr>
        <w:keepNext/>
        <w:jc w:val="center"/>
      </w:pPr>
      <w:r>
        <w:drawing>
          <wp:inline distT="0" distB="0" distL="0" distR="0">
            <wp:extent cx="4754880" cy="283464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54880" cy="283464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Bars are the seed hit rates of Table 4.6. Error bars are Wilson 95% confidence intervals, which remain within 0–100% and are accurate for rates near the extremes.</w:t>
      </w:r>
    </w:p>
    <w:p>
      <w:pPr>
        <w:spacing w:after="0" w:before="0" w:line="480"/>
        <w:ind w:firstLine="720"/>
        <w:jc w:val="both"/>
      </w:pPr>
      <w:r>
        <w:rPr>
          <w:rFonts w:ascii="Times New Roman" w:cs="Times New Roman" w:eastAsia="Times New Roman" w:hAnsi="Times New Roman"/>
          <w:i w:val="false"/>
          <w:iCs w:val="false"/>
          <w:sz w:val="24"/>
          <w:szCs w:val="24"/>
        </w:rPr>
        <w:t xml:space="preserve">Table 4.6 shows that automatic seeding is reliable for meningioma (79.1%), whose bright, compact appearance places it clearly in the highest interior intensity class, consistent with intensity-based seeding results in the literature (Biratu et al., 2021). Reliability is much lower for pituitary tumors (33.5%) and gliomas (23.6%), and the difference between classes is significant (χ²(2) = 116.13,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Pituitary tumors lie centrally among normal structures of similar brightness, and gliomas are heterogeneous with weak margins, so the selected component is more often non-tumor tissue (Tohka, 2014). The imaging plane also matters, though less (χ²(2) = 10.36,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.006): coronal slices give the highest hit rate (56.1%) and sagittal slices the lowest (37.4%).</w:t>
      </w:r>
    </w:p>
    <w:p>
      <w:pPr>
        <w:spacing w:after="0" w:before="0" w:line="480"/>
        <w:ind w:firstLine="720"/>
        <w:jc w:val="both"/>
      </w:pPr>
      <w:r>
        <w:rPr>
          <w:rFonts w:ascii="Times New Roman" w:cs="Times New Roman" w:eastAsia="Times New Roman" w:hAnsi="Times New Roman"/>
          <w:i w:val="false"/>
          <w:iCs w:val="false"/>
          <w:sz w:val="24"/>
          <w:szCs w:val="24"/>
        </w:rPr>
        <w:t xml:space="preserve">The seed hit is the main factor behind the final result. When the seed lands in the tumor, the enhanced algorithm reaches a median DSC of 0.833 and succeeds on 69.9% of slices; when it misses, the median DSC is 0.000 and only 0.4% succeed (Mann–Whitney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 = 61,377,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rank-biserial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.98). For meningioma, the automatic seed even gives a higher median DSC than a planted click (0.806 against 0.702,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because when it hits, its core follows the shape of the tumor and is larger than the purified click. For pituitary tumors and gliomas, the planted seed gives a clearly higher median DSC (0.402 against 0.000, and 0.136 against 0.010). This addresses SOP 1 by providing a deterministic, operator-independent seed, and it shows that automatic seeding is dependable for well-circumscribed tumors, while the manual seeding option remains necessary for the more difficult classes.</w:t>
      </w:r>
    </w:p>
    <w:p>
      <w:pPr>
        <w:keepNext/>
        <w:spacing w:after="0" w:before="240" w:line="480"/>
      </w:pPr>
      <w:r>
        <w:rPr>
          <w:rFonts w:ascii="Times New Roman" w:cs="Times New Roman" w:eastAsia="Times New Roman" w:hAnsi="Times New Roman"/>
          <w:b/>
          <w:bCs/>
          <w:i w:val="false"/>
          <w:iCs w:val="false"/>
          <w:sz w:val="24"/>
          <w:szCs w:val="24"/>
        </w:rPr>
        <w:t xml:space="preserve">Table 4.7</w:t>
      </w:r>
    </w:p>
    <w:p>
      <w:pPr>
        <w:keepNext/>
        <w:spacing w:after="0" w:line="480"/>
      </w:pPr>
      <w:r>
        <w:rPr>
          <w:rFonts w:ascii="Times New Roman" w:cs="Times New Roman" w:eastAsia="Times New Roman" w:hAnsi="Times New Roman"/>
          <w:i/>
          <w:iCs/>
          <w:sz w:val="24"/>
          <w:szCs w:val="24"/>
        </w:rPr>
        <w:t xml:space="preserve">Failure attribution of the enhanced algorithm under automatic seeding (Experiment E5)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60"/>
        <w:gridCol w:w="1550"/>
        <w:gridCol w:w="1550"/>
        <w:gridCol w:w="1550"/>
        <w:gridCol w:w="1550"/>
      </w:tblGrid>
      <w:tr>
        <w:trPr>
          <w:cantSplit/>
          <w:tblHeader/>
        </w:trPr>
        <w:tc>
          <w:tcPr>
            <w:tcW w:type="dxa" w:w="31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Bucket</w:t>
            </w:r>
          </w:p>
        </w:tc>
        <w:tc>
          <w:tcPr>
            <w:tcW w:type="dxa" w:w="15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Meningioma</w:t>
            </w:r>
          </w:p>
        </w:tc>
        <w:tc>
          <w:tcPr>
            <w:tcW w:type="dxa" w:w="15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Pituitary</w:t>
            </w:r>
          </w:p>
        </w:tc>
        <w:tc>
          <w:tcPr>
            <w:tcW w:type="dxa" w:w="15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Glioma</w:t>
            </w:r>
          </w:p>
        </w:tc>
        <w:tc>
          <w:tcPr>
            <w:tcW w:type="dxa" w:w="15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All slices</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 – Success</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110 (61.8%)</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36 (20.7%)</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 (9.5%)</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160 (32.0%)</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C – Seed chose wrong structure (Stage 5)</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25 (14.0%)</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79 (45.4%)</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38 (25.7%)</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 (28.4%)</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B – Tumor absent from candidates (Stage 4)</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 (2.8%)</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25 (14.4%)</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75 (50.7%)</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105 (21.0%)</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E – Growth undersegmented (Stage 6 measure)</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 (9.0%)</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19 (10.9%)</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 (4.7%)</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42 (8.4%)</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D – Growth leaked (Stage 6 stopping)</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 (5.1%)</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 (2.3%)</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 (6.8%)</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23 (4.6%)</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 – Head mask lost tumor (Stage 2)</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 (1.7%)</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 (5.2%)</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 (2.0%)</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15 (3.0%)</w:t>
            </w:r>
          </w:p>
        </w:tc>
      </w:tr>
      <w:tr>
        <w:trPr>
          <w:cantSplit/>
        </w:trPr>
        <w:tc>
          <w:tcPr>
            <w:tcW w:type="dxa" w:w="3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X – False no-candidate flag</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 (3.4%)</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 (0.6%)</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5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 (1.4%)</w:t>
            </w:r>
          </w:p>
        </w:tc>
      </w:tr>
      <w:tr>
        <w:trPr>
          <w:cantSplit/>
        </w:trPr>
        <w:tc>
          <w:tcPr>
            <w:tcW w:type="dxa" w:w="31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F – Post-processing hurt result (Stage 7)</w:t>
            </w:r>
          </w:p>
        </w:tc>
        <w:tc>
          <w:tcPr>
            <w:tcW w:type="dxa" w:w="15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 (2.2%)</w:t>
            </w:r>
          </w:p>
        </w:tc>
        <w:tc>
          <w:tcPr>
            <w:tcW w:type="dxa" w:w="15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 (0.6%)</w:t>
            </w:r>
          </w:p>
        </w:tc>
        <w:tc>
          <w:tcPr>
            <w:tcW w:type="dxa" w:w="15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 (0.7%)</w:t>
            </w:r>
          </w:p>
        </w:tc>
        <w:tc>
          <w:tcPr>
            <w:tcW w:type="dxa" w:w="15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 (1.2%)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Values are the number (and percentage) of slices in each bucket; columns sum to 178, 174, 148, and 500 slices. Each slice is assigned to the first failed gate, checked in the order of Section 3.4.4: X, A (head mask kept &lt; 90% of the tumor), B (&lt; 30% of the tumor in the candidate mask), C (&lt; 50% of the seed core inside the tumor), G (final DSC ≥ 0.70), F (post-processing lowered DSC by ≥ 0.10), D (growth precision &lt; 0.50 and not above recall), and E (all others). The bucket is recorded in the bucket column of the raw results, with the measured value that triggered it in bucket_reason.</w:t>
      </w:r>
    </w:p>
    <w:p>
      <w:pPr>
        <w:spacing w:after="0" w:before="0" w:line="480"/>
        <w:ind w:firstLine="720"/>
        <w:jc w:val="both"/>
      </w:pPr>
      <w:r>
        <w:rPr>
          <w:rFonts w:ascii="Times New Roman" w:cs="Times New Roman" w:eastAsia="Times New Roman" w:hAnsi="Times New Roman"/>
          <w:i w:val="false"/>
          <w:iCs w:val="false"/>
          <w:sz w:val="24"/>
          <w:szCs w:val="24"/>
        </w:rPr>
        <w:t xml:space="preserve">Table 4.7 locates the failures. Successful slices (bucket G) make up 32.0% of the sample. Most failures happen before region growing begins: in 28.4% of slices a candidate containing the tumor existed but the seed was placed on a different structure (C), and in 21.0% the tumor never entered the highest intensity class (B). Together with the no-candidate cases (X), seeding accounts for 50.8% of slices, whereas leakage (D) and undersegmentation (E) during growth account for only 13.0%. The pattern differs by class. For gliomas, the dominant failure is B (50.7%): weakly enhancing tumor tissue falls below the uppermost Otsu threshold. For pituitary tumors it is C (45.4%): the tumor is a candidate, but a brighter neighboring structure is ranked above it. For meningioma, 61.8% of slices succeed.</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4.2.2 Minimization of Undersegmentation</w:t>
      </w:r>
    </w:p>
    <w:p>
      <w:pPr>
        <w:spacing w:after="0" w:before="0" w:line="480"/>
        <w:ind w:firstLine="720"/>
        <w:jc w:val="both"/>
      </w:pPr>
      <w:r>
        <w:rPr>
          <w:rFonts w:ascii="Times New Roman" w:cs="Times New Roman" w:eastAsia="Times New Roman" w:hAnsi="Times New Roman"/>
          <w:i w:val="false"/>
          <w:iCs w:val="false"/>
          <w:sz w:val="24"/>
          <w:szCs w:val="24"/>
        </w:rPr>
        <w:t xml:space="preserve">The second problem is that the original difference measure compares each pixel with the global region mean, so tumor pixels that differ gradually from the seed, for example on the darker side of a bias gradient, are rejected and left unsegmented (undersegmentation). The proposed solution compares each candidate with nearby absorbed pixels (Equation 3.23) in the logarithmic domain (Equation 3.18). Its effect is measured by recall, the direct indicator of undersegmentation. Table 4.8 and Figure 4.4(a) compare recall with the seed planted inside the tumor, against the baseline and against the enhanced grower with each part of the enhancement removed: the global measure restored, or the log transform switched off.</w:t>
      </w:r>
    </w:p>
    <w:p>
      <w:pPr>
        <w:keepNext/>
        <w:spacing w:after="0" w:before="240" w:line="480"/>
      </w:pPr>
      <w:r>
        <w:rPr>
          <w:rFonts w:ascii="Times New Roman" w:cs="Times New Roman" w:eastAsia="Times New Roman" w:hAnsi="Times New Roman"/>
          <w:b/>
          <w:bCs/>
          <w:i w:val="false"/>
          <w:iCs w:val="false"/>
          <w:sz w:val="24"/>
          <w:szCs w:val="24"/>
        </w:rPr>
        <w:t xml:space="preserve">Table 4.8</w:t>
      </w:r>
    </w:p>
    <w:p>
      <w:pPr>
        <w:keepNext/>
        <w:spacing w:after="0" w:line="480"/>
      </w:pPr>
      <w:r>
        <w:rPr>
          <w:rFonts w:ascii="Times New Roman" w:cs="Times New Roman" w:eastAsia="Times New Roman" w:hAnsi="Times New Roman"/>
          <w:i/>
          <w:iCs/>
          <w:sz w:val="24"/>
          <w:szCs w:val="24"/>
        </w:rPr>
        <w:t xml:space="preserve">Recall of the baseline, the ablated variants, and the full enhanced algorithm with a planted seed,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150"/>
        <w:gridCol w:w="1150"/>
        <w:gridCol w:w="1150"/>
        <w:gridCol w:w="1150"/>
        <w:gridCol w:w="1150"/>
        <w:gridCol w:w="1150"/>
        <w:gridCol w:w="1160"/>
      </w:tblGrid>
      <w:tr>
        <w:trPr>
          <w:cantSplit/>
          <w:tblHeader/>
        </w:trPr>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global measure</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log off</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(full)</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vs. SRG </w:t>
            </w: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vs. global </w:t>
            </w: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w:t>
            </w:r>
          </w:p>
        </w:tc>
        <w:tc>
          <w:tcPr>
            <w:tcW w:type="dxa" w:w="11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vs. log off </w:t>
            </w: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0.076 (0.109)</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0.208 (0.215)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0.362 (0.353)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0.540 (0.304)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.79 (10.60)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.83 (11.05)</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 (7.79)</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0.155 (0.178)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0.138 (0.163)</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0.299 (0.304)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0.338 (0.281)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.45 (5.98)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.79 (10.38)</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.32 (4.23)</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0.085 (0.134)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0.144 (0.230)</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0.384 (0.408)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0.432 (0.402)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 (7.06)</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.77 (9.32)</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.28 (3.40)</w:t>
            </w:r>
          </w:p>
        </w:tc>
      </w:tr>
      <w:tr>
        <w:trPr>
          <w:cantSplit/>
        </w:trPr>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0.106 (0.148)</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0.165 (0.206)</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0.347 (0.356)</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 (0.339)</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.64 (14.24)</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.80 (17.81)</w:t>
            </w:r>
          </w:p>
        </w:tc>
        <w:tc>
          <w:tcPr>
            <w:tcW w:type="dxa" w:w="11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.42 (9.28)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Values are mean recall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i w:val="false"/>
          <w:iCs w:val="false"/>
          <w:sz w:val="20"/>
          <w:szCs w:val="20"/>
        </w:rPr>
        <w:t xml:space="preserve">); recall = TP/(TP + FN) (Equation 3.35), the share of the true tumor recovered. All four configurations start from the same planted click (Table 4.2), so each difference is due to the growing procedure alone. Each test is a Wilcoxon signed-rank test of full ESRG against the named configuration; a positive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val="false"/>
          <w:iCs w:val="false"/>
          <w:sz w:val="20"/>
          <w:szCs w:val="20"/>
        </w:rPr>
        <w:t xml:space="preserve"> mean that full ESRG recovered more of the tumor. After Holm adjustment over the three comparisons within each row, all twelve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values are below .001.</w:t>
      </w:r>
    </w:p>
    <w:p>
      <w:pPr>
        <w:spacing w:after="0" w:before="0" w:line="480"/>
        <w:ind w:firstLine="720"/>
        <w:jc w:val="both"/>
      </w:pPr>
      <w:r>
        <w:rPr>
          <w:rFonts w:ascii="Times New Roman" w:cs="Times New Roman" w:eastAsia="Times New Roman" w:hAnsi="Times New Roman"/>
          <w:i w:val="false"/>
          <w:iCs w:val="false"/>
          <w:sz w:val="24"/>
          <w:szCs w:val="24"/>
        </w:rPr>
        <w:t xml:space="preserve">Table 4.8 shows that the enhanced algorithm recovers far more of the tumor than the baseline in every class. Overall mean recall rises from 0.106 to 0.438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14.24,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.64), with the largest gain for meningioma (0.076 to 0.540). The ablations isolate the two parts of the enhanced measure. With everything else held fixed, switching from the global to the local measure raises mean recall from 0.165 to 0.438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.80); recall improved on 420 slices and fell on only 21, and the effect is large in every class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from .77 to .83). Switching the log transform on raises mean recall from 0.347 to 0.438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.42), a medium effect that is significant in every class. The log transform adds recall at no cost in precision (0.860 without it against 0.858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.823), and it raises mean DSC from 0.298 to 0.409. In the log domain, the tolerance σ</w:t>
      </w:r>
      <w:r>
        <w:rPr>
          <w:rFonts w:ascii="Times New Roman" w:cs="Times New Roman" w:eastAsia="Times New Roman" w:hAnsi="Times New Roman"/>
          <w:i w:val="false"/>
          <w:iCs w:val="false"/>
          <w:sz w:val="24"/>
          <w:szCs w:val="24"/>
          <w:vertAlign w:val="subscript"/>
        </w:rPr>
        <w:t xml:space="preserve">A</w:t>
      </w:r>
      <w:r>
        <w:rPr>
          <w:rFonts w:ascii="Times New Roman" w:cs="Times New Roman" w:eastAsia="Times New Roman" w:hAnsi="Times New Roman"/>
          <w:i w:val="false"/>
          <w:iCs w:val="false"/>
          <w:sz w:val="24"/>
          <w:szCs w:val="24"/>
        </w:rPr>
        <w:t xml:space="preserve"> is effectively relative to the intensity level, so the same bound admits proportionally similar variations at any brightness. The local measure costs some precision (0.969 to 0.858), but its recall gain is far larger, and mean DSC nearly doubles, from 0.222 to 0.409. This directly addresses SOP 2: making the similarity comparison local and logarithmic substantially reduces undersegmentation (Akram et al., 2017; Li et al., 2011).</w:t>
      </w:r>
    </w:p>
    <w:p>
      <w:pPr>
        <w:spacing w:after="0" w:before="0" w:line="480"/>
        <w:ind w:firstLine="720"/>
        <w:jc w:val="both"/>
      </w:pPr>
      <w:r>
        <w:rPr>
          <w:rFonts w:ascii="Times New Roman" w:cs="Times New Roman" w:eastAsia="Times New Roman" w:hAnsi="Times New Roman"/>
          <w:i w:val="false"/>
          <w:iCs w:val="false"/>
          <w:sz w:val="24"/>
          <w:szCs w:val="24"/>
        </w:rPr>
        <w:t xml:space="preserve">Recall remains moderate in absolute terms, especially for pituitary tumors (0.338). Two design limits contribute. First, growth ended at the maximum of 4 passes on 399 of the 500 planted slices (79.8%), and converged earlier on only 101; the region was usually still growing when the pass limit was reached. Second, the purified planted seed is small (median 5 pixels), which yields a tight initial bound; this is examined in Table 4.11.</w:t>
      </w:r>
    </w:p>
    <w:p>
      <w:pPr>
        <w:keepNext/>
        <w:spacing w:after="0" w:before="240" w:line="480"/>
      </w:pPr>
      <w:r>
        <w:rPr>
          <w:rFonts w:ascii="Times New Roman" w:cs="Times New Roman" w:eastAsia="Times New Roman" w:hAnsi="Times New Roman"/>
          <w:b/>
          <w:bCs/>
          <w:i w:val="false"/>
          <w:iCs w:val="false"/>
          <w:sz w:val="24"/>
          <w:szCs w:val="24"/>
        </w:rPr>
        <w:t xml:space="preserve">Table 4.9</w:t>
      </w:r>
    </w:p>
    <w:p>
      <w:pPr>
        <w:keepNext/>
        <w:spacing w:after="0" w:line="480"/>
      </w:pPr>
      <w:r>
        <w:rPr>
          <w:rFonts w:ascii="Times New Roman" w:cs="Times New Roman" w:eastAsia="Times New Roman" w:hAnsi="Times New Roman"/>
          <w:i/>
          <w:iCs/>
          <w:sz w:val="24"/>
          <w:szCs w:val="24"/>
        </w:rPr>
        <w:t xml:space="preserve">Recall with and without a synthetic 40% bias field (Experiment E2)</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0"/>
        <w:gridCol w:w="1280"/>
        <w:gridCol w:w="1280"/>
        <w:gridCol w:w="1000"/>
        <w:gridCol w:w="1100"/>
        <w:gridCol w:w="1500"/>
        <w:gridCol w:w="1500"/>
      </w:tblGrid>
      <w:tr>
        <w:trPr>
          <w:cantSplit/>
          <w:tblHeader/>
        </w:trPr>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Configuration</w:t>
            </w:r>
          </w:p>
        </w:tc>
        <w:tc>
          <w:tcPr>
            <w:tcW w:type="dxa" w:w="12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Recall, no bias</w:t>
            </w:r>
          </w:p>
        </w:tc>
        <w:tc>
          <w:tcPr>
            <w:tcW w:type="dxa" w:w="128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Recall, bias field</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Change in mean</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Mean |change|</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Mean DSC</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SRG</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0.106 (0.148)</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0.107 (0.148)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0.33, &gt; .99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0.166 → 0.168</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SRG + N4</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0.105 (0.147)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 → 0.164</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0.165 (0.206)</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0.173 (0.209)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0.033</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4.18, &lt; .001</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0.222 → 0.235</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ESRG, log off</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0.347 (0.356)</w:t>
            </w:r>
          </w:p>
        </w:tc>
        <w:tc>
          <w:tcPr>
            <w:tcW w:type="dxa" w:w="12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0.336 (0.351)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−0.48, &gt; .99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0.298 → 0.297</w:t>
            </w:r>
          </w:p>
        </w:tc>
      </w:tr>
      <w:tr>
        <w:trPr>
          <w:cantSplit/>
        </w:trPr>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2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 (0.339)</w:t>
            </w:r>
          </w:p>
        </w:tc>
        <w:tc>
          <w:tcPr>
            <w:tcW w:type="dxa" w:w="128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0.442 (0.340)</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−1.24, .643</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0.409 → 0.412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Values are mean recall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i w:val="false"/>
          <w:iCs w:val="false"/>
          <w:sz w:val="20"/>
          <w:szCs w:val="20"/>
        </w:rPr>
        <w:t xml:space="preserve">) over the same 500 slices and planted seeds; only the bias field of Equation 4.3 differs. “Change in mean” is the biased minus the unbiased mean; “Mean |change|” is the average absolute per-slice change, which shows how much individual results moved even when the mean did not. Each configuration is compared with itself without the field by the Wilcoxon signed-rank test, Holm-adjusted over the four configurations. N4 was applied only under the bias field; compared with plain SRG on the biased slices it changed recall by −0.002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 .665).</w:t>
      </w:r>
    </w:p>
    <w:p>
      <w:pPr>
        <w:keepNext/>
        <w:spacing w:after="0" w:before="240" w:line="480"/>
      </w:pPr>
      <w:r>
        <w:rPr>
          <w:rFonts w:ascii="Times New Roman" w:cs="Times New Roman" w:eastAsia="Times New Roman" w:hAnsi="Times New Roman"/>
          <w:b/>
          <w:bCs/>
          <w:i w:val="false"/>
          <w:iCs w:val="false"/>
          <w:sz w:val="24"/>
          <w:szCs w:val="24"/>
        </w:rPr>
        <w:t xml:space="preserve">Figure 4.3</w:t>
      </w:r>
    </w:p>
    <w:p>
      <w:pPr>
        <w:keepNext/>
        <w:spacing w:after="60" w:line="480"/>
      </w:pPr>
      <w:r>
        <w:rPr>
          <w:rFonts w:ascii="Times New Roman" w:cs="Times New Roman" w:eastAsia="Times New Roman" w:hAnsi="Times New Roman"/>
          <w:i/>
          <w:iCs/>
          <w:sz w:val="24"/>
          <w:szCs w:val="24"/>
        </w:rPr>
        <w:t xml:space="preserve">Recall of each configuration with and without the synthetic bias field</w:t>
      </w:r>
    </w:p>
    <w:p>
      <w:pPr>
        <w:keepNext/>
        <w:jc w:val="center"/>
      </w:pPr>
      <w:r>
        <w:drawing>
          <wp:inline distT="0" distB="0" distL="0" distR="0">
            <wp:extent cx="54864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2743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Bars are the mean recall values of Table 4.9; error bars are 95% confidence intervals of the mean.</w:t>
      </w:r>
    </w:p>
    <w:p>
      <w:pPr>
        <w:spacing w:after="0" w:before="0" w:line="480"/>
        <w:ind w:firstLine="720"/>
        <w:jc w:val="both"/>
      </w:pPr>
      <w:r>
        <w:rPr>
          <w:rFonts w:ascii="Times New Roman" w:cs="Times New Roman" w:eastAsia="Times New Roman" w:hAnsi="Times New Roman"/>
          <w:i w:val="false"/>
          <w:iCs w:val="false"/>
          <w:sz w:val="24"/>
          <w:szCs w:val="24"/>
        </w:rPr>
        <w:t xml:space="preserve">Table 4.9 tests the bias robustness claimed for the log-domain measure. A 40% linear bias field did not significantly change the recall of full ESRG (0.438 to 0.442,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.643), of ESRG without the log transform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&gt; .99), or of the baseline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&gt; .99; Figure 4.3). The global-measure variant even gained slightly (0.165 to 0.173,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a change too small to matter in practice. N4 correction did not help the baseline, and full ESRG on biased slices still recovered far more of the tumor than SRG with N4 (0.442 against 0.105,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14.48,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.65).</w:t>
      </w:r>
    </w:p>
    <w:p>
      <w:pPr>
        <w:spacing w:after="0" w:before="0" w:line="480"/>
        <w:ind w:firstLine="720"/>
        <w:jc w:val="both"/>
      </w:pPr>
      <w:r>
        <w:rPr>
          <w:rFonts w:ascii="Times New Roman" w:cs="Times New Roman" w:eastAsia="Times New Roman" w:hAnsi="Times New Roman"/>
          <w:i w:val="false"/>
          <w:iCs w:val="false"/>
          <w:sz w:val="24"/>
          <w:szCs w:val="24"/>
        </w:rPr>
        <w:t xml:space="preserve">The field used here is smooth: across a tumor of median size (about 60 pixels in diameter), it changes intensity by only about 3.3–4.7%, which is small compared with the natural heterogeneity of the tumor. None of the region-growing methods was therefore strongly affected, and this experiment shows that ESRG is robust to a field of this size rather than that the baseline is harmed by it. The gains of Objective 2 in Table 4.8 do not depend on an artificial field: they appear on the original slices and come from comparing each pixel with its own neighborhood on a relative (logarithmic) scale.</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4.2.3 Decrease Boundary Leakage</w:t>
      </w:r>
    </w:p>
    <w:p>
      <w:pPr>
        <w:spacing w:after="0" w:before="0" w:line="480"/>
        <w:ind w:firstLine="720"/>
        <w:jc w:val="both"/>
      </w:pPr>
      <w:r>
        <w:rPr>
          <w:rFonts w:ascii="Times New Roman" w:cs="Times New Roman" w:eastAsia="Times New Roman" w:hAnsi="Times New Roman"/>
          <w:i w:val="false"/>
          <w:iCs w:val="false"/>
          <w:sz w:val="24"/>
          <w:szCs w:val="24"/>
        </w:rPr>
        <w:t xml:space="preserve">The third problem is that the original algorithm absorbs the next candidate pixel unconditionally, so growth crosses weak boundaries and floods surrounding tissue (boundary leakage). The proposed solution absorbs a pixel only while it lies within confidence bounds derived from the region’s own standard deviation, with statistics frozen per pass (Equations 3.28–3.30). To isolate this criterion, the enhanced grower was run with and without it from the same planted seed; without it, pixels are absorbed unconditionally, as in the original algorithm. Its effect is measured by precision and by the leakage rate (Table 4.10 and Figure 4.4(b)).</w:t>
      </w:r>
    </w:p>
    <w:p>
      <w:pPr>
        <w:keepNext/>
        <w:spacing w:after="0" w:before="240" w:line="480"/>
      </w:pPr>
      <w:r>
        <w:rPr>
          <w:rFonts w:ascii="Times New Roman" w:cs="Times New Roman" w:eastAsia="Times New Roman" w:hAnsi="Times New Roman"/>
          <w:b/>
          <w:bCs/>
          <w:i w:val="false"/>
          <w:iCs w:val="false"/>
          <w:sz w:val="24"/>
          <w:szCs w:val="24"/>
        </w:rPr>
        <w:t xml:space="preserve">Table 4.10</w:t>
      </w:r>
    </w:p>
    <w:p>
      <w:pPr>
        <w:keepNext/>
        <w:spacing w:after="0" w:line="480"/>
      </w:pPr>
      <w:r>
        <w:rPr>
          <w:rFonts w:ascii="Times New Roman" w:cs="Times New Roman" w:eastAsia="Times New Roman" w:hAnsi="Times New Roman"/>
          <w:i/>
          <w:iCs/>
          <w:sz w:val="24"/>
          <w:szCs w:val="24"/>
        </w:rPr>
        <w:t xml:space="preserve">Precision and leakage with and without the adaptive stopping criterion,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400"/>
        <w:gridCol w:w="1400"/>
        <w:gridCol w:w="1100"/>
        <w:gridCol w:w="1100"/>
        <w:gridCol w:w="1100"/>
        <w:gridCol w:w="860"/>
        <w:gridCol w:w="1100"/>
      </w:tblGrid>
      <w:tr>
        <w:trPr>
          <w:cantSplit/>
          <w:tblHeader/>
        </w:trPr>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4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Precision, no stopping</w:t>
            </w:r>
          </w:p>
        </w:tc>
        <w:tc>
          <w:tcPr>
            <w:tcW w:type="dxa" w:w="14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Precision, adaptive stopping</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Leakage, no stopping</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Leakage, adaptive stopping</w:t>
            </w:r>
          </w:p>
        </w:tc>
        <w:tc>
          <w:tcPr>
            <w:tcW w:type="dxa" w:w="8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Area ratio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0.099 (0.202)</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0.925 (0.242)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.85 (11.37)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95.5%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7.3%</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157 / 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22.88 → 0.61</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0.068 (0.219)</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0.938 (0.223)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.84 (11.14)</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94.8%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156 / 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74.57 → 0.31</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0.051 (0.088)</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0.684 (0.430)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.86 (10.52)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99.3%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33.1%</w:t>
            </w:r>
          </w:p>
        </w:tc>
        <w:tc>
          <w:tcPr>
            <w:tcW w:type="dxa" w:w="8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98 / 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31.23 → 0.37</w:t>
            </w:r>
          </w:p>
        </w:tc>
      </w:tr>
      <w:tr>
        <w:trPr>
          <w:cantSplit/>
        </w:trPr>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4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0.074 (0.184)</w:t>
            </w:r>
          </w:p>
        </w:tc>
        <w:tc>
          <w:tcPr>
            <w:tcW w:type="dxa" w:w="14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0.858 (0.324)</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.85 (19.06)</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96.4%</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c>
          <w:tcPr>
            <w:tcW w:type="dxa" w:w="8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411 / 0</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39.67 → 0.42</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Both configurations use the local log-domain measure and the same planted seed; only the stopping criterion differs. Precision = TP/(TP + FP) (Equation 3.34), shown as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val="false"/>
          <w:iCs w:val="false"/>
          <w:sz w:val="20"/>
          <w:szCs w:val="20"/>
        </w:rPr>
        <w:t xml:space="preserv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i w:val="false"/>
          <w:iCs w:val="false"/>
          <w:sz w:val="20"/>
          <w:szCs w:val="20"/>
        </w:rPr>
        <w:t xml:space="preserve">) and tested with the Wilcoxon signed-rank test; all Holm-adjusted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Leakage is a predicted area more than twice the ground-truth area (Equation 3.39); </w:t>
      </w:r>
      <w:r>
        <w:rPr>
          <w:rFonts w:ascii="Times New Roman" w:cs="Times New Roman" w:eastAsia="Times New Roman" w:hAnsi="Times New Roman"/>
          <w:i/>
          <w:iCs/>
          <w:sz w:val="20"/>
          <w:szCs w:val="20"/>
        </w:rPr>
        <w:t xml:space="preserve">b</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val="false"/>
          <w:iCs w:val="false"/>
          <w:sz w:val="20"/>
          <w:szCs w:val="20"/>
        </w:rPr>
        <w:t xml:space="preserve"> are the slices that leaked only without or only with the criterion (exact McNemar test, all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The area ratio is the median of predicted area divided by true area, |</w:t>
      </w:r>
      <w:r>
        <w:rPr>
          <w:rFonts w:ascii="Times New Roman" w:cs="Times New Roman" w:eastAsia="Times New Roman" w:hAnsi="Times New Roman"/>
          <w:i/>
          <w:iCs/>
          <w:sz w:val="20"/>
          <w:szCs w:val="20"/>
        </w:rPr>
        <w:t xml:space="preserve">M</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i/>
          <w:iCs/>
          <w:sz w:val="20"/>
          <w:szCs w:val="20"/>
        </w:rPr>
        <w:t xml:space="preserve">G</w:t>
      </w:r>
      <w:r>
        <w:rPr>
          <w:rFonts w:ascii="Times New Roman" w:cs="Times New Roman" w:eastAsia="Times New Roman" w:hAnsi="Times New Roman"/>
          <w:i w:val="false"/>
          <w:iCs w:val="false"/>
          <w:sz w:val="20"/>
          <w:szCs w:val="20"/>
        </w:rPr>
        <w:t xml:space="preserve">|.</w:t>
      </w:r>
    </w:p>
    <w:p>
      <w:pPr>
        <w:spacing w:after="0" w:before="0" w:line="480"/>
        <w:ind w:firstLine="720"/>
        <w:jc w:val="both"/>
      </w:pPr>
      <w:r>
        <w:rPr>
          <w:rFonts w:ascii="Times New Roman" w:cs="Times New Roman" w:eastAsia="Times New Roman" w:hAnsi="Times New Roman"/>
          <w:i w:val="false"/>
          <w:iCs w:val="false"/>
          <w:sz w:val="24"/>
          <w:szCs w:val="24"/>
        </w:rPr>
        <w:t xml:space="preserve">Table 4.10 shows that the stopping criterion is what keeps the enhanced algorithm inside the tumor. Without it, growth floods the head on 96.4% of slices, with a median predicted area 39.7 times the true tumor area, and mean precision is only 0.074. With the criterion, the leakage rate falls to 14.2% and mean precision rises to 0.858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19.06,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.85). The median precision is 1.000, meaning that on most slices every absorbed pixel is tumor. No slice leaked with the criterion that did not also leak without it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 0), and the improvement is significant in every class. The criterion also raises mean DSC from 0.075 to 0.409, although recall falls from 0.965 to 0.438, because unconditional growth covers the tumor only by covering the whole head. This directly addresses SOP 3, confirming that the adaptive stopping criterion prevents the flooding caused by unconditional absorption (Insight Software Consortium, n.d.).</w:t>
      </w:r>
    </w:p>
    <w:p>
      <w:pPr>
        <w:spacing w:after="0" w:before="0" w:line="480"/>
        <w:ind w:firstLine="720"/>
        <w:jc w:val="both"/>
      </w:pPr>
      <w:r>
        <w:rPr>
          <w:rFonts w:ascii="Times New Roman" w:cs="Times New Roman" w:eastAsia="Times New Roman" w:hAnsi="Times New Roman"/>
          <w:i w:val="false"/>
          <w:iCs w:val="false"/>
          <w:sz w:val="24"/>
          <w:szCs w:val="24"/>
        </w:rPr>
        <w:t xml:space="preserve">Leakage is not fully eliminated. Glioma remains the most affected class (33.1% leakage, mean precision 0.684), because its infiltrative margin has no sharp intensity step at which the confidence bound can stop growth. The baseline with background seeds shows no leakage when the seed is planted (0.0%), but, as noted in Section 4.1, it achieves this by stopping far inside the tumor (median area ratio 0.05, against 0.42 for ESRG).</w:t>
      </w:r>
    </w:p>
    <w:p>
      <w:pPr>
        <w:keepNext/>
        <w:spacing w:after="0" w:before="240" w:line="480"/>
      </w:pPr>
      <w:r>
        <w:rPr>
          <w:rFonts w:ascii="Times New Roman" w:cs="Times New Roman" w:eastAsia="Times New Roman" w:hAnsi="Times New Roman"/>
          <w:b/>
          <w:bCs/>
          <w:i w:val="false"/>
          <w:iCs w:val="false"/>
          <w:sz w:val="24"/>
          <w:szCs w:val="24"/>
        </w:rPr>
        <w:t xml:space="preserve">Figure 4.4</w:t>
      </w:r>
    </w:p>
    <w:p>
      <w:pPr>
        <w:keepNext/>
        <w:spacing w:after="60" w:line="480"/>
      </w:pPr>
      <w:r>
        <w:rPr>
          <w:rFonts w:ascii="Times New Roman" w:cs="Times New Roman" w:eastAsia="Times New Roman" w:hAnsi="Times New Roman"/>
          <w:i/>
          <w:iCs/>
          <w:sz w:val="24"/>
          <w:szCs w:val="24"/>
        </w:rPr>
        <w:t xml:space="preserve">Effect of the local log-domain measure on recall and of the adaptive stopping criterion on precision</w:t>
      </w:r>
    </w:p>
    <w:p>
      <w:pPr>
        <w:keepNext/>
        <w:jc w:val="center"/>
      </w:pPr>
      <w:r>
        <w:drawing>
          <wp:inline distT="0" distB="0" distL="0" distR="0">
            <wp:extent cx="5669280" cy="5029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50292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All configurations use the same planted seed. Panel (a) shows the mean recall values of Table 4.8 and panel (b) the mean precision values of Table 4.10. Error bars are 95% confidence intervals of the mean.</w:t>
      </w:r>
    </w:p>
    <w:p>
      <w:pPr>
        <w:keepNext/>
        <w:spacing w:after="0" w:before="240" w:line="480"/>
      </w:pPr>
      <w:r>
        <w:rPr>
          <w:rFonts w:ascii="Times New Roman" w:cs="Times New Roman" w:eastAsia="Times New Roman" w:hAnsi="Times New Roman"/>
          <w:b/>
          <w:bCs/>
          <w:i w:val="false"/>
          <w:iCs w:val="false"/>
          <w:sz w:val="24"/>
          <w:szCs w:val="24"/>
        </w:rPr>
        <w:t xml:space="preserve">Table 4.11</w:t>
      </w:r>
    </w:p>
    <w:p>
      <w:pPr>
        <w:keepNext/>
        <w:spacing w:after="0" w:line="480"/>
      </w:pPr>
      <w:r>
        <w:rPr>
          <w:rFonts w:ascii="Times New Roman" w:cs="Times New Roman" w:eastAsia="Times New Roman" w:hAnsi="Times New Roman"/>
          <w:i/>
          <w:iCs/>
          <w:sz w:val="24"/>
          <w:szCs w:val="24"/>
        </w:rPr>
        <w:t xml:space="preserve">Effect of seed purification on the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900"/>
        <w:gridCol w:w="1500"/>
        <w:gridCol w:w="1500"/>
        <w:gridCol w:w="1500"/>
        <w:gridCol w:w="1500"/>
        <w:gridCol w:w="1460"/>
      </w:tblGrid>
      <w:tr>
        <w:trPr>
          <w:cantSplit/>
          <w:tblHeader/>
        </w:trPr>
        <w:tc>
          <w:tcPr>
            <w:tcW w:type="dxa" w:w="19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Metric</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Click disk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Purified core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Z</w:t>
            </w:r>
            <w:r>
              <w:rPr>
                <w:rFonts w:ascii="Times New Roman" w:cs="Times New Roman" w:eastAsia="Times New Roman" w:hAnsi="Times New Roman"/>
                <w:b/>
                <w:bCs/>
                <w:i w:val="false"/>
                <w:iCs w:val="false"/>
                <w:sz w:val="20"/>
                <w:szCs w:val="20"/>
              </w:rPr>
              <w:t xml:space="preserve"> or </w:t>
            </w:r>
            <w:r>
              <w:rPr>
                <w:rFonts w:ascii="Times New Roman" w:cs="Times New Roman" w:eastAsia="Times New Roman" w:hAnsi="Times New Roman"/>
                <w:b/>
                <w:bCs/>
                <w:i/>
                <w:iCs/>
                <w:sz w:val="20"/>
                <w:szCs w:val="20"/>
              </w:rPr>
              <w:t xml:space="preserve">b</w:t>
            </w:r>
            <w:r>
              <w:rPr>
                <w:rFonts w:ascii="Times New Roman" w:cs="Times New Roman" w:eastAsia="Times New Roman" w:hAnsi="Times New Roman"/>
                <w:b/>
                <w:bCs/>
                <w:i w:val="false"/>
                <w:iCs w:val="false"/>
                <w:sz w:val="20"/>
                <w:szCs w:val="20"/>
              </w:rPr>
              <w:t xml:space="preserve"> / </w:t>
            </w:r>
            <w:r>
              <w:rPr>
                <w:rFonts w:ascii="Times New Roman" w:cs="Times New Roman" w:eastAsia="Times New Roman" w:hAnsi="Times New Roman"/>
                <w:b/>
                <w:bCs/>
                <w:i/>
                <w:iCs/>
                <w:sz w:val="20"/>
                <w:szCs w:val="20"/>
              </w:rPr>
              <w:t xml:space="preserve">c</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p</w:t>
            </w:r>
            <w:r>
              <w:rPr>
                <w:rFonts w:ascii="Times New Roman" w:cs="Times New Roman" w:eastAsia="Times New Roman" w:hAnsi="Times New Roman"/>
                <w:b/>
                <w:bCs/>
                <w:i w:val="false"/>
                <w:iCs w:val="false"/>
                <w:sz w:val="20"/>
                <w:szCs w:val="20"/>
              </w:rPr>
              <w:t xml:space="preserve"> (Holm)</w:t>
            </w:r>
          </w:p>
        </w:tc>
        <w:tc>
          <w:tcPr>
            <w:tcW w:type="dxa" w:w="14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0.497 (0.319)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0.409 (0.320)</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−10.62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0.648 (0.295)</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 (0.339)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−16.94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−.76</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0.722 (0.415)</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0.858 (0.324)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11.44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36.4%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26.0%</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70 / 18</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Leakage rate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28.8%</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73 / 0</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Seed area, px (</w:t>
            </w:r>
            <w:r>
              <w:rPr>
                <w:rFonts w:ascii="Times New Roman" w:cs="Times New Roman" w:eastAsia="Times New Roman" w:hAnsi="Times New Roman"/>
                <w:b w:val="false"/>
                <w:bCs w:val="false"/>
                <w:i/>
                <w:iCs/>
                <w:sz w:val="20"/>
                <w:szCs w:val="20"/>
              </w:rPr>
              <w:t xml:space="preserve">Mdn</w:t>
            </w: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Initial σ</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Mdn</w:t>
            </w: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0.0451</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0.0252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19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σ</w:t>
            </w:r>
            <w:r>
              <w:rPr>
                <w:rFonts w:ascii="Times New Roman" w:cs="Times New Roman" w:eastAsia="Times New Roman" w:hAnsi="Times New Roman"/>
                <w:b w:val="false"/>
                <w:bCs w:val="false"/>
                <w:i w:val="false"/>
                <w:iCs w:val="false"/>
                <w:sz w:val="20"/>
                <w:szCs w:val="20"/>
                <w:vertAlign w:val="subscript"/>
              </w:rPr>
              <w:t xml:space="preserve">A</w:t>
            </w:r>
            <w:r>
              <w:rPr>
                <w:rFonts w:ascii="Times New Roman" w:cs="Times New Roman" w:eastAsia="Times New Roman" w:hAnsi="Times New Roman"/>
                <w:b w:val="false"/>
                <w:bCs w:val="false"/>
                <w:i w:val="false"/>
                <w:iCs w:val="false"/>
                <w:sz w:val="20"/>
                <w:szCs w:val="20"/>
              </w:rPr>
              <w:t xml:space="preserve"> set by σ</w:t>
            </w:r>
            <w:r>
              <w:rPr>
                <w:rFonts w:ascii="Times New Roman" w:cs="Times New Roman" w:eastAsia="Times New Roman" w:hAnsi="Times New Roman"/>
                <w:b w:val="false"/>
                <w:bCs w:val="false"/>
                <w:i w:val="false"/>
                <w:iCs w:val="false"/>
                <w:sz w:val="20"/>
                <w:szCs w:val="20"/>
                <w:vertAlign w:val="subscript"/>
              </w:rPr>
              <w:t xml:space="preserve">floor</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16.2%</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41.0%</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Configurations P_ESRG_nopurify (the 29-pixel click disk used directly) and P_ESRG (the disk reduced to its core, the default in manual mode). Tests compare the purified core against the disk (Wilcoxon for continuous metrics, exact McNemar for rates; seven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values Holm-adjusted together as in Table 4.3). Initial σ</w:t>
      </w:r>
      <w:r>
        <w:rPr>
          <w:rFonts w:ascii="Times New Roman" w:cs="Times New Roman" w:eastAsia="Times New Roman" w:hAnsi="Times New Roman"/>
          <w:i w:val="false"/>
          <w:iCs w:val="false"/>
          <w:sz w:val="20"/>
          <w:szCs w:val="20"/>
          <w:vertAlign w:val="subscript"/>
        </w:rPr>
        <w:t xml:space="preserve">A</w:t>
      </w:r>
      <w:r>
        <w:rPr>
          <w:rFonts w:ascii="Times New Roman" w:cs="Times New Roman" w:eastAsia="Times New Roman" w:hAnsi="Times New Roman"/>
          <w:i w:val="false"/>
          <w:iCs w:val="false"/>
          <w:sz w:val="20"/>
          <w:szCs w:val="20"/>
        </w:rPr>
        <w:t xml:space="preserve"> is the region standard deviation used in the first pass, max(</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val="false"/>
          <w:iCs w:val="false"/>
          <w:sz w:val="20"/>
          <w:szCs w:val="20"/>
          <w:vertAlign w:val="subscript"/>
        </w:rPr>
        <w:t xml:space="preserve">A</w:t>
      </w:r>
      <w:r>
        <w:rPr>
          <w:rFonts w:ascii="Times New Roman" w:cs="Times New Roman" w:eastAsia="Times New Roman" w:hAnsi="Times New Roman"/>
          <w:i w:val="false"/>
          <w:iCs w:val="false"/>
          <w:sz w:val="20"/>
          <w:szCs w:val="20"/>
        </w:rPr>
        <w:t xml:space="preserve">, σ</w:t>
      </w:r>
      <w:r>
        <w:rPr>
          <w:rFonts w:ascii="Times New Roman" w:cs="Times New Roman" w:eastAsia="Times New Roman" w:hAnsi="Times New Roman"/>
          <w:i w:val="false"/>
          <w:iCs w:val="false"/>
          <w:sz w:val="20"/>
          <w:szCs w:val="20"/>
          <w:vertAlign w:val="subscript"/>
        </w:rPr>
        <w:t xml:space="preserve">floor</w:t>
      </w:r>
      <w:r>
        <w:rPr>
          <w:rFonts w:ascii="Times New Roman" w:cs="Times New Roman" w:eastAsia="Times New Roman" w:hAnsi="Times New Roman"/>
          <w:i w:val="false"/>
          <w:iCs w:val="false"/>
          <w:sz w:val="20"/>
          <w:szCs w:val="20"/>
        </w:rPr>
        <w:t xml:space="preserve">) (Equation 3.28), read from the sigma_A_initial column; the last row is the share of slices on which the noise floor, not the seed itself, set that value.</w:t>
      </w:r>
    </w:p>
    <w:p>
      <w:pPr>
        <w:spacing w:after="0" w:before="0" w:line="480"/>
        <w:ind w:firstLine="720"/>
        <w:jc w:val="both"/>
      </w:pPr>
      <w:r>
        <w:rPr>
          <w:rFonts w:ascii="Times New Roman" w:cs="Times New Roman" w:eastAsia="Times New Roman" w:hAnsi="Times New Roman"/>
          <w:i w:val="false"/>
          <w:iCs w:val="false"/>
          <w:sz w:val="24"/>
          <w:szCs w:val="24"/>
        </w:rPr>
        <w:t xml:space="preserve">Table 4.11 examines the seed size, which sets the first stopping bound. Purifying the planted click shrinks it from 29 to a median of 5 pixels and halves the leakage rate (28.8% to 14.2%), but it lowers recall (0.648 to 0.438) and DSC (0.497 to 0.409). A seed of a few pixels has a very small spread: its median initial σ</w:t>
      </w:r>
      <w:r>
        <w:rPr>
          <w:rFonts w:ascii="Times New Roman" w:cs="Times New Roman" w:eastAsia="Times New Roman" w:hAnsi="Times New Roman"/>
          <w:i w:val="false"/>
          <w:iCs w:val="false"/>
          <w:sz w:val="24"/>
          <w:szCs w:val="24"/>
          <w:vertAlign w:val="subscript"/>
        </w:rPr>
        <w:t xml:space="preserve">A</w:t>
      </w:r>
      <w:r>
        <w:rPr>
          <w:rFonts w:ascii="Times New Roman" w:cs="Times New Roman" w:eastAsia="Times New Roman" w:hAnsi="Times New Roman"/>
          <w:i w:val="false"/>
          <w:iCs w:val="false"/>
          <w:sz w:val="24"/>
          <w:szCs w:val="24"/>
        </w:rPr>
        <w:t xml:space="preserve"> is 0.0252, and on 41.0% of slices it falls below the noise floor, which then sets the bound. The resulting bound is tight, so growth stops before the tumor edge. The larger click disk gives a looser bound that reaches further (success 36.4% against 26.0%) but leaks more often. The seed size therefore controls the balance between the two objectives: purification favors Objective 3, and the unpurified disk favors Objective 2.</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4.2.4 Overall Delineation Quality and Class-Dependent Performance</w:t>
      </w:r>
    </w:p>
    <w:p>
      <w:pPr>
        <w:spacing w:after="0" w:before="0" w:line="480"/>
        <w:ind w:firstLine="720"/>
        <w:jc w:val="both"/>
      </w:pPr>
      <w:r>
        <w:rPr>
          <w:rFonts w:ascii="Times New Roman" w:cs="Times New Roman" w:eastAsia="Times New Roman" w:hAnsi="Times New Roman"/>
          <w:i w:val="false"/>
          <w:iCs w:val="false"/>
          <w:sz w:val="24"/>
          <w:szCs w:val="24"/>
        </w:rPr>
        <w:t xml:space="preserve">Combining the three enhancements, Table 4.12 reports the median DSC by tumor class for both algorithms under both seeding conditions, together with the share of successfully segmented slices.</w:t>
      </w:r>
    </w:p>
    <w:p>
      <w:pPr>
        <w:keepNext/>
        <w:spacing w:after="0" w:before="240" w:line="480"/>
      </w:pPr>
      <w:r>
        <w:rPr>
          <w:rFonts w:ascii="Times New Roman" w:cs="Times New Roman" w:eastAsia="Times New Roman" w:hAnsi="Times New Roman"/>
          <w:b/>
          <w:bCs/>
          <w:i w:val="false"/>
          <w:iCs w:val="false"/>
          <w:sz w:val="24"/>
          <w:szCs w:val="24"/>
        </w:rPr>
        <w:t xml:space="preserve">Table 4.12</w:t>
      </w:r>
    </w:p>
    <w:p>
      <w:pPr>
        <w:keepNext/>
        <w:spacing w:after="0" w:line="480"/>
      </w:pPr>
      <w:r>
        <w:rPr>
          <w:rFonts w:ascii="Times New Roman" w:cs="Times New Roman" w:eastAsia="Times New Roman" w:hAnsi="Times New Roman"/>
          <w:i/>
          <w:iCs/>
          <w:sz w:val="24"/>
          <w:szCs w:val="24"/>
        </w:rPr>
        <w:t xml:space="preserve">Dice Similarity Coefficient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150"/>
        <w:gridCol w:w="1200"/>
        <w:gridCol w:w="750"/>
        <w:gridCol w:w="600"/>
        <w:gridCol w:w="1150"/>
        <w:gridCol w:w="1200"/>
        <w:gridCol w:w="750"/>
        <w:gridCol w:w="600"/>
        <w:gridCol w:w="660"/>
      </w:tblGrid>
      <w:tr>
        <w:trPr>
          <w:cantSplit/>
          <w:tblHeader/>
        </w:trPr>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automatic</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automatic</w:t>
            </w:r>
          </w:p>
        </w:tc>
        <w:tc>
          <w:tcPr>
            <w:tcW w:type="dxa" w:w="7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p</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c>
          <w:tcPr>
            <w:tcW w:type="dxa" w:w="11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planted</w:t>
            </w:r>
          </w:p>
        </w:tc>
        <w:tc>
          <w:tcPr>
            <w:tcW w:type="dxa" w:w="1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planted</w:t>
            </w:r>
          </w:p>
        </w:tc>
        <w:tc>
          <w:tcPr>
            <w:tcW w:type="dxa" w:w="75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p</w:t>
            </w:r>
          </w:p>
        </w:tc>
        <w:tc>
          <w:tcPr>
            <w:tcW w:type="dxa" w:w="6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c>
          <w:tcPr>
            <w:tcW w:type="dxa" w:w="6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n</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0.268 (5.1%)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0.806 (62.4%)</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0.078 (1.7%)</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0.702 (51.1%)</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.76</w:t>
            </w:r>
          </w:p>
        </w:tc>
        <w:tc>
          <w:tcPr>
            <w:tcW w:type="dxa" w:w="6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178</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(20.7%)</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0.169 (4.6%)</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0.402 (17.2%)</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.37</w:t>
            </w:r>
          </w:p>
        </w:tc>
        <w:tc>
          <w:tcPr>
            <w:tcW w:type="dxa" w:w="6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174</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(1.4%)</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0.010 (9.5%)</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0.081 (3.4%)</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0.136 (6.1%)</w:t>
            </w:r>
          </w:p>
        </w:tc>
        <w:tc>
          <w:tcPr>
            <w:tcW w:type="dxa" w:w="7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6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.21</w:t>
            </w:r>
          </w:p>
        </w:tc>
        <w:tc>
          <w:tcPr>
            <w:tcW w:type="dxa" w:w="6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148</w:t>
            </w:r>
          </w:p>
        </w:tc>
      </w:tr>
      <w:tr>
        <w:trPr>
          <w:cantSplit/>
        </w:trPr>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(3.0%)</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0.077 (32.2%)</w:t>
            </w:r>
          </w:p>
        </w:tc>
        <w:tc>
          <w:tcPr>
            <w:tcW w:type="dxa" w:w="7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.58</w:t>
            </w:r>
          </w:p>
        </w:tc>
        <w:tc>
          <w:tcPr>
            <w:tcW w:type="dxa" w:w="11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0.099 (3.2%)</w:t>
            </w:r>
          </w:p>
        </w:tc>
        <w:tc>
          <w:tcPr>
            <w:tcW w:type="dxa" w:w="1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0.410 (26.0%)</w:t>
            </w:r>
          </w:p>
        </w:tc>
        <w:tc>
          <w:tcPr>
            <w:tcW w:type="dxa" w:w="75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6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.51</w:t>
            </w:r>
          </w:p>
        </w:tc>
        <w:tc>
          <w:tcPr>
            <w:tcW w:type="dxa" w:w="6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500</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Values are the median DSC with the success rate (share of slices with DSC ≥ 0.70) in parentheses.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values are Wilcoxon signed-rank tests of ESRG against SRG under the same seeding condition, Holm-adjusted over the three classes;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val="false"/>
          <w:iCs w:val="false"/>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 (Equation 3.41). Median DSC differs across tumor classes for ESRG under both automatic seeding (Kruskal–Wallis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val="false"/>
          <w:iCs w:val="false"/>
          <w:sz w:val="20"/>
          <w:szCs w:val="20"/>
        </w:rPr>
        <w:t xml:space="preserve">(2) = 110.96) and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val="false"/>
          <w:iCs w:val="false"/>
          <w:sz w:val="20"/>
          <w:szCs w:val="20"/>
        </w:rPr>
        <w:t xml:space="preserve">(2) = 87.53), both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Median HD95 values quoted in the text come from the hd95 column of the same runs.</w:t>
      </w:r>
    </w:p>
    <w:p>
      <w:pPr>
        <w:spacing w:after="0" w:before="0" w:line="480"/>
        <w:ind w:firstLine="720"/>
        <w:jc w:val="both"/>
      </w:pPr>
      <w:r>
        <w:rPr>
          <w:rFonts w:ascii="Times New Roman" w:cs="Times New Roman" w:eastAsia="Times New Roman" w:hAnsi="Times New Roman"/>
          <w:i w:val="false"/>
          <w:iCs w:val="false"/>
          <w:sz w:val="24"/>
          <w:szCs w:val="24"/>
        </w:rPr>
        <w:t xml:space="preserve">Table 4.12 shows three distinct outcomes. Meningioma is delineated reliably and automatically: its median DSC improves from 0.268 to 0.806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.71), 62.4% of slices are segmented successfully, and the median HD95 falls from 36.6 to 11.8 px. Pituitary tumors improve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and their success rate rises from 2.3% to 20.7%, but their median DSC under automatic seeding stays at 0.000 because the seed lands in the tumor on only a third of slices (Table 4.6). With a planted seed their median rises to 0.402, so for these tumors the manual seeding mode is the practical option.</w:t>
      </w:r>
    </w:p>
    <w:p>
      <w:pPr>
        <w:spacing w:after="0" w:before="0" w:line="480"/>
        <w:ind w:firstLine="720"/>
        <w:jc w:val="both"/>
      </w:pPr>
      <w:r>
        <w:rPr>
          <w:rFonts w:ascii="Times New Roman" w:cs="Times New Roman" w:eastAsia="Times New Roman" w:hAnsi="Times New Roman"/>
          <w:i w:val="false"/>
          <w:iCs w:val="false"/>
          <w:sz w:val="24"/>
          <w:szCs w:val="24"/>
        </w:rPr>
        <w:t xml:space="preserve">Glioma is the most difficult class. Under automatic seeding the enhanced algorithm is significantly better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but its median DSC remains low (0.010). With a planted seed the median rises from 0.081 to 0.136; this difference is significant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 .010) but small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.21). The heterogeneous, infiltrative appearance of glioma provides no sharp boundary for an intensity-based method to follow, which limits both recall (the bound stops growth early inside the tumor) and precision (growth crosses the weak margin). Across all classes, the enhanced algorithm is significantly better than the baseline under both seeding conditions (median DSC 0.077 against 0.000 with automatic seeding; 0.410 against 0.099 with a planted seed).</w:t>
      </w:r>
    </w:p>
    <w:p>
      <w:pPr>
        <w:keepNext/>
        <w:spacing w:after="0" w:before="240" w:line="480"/>
      </w:pPr>
      <w:r>
        <w:rPr>
          <w:rFonts w:ascii="Times New Roman" w:cs="Times New Roman" w:eastAsia="Times New Roman" w:hAnsi="Times New Roman"/>
          <w:b/>
          <w:bCs/>
          <w:i w:val="false"/>
          <w:iCs w:val="false"/>
          <w:sz w:val="24"/>
          <w:szCs w:val="24"/>
        </w:rPr>
        <w:t xml:space="preserve">Table 4.13</w:t>
      </w:r>
    </w:p>
    <w:p>
      <w:pPr>
        <w:keepNext/>
        <w:spacing w:after="0" w:line="480"/>
      </w:pPr>
      <w:r>
        <w:rPr>
          <w:rFonts w:ascii="Times New Roman" w:cs="Times New Roman" w:eastAsia="Times New Roman" w:hAnsi="Times New Roman"/>
          <w:i/>
          <w:iCs/>
          <w:sz w:val="24"/>
          <w:szCs w:val="24"/>
        </w:rPr>
        <w:t xml:space="preserve">Median DSC of the enhanced algorithm by tumor class and imaging plane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500"/>
        <w:gridCol w:w="1310"/>
        <w:gridCol w:w="1310"/>
        <w:gridCol w:w="1310"/>
        <w:gridCol w:w="1310"/>
        <w:gridCol w:w="1310"/>
        <w:gridCol w:w="1310"/>
      </w:tblGrid>
      <w:tr>
        <w:trPr>
          <w:cantSplit/>
          <w:tblHeader/>
        </w:trPr>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Axial, automatic</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Coronal, automatic</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Sagittal, automatic</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Axial, planted</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Coronal, planted</w:t>
            </w:r>
          </w:p>
        </w:tc>
        <w:tc>
          <w:tcPr>
            <w:tcW w:type="dxa" w:w="131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Sagittal, planted</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0.800 (63.8%)</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0.734 (60.0%)</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0.842 (62.5%)</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0.712 (53.8%)</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0.626 (38.0%)</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0.744 (60.4%)</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(18.1%)</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0.388 (30.8%)</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(14.0%)</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0.416 (22.2%)</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0.464 (11.5%)</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0.354 (16.0%)</w:t>
            </w:r>
          </w:p>
        </w:tc>
      </w:tr>
      <w:tr>
        <w:trPr>
          <w:cantSplit/>
        </w:trPr>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0.028 (10.0%)</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0.026 (12.8%)</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0.000 (5.9%)</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0.110 (12.0%)</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0.137 (4.3%)</w:t>
            </w:r>
          </w:p>
        </w:tc>
        <w:tc>
          <w:tcPr>
            <w:tcW w:type="dxa" w:w="131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0.156 (2.0%)</w:t>
            </w:r>
          </w:p>
        </w:tc>
      </w:tr>
      <w:tr>
        <w:trPr>
          <w:cantSplit/>
        </w:trPr>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0.039 (34.2%)</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0.337 (34.9%)</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0.035 (26.8%)</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0.473 (32.2%)</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0.372 (18.1%)</w:t>
            </w:r>
          </w:p>
        </w:tc>
        <w:tc>
          <w:tcPr>
            <w:tcW w:type="dxa" w:w="131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0.366 (25.5%)</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Values are the median DSC of ESRG with the success rate in parentheses; cell sizes are the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vertAlign w:val="subscript"/>
        </w:rPr>
        <w:t xml:space="preserve">h</w:t>
      </w:r>
      <w:r>
        <w:rPr>
          <w:rFonts w:ascii="Times New Roman" w:cs="Times New Roman" w:eastAsia="Times New Roman" w:hAnsi="Times New Roman"/>
          <w:i w:val="false"/>
          <w:iCs w:val="false"/>
          <w:sz w:val="20"/>
          <w:szCs w:val="20"/>
        </w:rPr>
        <w:t xml:space="preserve"> of Table 4.1. Across planes, median DSC does not differ significantly under automatic seeding (Kruskal–Wallis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val="false"/>
          <w:iCs w:val="false"/>
          <w:sz w:val="20"/>
          <w:szCs w:val="20"/>
        </w:rPr>
        <w:t xml:space="preserve">(2) = 5.07,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 .079) or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i w:val="false"/>
          <w:iCs w:val="false"/>
          <w:sz w:val="20"/>
          <w:szCs w:val="20"/>
        </w:rPr>
        <w:t xml:space="preserve">(2) = 3.71,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 .156).</w:t>
      </w:r>
    </w:p>
    <w:p>
      <w:pPr>
        <w:spacing w:after="0" w:before="0" w:line="480"/>
        <w:ind w:firstLine="720"/>
        <w:jc w:val="both"/>
      </w:pPr>
      <w:r>
        <w:rPr>
          <w:rFonts w:ascii="Times New Roman" w:cs="Times New Roman" w:eastAsia="Times New Roman" w:hAnsi="Times New Roman"/>
          <w:i w:val="false"/>
          <w:iCs w:val="false"/>
          <w:sz w:val="24"/>
          <w:szCs w:val="24"/>
        </w:rPr>
        <w:t xml:space="preserve">Table 4.13 reports the results per imaging plane, as specified in Section 3.4.4. Unlike tumor class, the plane has no significant effect on DSC under either seeding condition. The only notable pattern is in automatic seeding of pituitary tumors, whose coronal slices reach a median DSC of 0.388 against 0.000 on axial and 0.000 on sagittal slices. This follows the higher coronal seed hit rate in Table 4.6, and suggests that the pituitary gland is easier to separate from neighboring bright structures on coronal views.</w:t>
      </w:r>
    </w:p>
    <w:p>
      <w:pPr>
        <w:keepNext/>
        <w:spacing w:after="0" w:before="240" w:line="480"/>
      </w:pPr>
      <w:r>
        <w:rPr>
          <w:rFonts w:ascii="Times New Roman" w:cs="Times New Roman" w:eastAsia="Times New Roman" w:hAnsi="Times New Roman"/>
          <w:b/>
          <w:bCs/>
          <w:i w:val="false"/>
          <w:iCs w:val="false"/>
          <w:sz w:val="24"/>
          <w:szCs w:val="24"/>
        </w:rPr>
        <w:t xml:space="preserve">Figure 4.5</w:t>
      </w:r>
    </w:p>
    <w:p>
      <w:pPr>
        <w:keepNext/>
        <w:spacing w:after="60" w:line="480"/>
      </w:pPr>
      <w:r>
        <w:rPr>
          <w:rFonts w:ascii="Times New Roman" w:cs="Times New Roman" w:eastAsia="Times New Roman" w:hAnsi="Times New Roman"/>
          <w:i/>
          <w:iCs/>
          <w:sz w:val="24"/>
          <w:szCs w:val="24"/>
        </w:rPr>
        <w:t xml:space="preserve">Distribution of per-slice DSC for the baseline and enhanced algorithm</w:t>
      </w:r>
    </w:p>
    <w:p>
      <w:pPr>
        <w:keepNext/>
        <w:jc w:val="center"/>
      </w:pPr>
      <w:r>
        <w:drawing>
          <wp:inline distT="0" distB="0" distL="0" distR="0">
            <wp:extent cx="5943600" cy="242316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2316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Each curve is a histogram of the per-slice DSC of one configuration in bins of width 0.05, expressed as the percentage of the 500 sampled slices.</w:t>
      </w:r>
    </w:p>
    <w:p>
      <w:pPr>
        <w:spacing w:after="0" w:before="0" w:line="480"/>
        <w:ind w:firstLine="720"/>
        <w:jc w:val="both"/>
      </w:pPr>
      <w:r>
        <w:rPr>
          <w:rFonts w:ascii="Times New Roman" w:cs="Times New Roman" w:eastAsia="Times New Roman" w:hAnsi="Times New Roman"/>
          <w:i w:val="false"/>
          <w:iCs w:val="false"/>
          <w:sz w:val="24"/>
          <w:szCs w:val="24"/>
        </w:rPr>
        <w:t xml:space="preserve">The distributions in Figure 4.5 show that results are bimodal. Under automatic seeding, 39.0% of ESRG slices have a DSC of exactly zero (the seed missed the tumor), while a second cluster lies between 0.8 and 0.95; the baseline has 52.0% zeros and no high cluster. With a planted seed, the zeros disappear and ESRG spreads across the whole range, whereas the baseline stays concentrated below 0.2. This is why medians and success rates are reported alongside means (Maier-Hein et al., 2024).</w:t>
      </w:r>
    </w:p>
    <w:p>
      <w:pPr>
        <w:keepNext/>
        <w:spacing w:after="0" w:before="240" w:line="480"/>
      </w:pPr>
      <w:r>
        <w:rPr>
          <w:rFonts w:ascii="Times New Roman" w:cs="Times New Roman" w:eastAsia="Times New Roman" w:hAnsi="Times New Roman"/>
          <w:b/>
          <w:bCs/>
          <w:i w:val="false"/>
          <w:iCs w:val="false"/>
          <w:sz w:val="24"/>
          <w:szCs w:val="24"/>
        </w:rPr>
        <w:t xml:space="preserve">Table 4.14</w:t>
      </w:r>
    </w:p>
    <w:p>
      <w:pPr>
        <w:keepNext/>
        <w:spacing w:after="0" w:line="480"/>
      </w:pPr>
      <w:r>
        <w:rPr>
          <w:rFonts w:ascii="Times New Roman" w:cs="Times New Roman" w:eastAsia="Times New Roman" w:hAnsi="Times New Roman"/>
          <w:i/>
          <w:iCs/>
          <w:sz w:val="24"/>
          <w:szCs w:val="24"/>
        </w:rPr>
        <w:t xml:space="preserve">Contribution of each enhancement with a planted seed (Experiment E4)</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0"/>
        <w:gridCol w:w="1000"/>
        <w:gridCol w:w="1000"/>
        <w:gridCol w:w="1100"/>
        <w:gridCol w:w="1000"/>
        <w:gridCol w:w="1000"/>
        <w:gridCol w:w="1000"/>
        <w:gridCol w:w="1060"/>
      </w:tblGrid>
      <w:tr>
        <w:trPr>
          <w:cantSplit/>
          <w:tblHeader/>
        </w:trPr>
        <w:tc>
          <w:tcPr>
            <w:tcW w:type="dxa" w:w="22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Configuration</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Success</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Leakage</w:t>
            </w:r>
          </w:p>
        </w:tc>
        <w:tc>
          <w:tcPr>
            <w:tcW w:type="dxa" w:w="10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Mean rank</w:t>
            </w:r>
          </w:p>
        </w:tc>
        <w:tc>
          <w:tcPr>
            <w:tcW w:type="dxa" w:w="10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vs. full </w:t>
            </w:r>
            <w:r>
              <w:rPr>
                <w:rFonts w:ascii="Times New Roman" w:cs="Times New Roman" w:eastAsia="Times New Roman" w:hAnsi="Times New Roman"/>
                <w:b/>
                <w:bCs/>
                <w:i/>
                <w:iCs/>
                <w:sz w:val="20"/>
                <w:szCs w:val="20"/>
              </w:rPr>
              <w:t xml:space="preserve">Z</w:t>
            </w:r>
          </w:p>
        </w:tc>
      </w:tr>
      <w:tr>
        <w:trPr>
          <w:cantSplit/>
        </w:trPr>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0.409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0.438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26.0%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1.64</w:t>
            </w:r>
          </w:p>
        </w:tc>
        <w:tc>
          <w:tcPr>
            <w:tcW w:type="dxa" w:w="10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0.222</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2.70</w:t>
            </w:r>
          </w:p>
        </w:tc>
        <w:tc>
          <w:tcPr>
            <w:tcW w:type="dxa" w:w="10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14.35</w:t>
            </w:r>
          </w:p>
        </w:tc>
      </w:tr>
      <w:tr>
        <w:trPr>
          <w:cantSplit/>
        </w:trPr>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0.298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0.347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14.2%</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2.41</w:t>
            </w:r>
          </w:p>
        </w:tc>
        <w:tc>
          <w:tcPr>
            <w:tcW w:type="dxa" w:w="10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10.62</w:t>
            </w:r>
          </w:p>
        </w:tc>
      </w:tr>
      <w:tr>
        <w:trPr>
          <w:cantSplit/>
        </w:trPr>
        <w:tc>
          <w:tcPr>
            <w:tcW w:type="dxa" w:w="2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No stopping criterion</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0.965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0.074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96.4%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3.25</w:t>
            </w:r>
          </w:p>
        </w:tc>
        <w:tc>
          <w:tcPr>
            <w:tcW w:type="dxa" w:w="10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16.69</w:t>
            </w:r>
          </w:p>
        </w:tc>
      </w:tr>
      <w:tr>
        <w:trPr>
          <w:cantSplit/>
        </w:trPr>
        <w:tc>
          <w:tcPr>
            <w:tcW w:type="dxa" w:w="22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0.166</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0.106</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0.996</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3.2%</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0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All rows use the same 500 planted seeds. Each ablated configuration removes exactly one enhancement from full ESRG (Table 4.2). Mean rank is the average rank of the configuration’s DSC among the four ESRG configurations on each slice (1 = best), from the Friedman test: χ²(3) = 427.15,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val="false"/>
          <w:iCs w:val="false"/>
          <w:sz w:val="20"/>
          <w:szCs w:val="20"/>
        </w:rPr>
        <w:t xml:space="preserve"> = 500. The pairwise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 compares full ESRG with the ablated configuration on DSC (positive = full ESRG higher); after Holm adjustment over the three comparisons, all three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 The baseline is listed for reference and is not part of the Friedman test.</w:t>
      </w:r>
    </w:p>
    <w:p>
      <w:pPr>
        <w:spacing w:after="0" w:before="0" w:line="480"/>
        <w:ind w:firstLine="720"/>
        <w:jc w:val="both"/>
      </w:pPr>
      <w:r>
        <w:rPr>
          <w:rFonts w:ascii="Times New Roman" w:cs="Times New Roman" w:eastAsia="Times New Roman" w:hAnsi="Times New Roman"/>
          <w:i w:val="false"/>
          <w:iCs w:val="false"/>
          <w:sz w:val="24"/>
          <w:szCs w:val="24"/>
        </w:rPr>
        <w:t xml:space="preserve">Table 4.14 summarizes the ablation. The four ESRG configurations differ significantly (χ²(3) = 427.15,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and full ESRG has the best mean rank (1.64). Removing any single enhancement lowers DSC significantly. The largest loss comes from removing the stopping criterion (mean DSC 0.075), followed by the global measure (0.222) and switching off the log transform (0.298). The enhancements are complementary: the local log-domain measure lets the region reach the tumor boundary, and the stopping criterion keeps it from crossing it.</w:t>
      </w:r>
    </w:p>
    <w:p>
      <w:pPr>
        <w:pStyle w:val="Heading3"/>
        <w:keepNext/>
        <w:spacing w:after="0" w:before="240" w:line="480"/>
        <w:ind w:left="720"/>
        <w:jc w:val="left"/>
      </w:pPr>
      <w:r>
        <w:rPr>
          <w:rFonts w:ascii="Times New Roman" w:cs="Times New Roman" w:eastAsia="Times New Roman" w:hAnsi="Times New Roman"/>
          <w:b/>
          <w:bCs/>
          <w:color w:val="000000"/>
          <w:sz w:val="24"/>
          <w:szCs w:val="24"/>
        </w:rPr>
        <w:t xml:space="preserve">4.2.5 Computational Efficiency</w:t>
      </w:r>
    </w:p>
    <w:p>
      <w:pPr>
        <w:keepNext/>
        <w:spacing w:after="0" w:before="240" w:line="480"/>
      </w:pPr>
      <w:r>
        <w:rPr>
          <w:rFonts w:ascii="Times New Roman" w:cs="Times New Roman" w:eastAsia="Times New Roman" w:hAnsi="Times New Roman"/>
          <w:b/>
          <w:bCs/>
          <w:i w:val="false"/>
          <w:iCs w:val="false"/>
          <w:sz w:val="24"/>
          <w:szCs w:val="24"/>
        </w:rPr>
        <w:t xml:space="preserve">Table 4.15</w:t>
      </w:r>
    </w:p>
    <w:p>
      <w:pPr>
        <w:keepNext/>
        <w:spacing w:after="0" w:line="480"/>
      </w:pPr>
      <w:r>
        <w:rPr>
          <w:rFonts w:ascii="Times New Roman" w:cs="Times New Roman" w:eastAsia="Times New Roman" w:hAnsi="Times New Roman"/>
          <w:i/>
          <w:iCs/>
          <w:sz w:val="24"/>
          <w:szCs w:val="24"/>
        </w:rPr>
        <w:t xml:space="preserve">Processing time per slice under automatic seeding (Experiment E6)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700"/>
        <w:gridCol w:w="1500"/>
        <w:gridCol w:w="1100"/>
        <w:gridCol w:w="1500"/>
        <w:gridCol w:w="1100"/>
        <w:gridCol w:w="1300"/>
        <w:gridCol w:w="1160"/>
      </w:tblGrid>
      <w:tr>
        <w:trPr>
          <w:cantSplit/>
          <w:tblHeader/>
        </w:trPr>
        <w:tc>
          <w:tcPr>
            <w:tcW w:type="dxa" w:w="1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i w:val="false"/>
                <w:iCs w:val="false"/>
                <w:sz w:val="20"/>
                <w:szCs w:val="20"/>
              </w:rPr>
              <w:t xml:space="preserve">Tumor class</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5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s</w:t>
            </w:r>
          </w:p>
        </w:tc>
        <w:tc>
          <w:tcPr>
            <w:tcW w:type="dxa" w:w="11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3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Z</w:t>
            </w:r>
          </w:p>
        </w:tc>
        <w:tc>
          <w:tcPr>
            <w:tcW w:type="dxa" w:w="116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i/>
                <w:iCs/>
                <w:sz w:val="20"/>
                <w:szCs w:val="20"/>
              </w:rPr>
              <w:t xml:space="preserve">r</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4.29 (2.28)</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4.96</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2.36 (1.67)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2.42</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−10.66</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−.80</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6.43 (1.56)</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6.59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3.47 (1.81)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2.98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−10.85</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−.82</w:t>
            </w:r>
          </w:p>
        </w:tc>
      </w:tr>
      <w:tr>
        <w:trPr>
          <w:cantSplit/>
        </w:trPr>
        <w:tc>
          <w:tcPr>
            <w:tcW w:type="dxa" w:w="1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6.13 (1.30)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6.19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4.57 (2.33)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3.70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−7.21</w:t>
            </w:r>
          </w:p>
        </w:tc>
        <w:tc>
          <w:tcPr>
            <w:tcW w:type="dxa" w:w="11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−.59</w:t>
            </w:r>
          </w:p>
        </w:tc>
      </w:tr>
      <w:tr>
        <w:trPr>
          <w:cantSplit/>
        </w:trPr>
        <w:tc>
          <w:tcPr>
            <w:tcW w:type="dxa" w:w="1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5.58 (2.03)</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5.94</w:t>
            </w:r>
          </w:p>
        </w:tc>
        <w:tc>
          <w:tcPr>
            <w:tcW w:type="dxa" w:w="15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3.40 (2.13)</w:t>
            </w:r>
          </w:p>
        </w:tc>
        <w:tc>
          <w:tcPr>
            <w:tcW w:type="dxa" w:w="11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3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11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i w:val="false"/>
                <w:iCs w:val="false"/>
                <w:sz w:val="20"/>
                <w:szCs w:val="20"/>
              </w:rPr>
              <w:t xml:space="preserve">−.74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i w:val="false"/>
          <w:iCs w:val="false"/>
          <w:sz w:val="20"/>
          <w:szCs w:val="20"/>
        </w:rPr>
        <w:t xml:space="preserve"> Time is the wall-clock time from loading the slice to producing the final mask, excluding the computation of the metrics (seconds column; configurations A_SRG and A_ESRG). The runs were executed with ten slices processed in parallel on the hardware of Table 3.1, and SRG and ESRG were timed under the same load, so their relative cost is comparable but absolute times are longer than for a single slice processed alone. A negative </w:t>
      </w:r>
      <w:r>
        <w:rPr>
          <w:rFonts w:ascii="Times New Roman" w:cs="Times New Roman" w:eastAsia="Times New Roman" w:hAnsi="Times New Roman"/>
          <w:i/>
          <w:iCs/>
          <w:sz w:val="20"/>
          <w:szCs w:val="20"/>
        </w:rPr>
        <w:t xml:space="preserve">Z</w:t>
      </w:r>
      <w:r>
        <w:rPr>
          <w:rFonts w:ascii="Times New Roman" w:cs="Times New Roman" w:eastAsia="Times New Roman" w:hAnsi="Times New Roman"/>
          <w:i w:val="false"/>
          <w:iCs w:val="false"/>
          <w:sz w:val="20"/>
          <w:szCs w:val="20"/>
        </w:rPr>
        <w:t xml:space="preserve"> means ESRG was faster (Wilcoxon signed-rank test; all four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i w:val="false"/>
          <w:iCs w:val="false"/>
          <w:sz w:val="20"/>
          <w:szCs w:val="20"/>
        </w:rPr>
        <w:t xml:space="preserve"> &lt; .001).</w:t>
      </w:r>
    </w:p>
    <w:p>
      <w:pPr>
        <w:spacing w:after="0" w:before="0" w:line="480"/>
        <w:ind w:firstLine="720"/>
        <w:jc w:val="both"/>
      </w:pPr>
      <w:r>
        <w:rPr>
          <w:rFonts w:ascii="Times New Roman" w:cs="Times New Roman" w:eastAsia="Times New Roman" w:hAnsi="Times New Roman"/>
          <w:i w:val="false"/>
          <w:iCs w:val="false"/>
          <w:sz w:val="24"/>
          <w:szCs w:val="24"/>
        </w:rPr>
        <w:t xml:space="preserve">Table 4.15 shows that the enhanced algorithm is also faster. Its mean time per slice is 3.40 s against 5.58 s for the baseline (median 2.94 against 5.94 s;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−16.58,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−.74), about 39% less. The baseline partitions the whole head among hundreds of background seeds, whereas ESRG grows a single region and stops at its boundary. ESRG is slowest on glioma (4.57 s), where weak margins let the region grow larger before the bound halts it. At about three seconds per slice on a standard CPU, the enhanced algorithm is fast enough for interactive use.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6c494a58add99ef823289e53fa2b7bcff4f9d9d.png"/><Relationship Id="rId8" Type="http://schemas.openxmlformats.org/officeDocument/2006/relationships/image" Target="media/c4a9378fa3760bed4b66bf17d21eb7338ee0b556.png"/><Relationship Id="rId9" Type="http://schemas.openxmlformats.org/officeDocument/2006/relationships/image" Target="media/c2cba35cf9b42eb200e6064635c3c3794b0988fe.png"/><Relationship Id="rId10" Type="http://schemas.openxmlformats.org/officeDocument/2006/relationships/image" Target="media/38a6025a40fd978b496c4193861a3608c2439735.png"/><Relationship Id="rId11" Type="http://schemas.openxmlformats.org/officeDocument/2006/relationships/image" Target="media/40ec8fc69c60991b251f425f8b1c34dd8187554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2026-09-30T00:54:18.158Z</dcterms:created>
  <dcterms:modified xsi:type="dcterms:W3CDTF">2026-09-30T00:54:18.160Z</dcterms:modified>
</cp:coreProperties>
</file>

<file path=docProps/custom.xml><?xml version="1.0" encoding="utf-8"?>
<Properties xmlns="http://schemas.openxmlformats.org/officeDocument/2006/custom-properties" xmlns:vt="http://schemas.openxmlformats.org/officeDocument/2006/docPropsVTypes"/>
</file>