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line="360"/>
        <w:jc w:val="center"/>
      </w:pPr>
      <w:r>
        <w:rPr>
          <w:rFonts w:ascii="Times New Roman" w:cs="Times New Roman" w:eastAsia="Times New Roman" w:hAnsi="Times New Roman"/>
          <w:b/>
          <w:bCs/>
          <w:color w:val="000000"/>
          <w:sz w:val="24"/>
          <w:szCs w:val="24"/>
        </w:rPr>
        <w:t xml:space="preserve">Chapter Three</w:t>
      </w:r>
    </w:p>
    <w:p>
      <w:pPr>
        <w:pStyle w:val="Heading1"/>
        <w:keepNext/>
        <w:spacing w:after="0" w:line="360"/>
        <w:jc w:val="center"/>
      </w:pPr>
      <w:r>
        <w:rPr>
          <w:rFonts w:ascii="Times New Roman" w:cs="Times New Roman" w:eastAsia="Times New Roman" w:hAnsi="Times New Roman"/>
          <w:b/>
          <w:bCs/>
          <w:color w:val="000000"/>
          <w:sz w:val="28"/>
          <w:szCs w:val="28"/>
        </w:rPr>
        <w:t xml:space="preserve">METHODOLOGY</w:t>
      </w:r>
    </w:p>
    <w:p>
      <w:pPr>
        <w:spacing w:after="0" w:before="0" w:line="360"/>
        <w:ind w:left="0" w:firstLine="720"/>
        <w:jc w:val="both"/>
      </w:pPr>
      <w:r>
        <w:rPr>
          <w:rFonts w:ascii="Times New Roman" w:cs="Times New Roman" w:eastAsia="Times New Roman" w:hAnsi="Times New Roman"/>
          <w:sz w:val="24"/>
          <w:szCs w:val="24"/>
        </w:rPr>
        <w:t xml:space="preserve">This chapter presents the research design, the dataset and evaluation metrics, the proposed Enhanced Seeded Region Growing (ESRG) algorithm and its system architecture, the hardware and software requirements, and the theories, methods, and tools that implement each objective. Equations are given where they define the enhancements of the three objectives; supporting computations are described in words, and every parameter and step corresponds to the implemented system.</w:t>
      </w:r>
    </w:p>
    <w:p>
      <w:pPr>
        <w:pStyle w:val="Heading2"/>
        <w:keepNext/>
        <w:spacing w:after="0" w:before="240" w:line="360"/>
        <w:jc w:val="left"/>
      </w:pPr>
      <w:r>
        <w:rPr>
          <w:rFonts w:ascii="Times New Roman" w:cs="Times New Roman" w:eastAsia="Times New Roman" w:hAnsi="Times New Roman"/>
          <w:b/>
          <w:bCs/>
          <w:i w:val="false"/>
          <w:iCs w:val="false"/>
          <w:color w:val="000000"/>
          <w:sz w:val="24"/>
          <w:szCs w:val="24"/>
        </w:rPr>
        <w:t xml:space="preserve">3.1 Research Design</w:t>
      </w:r>
    </w:p>
    <w:p>
      <w:pPr>
        <w:keepNext w:val="false"/>
        <w:spacing w:after="0" w:before="0" w:line="360"/>
        <w:ind w:left="0" w:firstLine="720"/>
        <w:jc w:val="both"/>
      </w:pPr>
      <w:r>
        <w:rPr>
          <w:rFonts w:ascii="Times New Roman" w:cs="Times New Roman" w:eastAsia="Times New Roman" w:hAnsi="Times New Roman"/>
          <w:sz w:val="24"/>
          <w:szCs w:val="24"/>
        </w:rPr>
        <w:t xml:space="preserve">This study employs a quantitative, experimental, and applied research design. Quantitative research tests objective theories by examining relationships among measurable variables, and experimental research determines whether a treatment influences an outcome by comparing a treatment group with a control group (Creswell &amp; Creswell, 2023). The study is applied because it addresses the practical need for consistent, automated, and interpretable localization and delineation of brain tumors on two-dimensional (2D) contrast-enhanced T1-weighted (T1-CE) magnetic resonance imaging (MRI) slices.</w:t>
      </w:r>
    </w:p>
    <w:p>
      <w:pPr>
        <w:spacing w:after="0" w:before="0" w:line="360"/>
        <w:ind w:left="0" w:firstLine="720"/>
        <w:jc w:val="both"/>
      </w:pPr>
      <w:r>
        <w:rPr>
          <w:rFonts w:ascii="Times New Roman" w:cs="Times New Roman" w:eastAsia="Times New Roman" w:hAnsi="Times New Roman"/>
          <w:sz w:val="24"/>
          <w:szCs w:val="24"/>
        </w:rPr>
        <w:t xml:space="preserve">The control group is the original Seeded Region Growing (SRG) algorithm of Adams and Bischof (1994), and the experimental group is the ESRG. The independent variables are the three enhancements: automatic seed selection through multi-level Otsu thresholding with connected-component filtering (Objective 1), the local difference measure computed in the log domain (Objective 2), and the stopping criterion that adapts to the intensity variability of the growing region, supported with a global drift guard (Objective 3). The dependent variables are segmentation quality, measured by the overlap, boundary, and objective-specific metrics of Section 3.1.2, and computational efficiency, measured by the processing time per slice.</w:t>
      </w:r>
    </w:p>
    <w:p>
      <w:pPr>
        <w:keepNext w:val="false"/>
        <w:spacing w:after="0" w:before="0" w:line="360"/>
        <w:ind w:left="0" w:firstLine="720"/>
        <w:jc w:val="both"/>
      </w:pPr>
      <w:r>
        <w:rPr>
          <w:rFonts w:ascii="Times New Roman" w:cs="Times New Roman" w:eastAsia="Times New Roman" w:hAnsi="Times New Roman"/>
          <w:sz w:val="24"/>
          <w:szCs w:val="24"/>
        </w:rPr>
        <w:t xml:space="preserve">Both algorithms are run under identical conditions: the same slices, the same resizing, normalization, and head masking, the same hardware, and the same evaluation procedure. The baseline SRG is implemented as published: it compares each candidate pixel with the mean intensity of the adjacent region, uses 4-connected neighbors, and absorbs every pixel unconditionally until all pixels are allocated. Because the original algorithm requires competing seeds, its automatic-seeding variant grows the tumor seed core against background seeds placed on a regular grid of 8 pixels inside the head mask, excluding a 6-pixel margin around the core. The ESRG operates on the log-domain image with 8-connected neighbors and the stopping rules of Section 3.4.3.</w:t>
      </w:r>
    </w:p>
    <w:p>
      <w:pPr>
        <w:keepNext w:val="false"/>
        <w:spacing w:after="0" w:before="0" w:line="360"/>
        <w:ind w:left="0" w:firstLine="720"/>
        <w:jc w:val="both"/>
      </w:pPr>
      <w:r>
        <w:rPr>
          <w:rFonts w:ascii="Times New Roman" w:cs="Times New Roman" w:eastAsia="Times New Roman" w:hAnsi="Times New Roman"/>
          <w:sz w:val="24"/>
          <w:szCs w:val="24"/>
        </w:rPr>
        <w:t xml:space="preserve">Seeding is treated as a controlled condition so that the effect of each enhancement can be isolated. Under </w:t>
      </w:r>
      <w:r>
        <w:rPr>
          <w:rFonts w:ascii="Times New Roman" w:cs="Times New Roman" w:eastAsia="Times New Roman" w:hAnsi="Times New Roman"/>
          <w:i/>
          <w:iCs/>
          <w:sz w:val="24"/>
          <w:szCs w:val="24"/>
        </w:rPr>
        <w:t xml:space="preserve">automatic</w:t>
      </w:r>
      <w:r>
        <w:rPr>
          <w:rFonts w:ascii="Times New Roman" w:cs="Times New Roman" w:eastAsia="Times New Roman" w:hAnsi="Times New Roman"/>
          <w:sz w:val="24"/>
          <w:szCs w:val="24"/>
        </w:rPr>
        <w:t xml:space="preserve"> seeding, the seed is chosen by the system (Objective 1). Under </w:t>
      </w:r>
      <w:r>
        <w:rPr>
          <w:rFonts w:ascii="Times New Roman" w:cs="Times New Roman" w:eastAsia="Times New Roman" w:hAnsi="Times New Roman"/>
          <w:i/>
          <w:iCs/>
          <w:sz w:val="24"/>
          <w:szCs w:val="24"/>
        </w:rPr>
        <w:t xml:space="preserve">planted</w:t>
      </w:r>
      <w:r>
        <w:rPr>
          <w:rFonts w:ascii="Times New Roman" w:cs="Times New Roman" w:eastAsia="Times New Roman" w:hAnsi="Times New Roman"/>
          <w:sz w:val="24"/>
          <w:szCs w:val="24"/>
        </w:rPr>
        <w:t xml:space="preserve"> seeding, a single click is placed at the deepest pixel of the ground-truth tumor, the pixel with the largest distance to the tumor boundary, and dilated into a disk of radius 3 pixels, exactly as a manual click; both algorithms then grow from the same seed, so differences reflect region growing alone. Under </w:t>
      </w:r>
      <w:r>
        <w:rPr>
          <w:rFonts w:ascii="Times New Roman" w:cs="Times New Roman" w:eastAsia="Times New Roman" w:hAnsi="Times New Roman"/>
          <w:i/>
          <w:iCs/>
          <w:sz w:val="24"/>
          <w:szCs w:val="24"/>
        </w:rPr>
        <w:t xml:space="preserve">operator</w:t>
      </w:r>
      <w:r>
        <w:rPr>
          <w:rFonts w:ascii="Times New Roman" w:cs="Times New Roman" w:eastAsia="Times New Roman" w:hAnsi="Times New Roman"/>
          <w:sz w:val="24"/>
          <w:szCs w:val="24"/>
        </w:rPr>
        <w:t xml:space="preserve"> seeding, five simulated operator clicks per slice are drawn at random from ground-truth pixels lying more than 3 pixels from the tumor boundary, which measures how much the result depends on where an operator clicks. In the planted and operator conditions, the ground-truth mask is used only to position the simulated click; in all conditions it is never used by the segmentation itself.</w:t>
      </w:r>
    </w:p>
    <w:p>
      <w:pPr>
        <w:spacing w:after="0" w:before="0" w:line="360"/>
        <w:ind w:left="0" w:firstLine="720"/>
        <w:jc w:val="both"/>
      </w:pPr>
      <w:r>
        <w:rPr>
          <w:rFonts w:ascii="Times New Roman" w:cs="Times New Roman" w:eastAsia="Times New Roman" w:hAnsi="Times New Roman"/>
          <w:sz w:val="24"/>
          <w:szCs w:val="24"/>
        </w:rPr>
        <w:t xml:space="preserve">Robustness to intensity inhomogeneity, the condition targeted by Objective 2, is tested by multiplying each slice, before normalization, by a synthetic linear bias field with 40% intensity non-uniformity (INU), the level used by the BrainWeb simulator (Kwan et al., 1999). The field is a smooth multiplicative gain that rises linearly across the slice from 0.80 on one side to 1.20 on the other, in a direction drawn at random for each slice with a fixed seed, so that the same tissue appears darker on one side of the image than on the other.</w:t>
      </w:r>
    </w:p>
    <w:p>
      <w:pPr>
        <w:keepNext w:val="false"/>
        <w:spacing w:after="0" w:before="0" w:line="360"/>
        <w:ind w:left="0" w:firstLine="720"/>
        <w:jc w:val="both"/>
      </w:pPr>
      <w:r>
        <w:rPr>
          <w:rFonts w:ascii="Times New Roman" w:cs="Times New Roman" w:eastAsia="Times New Roman" w:hAnsi="Times New Roman"/>
          <w:sz w:val="24"/>
          <w:szCs w:val="24"/>
        </w:rPr>
        <w:t xml:space="preserve">An ablation study disables one enhancement at a time from the same planted seed while all other conditions remain fixed. Table 3.1 lists the 23 configurations run on every sampled slice.</w:t>
      </w:r>
    </w:p>
    <w:p>
      <w:pPr>
        <w:keepNext/>
        <w:spacing w:after="0" w:before="240" w:line="360"/>
      </w:pPr>
      <w:r>
        <w:rPr>
          <w:rFonts w:ascii="Times New Roman" w:cs="Times New Roman" w:eastAsia="Times New Roman" w:hAnsi="Times New Roman"/>
          <w:b/>
          <w:bCs/>
          <w:sz w:val="24"/>
          <w:szCs w:val="24"/>
        </w:rPr>
        <w:t xml:space="preserve">Table 3.1</w:t>
      </w:r>
    </w:p>
    <w:p>
      <w:pPr>
        <w:keepNext/>
        <w:spacing w:after="0" w:line="360"/>
      </w:pPr>
      <w:r>
        <w:rPr>
          <w:rFonts w:ascii="Times New Roman" w:cs="Times New Roman" w:eastAsia="Times New Roman" w:hAnsi="Times New Roman"/>
          <w:i/>
          <w:iCs/>
          <w:sz w:val="24"/>
          <w:szCs w:val="24"/>
        </w:rPr>
        <w:t xml:space="preserve">Experimental Configurations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94"/>
        <w:gridCol w:w="980"/>
        <w:gridCol w:w="1197"/>
        <w:gridCol w:w="3483"/>
        <w:gridCol w:w="1306"/>
      </w:tblGrid>
      <w:tr>
        <w:trPr>
          <w:cantSplit/>
          <w:tblHeader/>
        </w:trPr>
        <w:tc>
          <w:tcPr>
            <w:tcW w:type="dxa" w:w="23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98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Method</w:t>
            </w:r>
          </w:p>
        </w:tc>
        <w:tc>
          <w:tcPr>
            <w:tcW w:type="dxa" w:w="1197"/>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Seeding</w:t>
            </w:r>
          </w:p>
        </w:tc>
        <w:tc>
          <w:tcPr>
            <w:tcW w:type="dxa" w:w="3483"/>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Modification</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Experiment</w:t>
            </w:r>
          </w:p>
        </w:tc>
      </w:tr>
      <w:tr>
        <w:trPr>
          <w:cantSplit/>
        </w:trPr>
        <w:tc>
          <w:tcPr>
            <w:tcW w:type="dxa" w:w="9360"/>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Automatic seeding</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A_SRG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Automatic</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None (baseline)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E1, E4–E6</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A_ESRG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Automatic</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None (proposed)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E1, E4–E6</w:t>
            </w:r>
          </w:p>
        </w:tc>
      </w:tr>
      <w:tr>
        <w:trPr>
          <w:cantSplit/>
        </w:trPr>
        <w:tc>
          <w:tcPr>
            <w:tcW w:type="dxa" w:w="9360"/>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Planted seed</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P_SRG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None (baseline)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E2–E4</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P_ESRG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None (full ESRG)</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E2–E4</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P_ESRG_global</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Global reference </w:t>
            </w:r>
            <w:r>
              <w:rPr>
                <w:rFonts w:ascii="Times New Roman" w:cs="Times New Roman" w:eastAsia="Times New Roman" w:hAnsi="Times New Roman"/>
                <w:b w:val="false"/>
                <w:bCs w:val="false"/>
                <w:i/>
                <w:iCs/>
                <w:sz w:val="20"/>
                <w:szCs w:val="20"/>
              </w:rPr>
              <w:t xml:space="preserve">μ</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 instead of </w:t>
            </w:r>
            <w:r>
              <w:rPr>
                <w:rFonts w:ascii="Times New Roman" w:cs="Times New Roman" w:eastAsia="Times New Roman" w:hAnsi="Times New Roman"/>
                <w:b w:val="false"/>
                <w:bCs w:val="false"/>
                <w:i/>
                <w:iCs/>
                <w:sz w:val="20"/>
                <w:szCs w:val="20"/>
              </w:rPr>
              <w:t xml:space="preserve">μ</w:t>
            </w:r>
            <w:r>
              <w:rPr>
                <w:rFonts w:ascii="Times New Roman" w:cs="Times New Roman" w:eastAsia="Times New Roman" w:hAnsi="Times New Roman"/>
                <w:b w:val="false"/>
                <w:bCs w:val="false"/>
                <w:i w:val="false"/>
                <w:iCs w:val="false"/>
                <w:sz w:val="20"/>
                <w:szCs w:val="20"/>
                <w:vertAlign w:val="subscript"/>
              </w:rPr>
              <w:t xml:space="preserve">loc</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 E4</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P_ESRG_nolog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Log-domain transformation disabled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 E4</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P_ESRG_nostop</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Adaptive stopping criterion disabled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E3, E4</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P_ESRG_nopurify</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Click disk not reduced to its core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E3</w:t>
            </w:r>
          </w:p>
        </w:tc>
      </w:tr>
      <w:tr>
        <w:trPr>
          <w:cantSplit/>
        </w:trPr>
        <w:tc>
          <w:tcPr>
            <w:tcW w:type="dxa" w:w="9360"/>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Planted seed with synthetic bias field (40% INU)</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B_SRG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Bias field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B_SRG_N4</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Bias field, N4 bias correction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B_ESRG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Bias field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B_ESRG_global</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Bias field, global reference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B_ESRG_nolog</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Bias field, log transform disabled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9360"/>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Simulated operator clicks</w:t>
            </w:r>
          </w:p>
        </w:tc>
      </w:tr>
      <w:tr>
        <w:trPr>
          <w:cantSplit/>
        </w:trPr>
        <w:tc>
          <w:tcPr>
            <w:tcW w:type="dxa" w:w="23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O_SRG_1 to O_SRG_5</w:t>
            </w:r>
          </w:p>
        </w:tc>
        <w:tc>
          <w:tcPr>
            <w:tcW w:type="dxa" w:w="98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9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Operator</w:t>
            </w:r>
          </w:p>
        </w:tc>
        <w:tc>
          <w:tcPr>
            <w:tcW w:type="dxa" w:w="348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Five click positions per slice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E1</w:t>
            </w:r>
          </w:p>
        </w:tc>
      </w:tr>
      <w:tr>
        <w:trPr>
          <w:cantSplit/>
        </w:trPr>
        <w:tc>
          <w:tcPr>
            <w:tcW w:type="dxa" w:w="23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O_ESRG_1 to O_ESRG_5</w:t>
            </w:r>
          </w:p>
        </w:tc>
        <w:tc>
          <w:tcPr>
            <w:tcW w:type="dxa" w:w="98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97"/>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Operator</w:t>
            </w:r>
          </w:p>
        </w:tc>
        <w:tc>
          <w:tcPr>
            <w:tcW w:type="dxa" w:w="348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Five click positions per slice</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E1</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SRG = original seeded region growing (Adams &amp; Bischof, 1994); ESRG = enhanced seeded region growing; INU = intensity non-uniformity; N4 = N4ITK bias-field correction (Tustison et al., 2010). Experiments E1 to E6 are defined in Table 3.5. Each configuration was run on all 954 sampled slices, giving 21,942 per-slice records.</w:t>
      </w:r>
    </w:p>
    <w:p>
      <w:pPr>
        <w:keepNext w:val="false"/>
        <w:spacing w:after="0" w:before="0" w:line="360"/>
        <w:ind w:left="0" w:firstLine="720"/>
        <w:jc w:val="both"/>
      </w:pPr>
      <w:r>
        <w:rPr>
          <w:rFonts w:ascii="Times New Roman" w:cs="Times New Roman" w:eastAsia="Times New Roman" w:hAnsi="Times New Roman"/>
          <w:sz w:val="24"/>
          <w:szCs w:val="24"/>
        </w:rPr>
        <w:t xml:space="preserve">Table 3.1 groups the configurations by seeding condition. Comparing A_SRG with A_ESRG measures the complete system; comparing P_SRG with P_ESRG measures region growing alone; and comparing P_ESRG with each ablated arm measures the contribution of a single enhancement. The bias-field configurations test Objective 2 directly, with N4 correction applied to the baseline as an established alternative.</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3.1.1 Dataset</w:t>
      </w:r>
    </w:p>
    <w:p>
      <w:pPr>
        <w:keepNext w:val="false"/>
        <w:spacing w:after="0" w:before="0" w:line="360"/>
        <w:ind w:left="720" w:firstLine="720"/>
        <w:jc w:val="both"/>
      </w:pPr>
      <w:r>
        <w:rPr>
          <w:rFonts w:ascii="Times New Roman" w:cs="Times New Roman" w:eastAsia="Times New Roman" w:hAnsi="Times New Roman"/>
          <w:sz w:val="24"/>
          <w:szCs w:val="24"/>
        </w:rPr>
        <w:t xml:space="preserve">The study uses the segmentation task of the BRISC 2025 dataset (Fateh et al., 2025), a publicly available collection of 2D T1-CE MRI slices in the axial, coronal, and sagittal planes. Each slice is stored as a JPEG image and is paired with a pixel-level ground-truth mask stored as a PNG image of the same file name. The masks were annotated and reviewed by a certified radiologist and a physician (Fateh et al., 2025), which makes them a credible reference standard. They are effectively binary and are read as tumor wherever the mask value exceeds 127. T1-CE images were chosen by the dataset authors because contrast enhancement highlights tumor boundaries, which is consistent with the assumption of Objective 1 that the enhancing tumor occupies the highest-intensity class.</w:t>
      </w:r>
    </w:p>
    <w:p>
      <w:pPr>
        <w:spacing w:after="0" w:before="0" w:line="360"/>
        <w:ind w:left="0" w:firstLine="720"/>
        <w:jc w:val="both"/>
      </w:pPr>
      <w:r>
        <w:rPr>
          <w:rFonts w:ascii="Times New Roman" w:cs="Times New Roman" w:eastAsia="Times New Roman" w:hAnsi="Times New Roman"/>
          <w:sz w:val="24"/>
          <w:szCs w:val="24"/>
        </w:rPr>
        <w:t xml:space="preserve">The segmentation task contains 4,793 tumor-bearing slices of three tumor classes, glioma, meningioma, and pituitary tumor, divided by the dataset authors into a training split of 3,933 slices and a test split of 860 slices. Because processing every slice under all 23 configurations was impractical, a stratified random sample was evaluated. The two splits were pooled and divided into nine strata, one for each combination of tumor class and imaging plane, both read from the file name. From each stratum, 106 slices were drawn by simple random sampling without replacement with a fixed random seed (2026), giving 954 slices, 318 per class. By Cochran’s (1977) formula for a proportion, this size keeps every class-level rate, such as a seed hit rate or a success rate, within ±5 percentage points at 95% confidence, and drawing the same number of slices from every stratum gives every class and plane the same precision. Table 3.2 shows the distribution of the population and of the evaluated sample.</w:t>
      </w:r>
    </w:p>
    <w:p>
      <w:pPr>
        <w:keepNext/>
        <w:spacing w:after="0" w:before="240" w:line="360"/>
      </w:pPr>
      <w:r>
        <w:rPr>
          <w:rFonts w:ascii="Times New Roman" w:cs="Times New Roman" w:eastAsia="Times New Roman" w:hAnsi="Times New Roman"/>
          <w:b/>
          <w:bCs/>
          <w:sz w:val="24"/>
          <w:szCs w:val="24"/>
        </w:rPr>
        <w:t xml:space="preserve">Table 3.2</w:t>
      </w:r>
    </w:p>
    <w:p>
      <w:pPr>
        <w:keepNext/>
        <w:spacing w:after="0" w:line="360"/>
      </w:pPr>
      <w:r>
        <w:rPr>
          <w:rFonts w:ascii="Times New Roman" w:cs="Times New Roman" w:eastAsia="Times New Roman" w:hAnsi="Times New Roman"/>
          <w:i/>
          <w:iCs/>
          <w:sz w:val="24"/>
          <w:szCs w:val="24"/>
        </w:rPr>
        <w:t xml:space="preserve">Population and Sample of the BRISC 2025 Segmentation Task by Stratum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98"/>
        <w:gridCol w:w="1141"/>
        <w:gridCol w:w="913"/>
        <w:gridCol w:w="913"/>
        <w:gridCol w:w="913"/>
        <w:gridCol w:w="913"/>
        <w:gridCol w:w="913"/>
        <w:gridCol w:w="913"/>
        <w:gridCol w:w="1143"/>
      </w:tblGrid>
      <w:tr>
        <w:trPr>
          <w:cantSplit/>
          <w:tblHeader/>
        </w:trPr>
        <w:tc>
          <w:tcPr>
            <w:tcW w:type="dxa" w:w="1598"/>
            <w:tcBorders>
              <w:top w:val="single" w:color="000000" w:sz="6"/>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141"/>
            <w:tcBorders>
              <w:top w:val="single" w:color="000000" w:sz="6"/>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Plane</w:t>
            </w:r>
          </w:p>
        </w:tc>
        <w:tc>
          <w:tcPr>
            <w:tcW w:type="dxa" w:w="2739"/>
            <w:gridSpan w:val="3"/>
            <w:tcBorders>
              <w:top w:val="single" w:color="000000" w:sz="6"/>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Population</w:t>
            </w:r>
          </w:p>
        </w:tc>
        <w:tc>
          <w:tcPr>
            <w:tcW w:type="dxa" w:w="2739"/>
            <w:gridSpan w:val="3"/>
            <w:tcBorders>
              <w:top w:val="single" w:color="000000" w:sz="6"/>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Sample</w:t>
            </w:r>
          </w:p>
        </w:tc>
        <w:tc>
          <w:tcPr>
            <w:tcW w:type="dxa" w:w="1143"/>
            <w:tcBorders>
              <w:top w:val="single" w:color="000000" w:sz="6"/>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Sampling fraction</w:t>
            </w:r>
          </w:p>
        </w:tc>
      </w:tr>
      <w:tr>
        <w:trPr>
          <w:cantSplit/>
          <w:tblHeader/>
        </w:trPr>
        <w:tc>
          <w:tcPr>
            <w:tcW w:type="dxa" w:w="15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Train</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Test</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h</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Train</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Test</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h</w:t>
            </w:r>
          </w:p>
        </w:tc>
        <w:tc>
          <w:tcPr>
            <w:tcW w:type="dxa" w:w="114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iCs/>
                <w:sz w:val="20"/>
                <w:szCs w:val="20"/>
              </w:rPr>
              <w:t xml:space="preserve">f</w:t>
            </w:r>
            <w:r>
              <w:rPr>
                <w:rFonts w:ascii="Times New Roman" w:cs="Times New Roman" w:eastAsia="Times New Roman" w:hAnsi="Times New Roman"/>
                <w:b/>
                <w:bCs/>
                <w:i w:val="false"/>
                <w:iCs w:val="false"/>
                <w:sz w:val="20"/>
                <w:szCs w:val="20"/>
                <w:vertAlign w:val="subscript"/>
              </w:rPr>
              <w:t xml:space="preserve">h</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394</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479</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91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15</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.221</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430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511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88</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.207</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323</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88</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411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87</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19</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.258</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423</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137</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560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25</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.189</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426</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512</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95</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.207</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480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563</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84</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.188</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426</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124</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550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82</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24</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.193</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510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90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600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93</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13</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.177</w:t>
            </w:r>
          </w:p>
        </w:tc>
      </w:tr>
      <w:tr>
        <w:trPr>
          <w:cantSplit/>
        </w:trPr>
        <w:tc>
          <w:tcPr>
            <w:tcW w:type="dxa" w:w="159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p>
        </w:tc>
        <w:tc>
          <w:tcPr>
            <w:tcW w:type="dxa" w:w="114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521</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607</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90</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c>
          <w:tcPr>
            <w:tcW w:type="dxa" w:w="91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106</w:t>
            </w:r>
          </w:p>
        </w:tc>
        <w:tc>
          <w:tcPr>
            <w:tcW w:type="dxa" w:w="114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.175</w:t>
            </w:r>
          </w:p>
        </w:tc>
      </w:tr>
      <w:tr>
        <w:trPr>
          <w:cantSplit/>
        </w:trPr>
        <w:tc>
          <w:tcPr>
            <w:tcW w:type="dxa" w:w="1598"/>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Total</w:t>
            </w:r>
          </w:p>
        </w:tc>
        <w:tc>
          <w:tcPr>
            <w:tcW w:type="dxa" w:w="114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3,933</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860</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4,793</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791</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163</w:t>
            </w:r>
          </w:p>
        </w:tc>
        <w:tc>
          <w:tcPr>
            <w:tcW w:type="dxa" w:w="91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954</w:t>
            </w:r>
          </w:p>
        </w:tc>
        <w:tc>
          <w:tcPr>
            <w:tcW w:type="dxa" w:w="1143"/>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.199</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number of slices in stratum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number of slices sampled from stratum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Train and Test refer to the original BRISC 2025 splits.</w:t>
      </w:r>
    </w:p>
    <w:p>
      <w:pPr>
        <w:spacing w:after="0" w:before="0" w:line="360"/>
        <w:ind w:left="0" w:firstLine="720"/>
        <w:jc w:val="both"/>
      </w:pPr>
      <w:r>
        <w:rPr>
          <w:rFonts w:ascii="Times New Roman" w:cs="Times New Roman" w:eastAsia="Times New Roman" w:hAnsi="Times New Roman"/>
          <w:sz w:val="24"/>
          <w:szCs w:val="24"/>
        </w:rPr>
        <w:t xml:space="preserve">Of the 954 evaluated slices, 791 come from the training split and 163 from the test split. Because the seed-ranking weights were tuned on the training split, results are compared between the two splits to check for tuning bias. Because equal allocation samples the strata at slightly different rates (17.5% to 25.8%), overall means are also re-weighted to the stratum sizes of the population to confirm that the allocation does not bias them (Cochran, 1977).</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3.1.2 Evaluation Metrics</w:t>
      </w:r>
    </w:p>
    <w:p>
      <w:pPr>
        <w:spacing w:after="0" w:before="0" w:line="360"/>
        <w:ind w:left="0" w:firstLine="720"/>
        <w:jc w:val="both"/>
      </w:pPr>
      <w:r>
        <w:rPr>
          <w:rFonts w:ascii="Times New Roman" w:cs="Times New Roman" w:eastAsia="Times New Roman" w:hAnsi="Times New Roman"/>
          <w:sz w:val="24"/>
          <w:szCs w:val="24"/>
        </w:rPr>
        <w:t xml:space="preserve">Each predicted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compared with its ground-truth mask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at the working resolution of the slice; the ground-truth mask is resized with nearest-neighbor interpolation so that both masks have identical dimensions. Following the recommendation that an overlap metric be complemented by a boundary metric and that each metric match the property of interest (Maier-Hein et al., 2024; Taha &amp; Hanbury, 2015), each objective is evaluated by the metric that measures its problem most directly. The overlap metrics are computed from three pixel counts: the true positives TP, labeled tumor in both masks; the false positives FP, labeled tumor only in the prediction; and the false negatives FN, labeled tumor only in the ground truth. Table 3.3 defines every metric used in Chapter 4.</w:t>
      </w:r>
    </w:p>
    <w:p>
      <w:pPr>
        <w:keepNext/>
        <w:spacing w:after="0" w:before="240" w:line="360"/>
      </w:pPr>
      <w:r>
        <w:rPr>
          <w:rFonts w:ascii="Times New Roman" w:cs="Times New Roman" w:eastAsia="Times New Roman" w:hAnsi="Times New Roman"/>
          <w:b/>
          <w:bCs/>
          <w:sz w:val="24"/>
          <w:szCs w:val="24"/>
        </w:rPr>
        <w:t xml:space="preserve">Table 3.3</w:t>
      </w:r>
    </w:p>
    <w:p>
      <w:pPr>
        <w:keepNext/>
        <w:spacing w:after="0" w:line="360"/>
      </w:pPr>
      <w:r>
        <w:rPr>
          <w:rFonts w:ascii="Times New Roman" w:cs="Times New Roman" w:eastAsia="Times New Roman" w:hAnsi="Times New Roman"/>
          <w:i/>
          <w:iCs/>
          <w:sz w:val="24"/>
          <w:szCs w:val="24"/>
        </w:rPr>
        <w:t xml:space="preserve">Evaluation Metrics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3960"/>
        <w:gridCol w:w="3100"/>
      </w:tblGrid>
      <w:tr>
        <w:trPr>
          <w:cantSplit/>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sz w:val="20"/>
                <w:szCs w:val="20"/>
              </w:rPr>
              <w:t xml:space="preserve">Metric</w:t>
            </w:r>
          </w:p>
        </w:tc>
        <w:tc>
          <w:tcPr>
            <w:tcW w:type="dxa" w:w="396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sz w:val="20"/>
                <w:szCs w:val="20"/>
              </w:rPr>
              <w:t xml:space="preserve">Definition</w:t>
            </w:r>
          </w:p>
        </w:tc>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sz w:val="20"/>
                <w:szCs w:val="20"/>
              </w:rPr>
              <w:t xml:space="preserve">What it indicates</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i/>
                <w:iCs/>
                <w:sz w:val="20"/>
                <w:szCs w:val="20"/>
              </w:rPr>
              <w:t xml:space="preserve">Objective 1: automatic seed selection</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Seed hit rate (SHR)</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seeded slices whose entire seed core lies inside the tumor</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Whether the automatic seed lands in the tumor</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Seed distance</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Distance from the centroid of the seed core to the nearest tumor pixel, in pixels; 0 when the centroid lies inside the tumor</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How far a missed seed lies from the tumor</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Within-slice SD of DSC</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Standard deviation of the DSC values obtained from the five simulated operator clicks on one slice</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How much the result depends on where the operator clicks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Inconsistency rate</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slices on which some of the five clicks succeed (DSC ≥ 0.70) and others fail</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Whether the operator changes the outcome</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i/>
                <w:iCs/>
                <w:sz w:val="20"/>
                <w:szCs w:val="20"/>
              </w:rPr>
              <w:t xml:space="preserve">Objective 2: undersegmentation</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Recall</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TP / (TP + FN)</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the true tumor recovered; 1 − recall is the share left unsegmented</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i/>
                <w:iCs/>
                <w:sz w:val="20"/>
                <w:szCs w:val="20"/>
              </w:rPr>
              <w:t xml:space="preserve">Objective 3: boundary leakage</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Precision</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TP / (TP + FP)</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the predicted region that is tumor</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Leakage rate</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slices whose predicted area exceeds twice the true area, |M| &gt; 2|G|</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Gross leakage into surrounding tissue; |M|/|G| is the area ratio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HD95</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95th percentile of the distances between the predicted and the true boundary, in pixels</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Accuracy of the boundary; lower is better</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i/>
                <w:iCs/>
                <w:sz w:val="20"/>
                <w:szCs w:val="20"/>
              </w:rPr>
              <w:t xml:space="preserve">Overall delineation and efficiency</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Dice Similarity Coefficient (DSC)</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2TP / (2TP + FP + FN)</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Overall overlap, from 0 (none) to 1 (perfect)</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Success rate</w:t>
            </w:r>
          </w:p>
        </w:tc>
        <w:tc>
          <w:tcPr>
            <w:tcW w:type="dxa" w:w="39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slices with DSC ≥ 0.70</w:t>
            </w:r>
          </w:p>
        </w:tc>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Share of slices segmented with good agreement</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Processing time</w:t>
            </w:r>
          </w:p>
        </w:tc>
        <w:tc>
          <w:tcPr>
            <w:tcW w:type="dxa" w:w="396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Wall-clock seconds from loading the slice to the final mask</w:t>
            </w:r>
          </w:p>
        </w:tc>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sz w:val="20"/>
                <w:szCs w:val="20"/>
              </w:rPr>
              <w:t xml:space="preserve">Computational cost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TP, FP, and FN are the true-positive, false-positive, and false-negative pixel counts;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rPr>
        <w:t xml:space="preserve"> are the predicted and ground-truth masks. HD95 pools the distances from the boundary pixels of each mask to the nearest boundary pixel of the other (Huttenlocher et al., 1993); an empty prediction receives the image diagonal, the worst possible distance (Maier-Hein et al., 2024). The Intersection over Union and the average symmetric surface distance are also computed and are reported in the appendices.</w:t>
      </w:r>
    </w:p>
    <w:p>
      <w:pPr>
        <w:spacing w:after="0" w:before="0" w:line="360"/>
        <w:ind w:left="0" w:firstLine="720"/>
        <w:jc w:val="both"/>
      </w:pPr>
      <w:r>
        <w:rPr>
          <w:rFonts w:ascii="Times New Roman" w:cs="Times New Roman" w:eastAsia="Times New Roman" w:hAnsi="Times New Roman"/>
          <w:sz w:val="24"/>
          <w:szCs w:val="24"/>
        </w:rPr>
        <w:t xml:space="preserve">Recall and precision are the primary metrics of Objectives 2 and 3 because each responds to one type of error. In this study, undersegmentation is the failure of region growing to cover the full extent of the tumor, so that part of the ground-truth tumor is left outside the segmented region even though the seed lies inside it; it leaves tumor pixels out and lowers recall. Boundary leakage adds non-tumor pixels and lowers precision. A DSC of 0.70 is the level conventionally regarded as good agreement in MRI lesion segmentation (Zijdenbos et al., 1994), so it defines a successful segmentation.</w:t>
      </w:r>
    </w:p>
    <w:p>
      <w:pPr>
        <w:keepNext w:val="false"/>
        <w:spacing w:after="0" w:before="0" w:line="360"/>
        <w:ind w:left="720" w:firstLine="720"/>
        <w:jc w:val="both"/>
      </w:pPr>
      <w:r>
        <w:rPr>
          <w:rFonts w:ascii="Times New Roman" w:cs="Times New Roman" w:eastAsia="Times New Roman" w:hAnsi="Times New Roman"/>
          <w:sz w:val="24"/>
          <w:szCs w:val="24"/>
        </w:rPr>
        <w:t xml:space="preserve">Timing is measured in a separate sequential pass on a stratified random subsample of 20 slices per stratum (180 slices), using a single process with no other workload. A discarded warm-up run loads the libraries, and the order of SRG and ESRG alternates between slices so that neither benefits systematically from cached data. Each run also records the time of every pipeline stage.</w:t>
      </w:r>
    </w:p>
    <w:p>
      <w:pPr>
        <w:keepNext w:val="false"/>
        <w:spacing w:after="0" w:before="0" w:line="360"/>
        <w:ind w:left="720" w:firstLine="720"/>
        <w:jc w:val="both"/>
      </w:pPr>
      <w:r>
        <w:rPr>
          <w:rFonts w:ascii="Times New Roman" w:cs="Times New Roman" w:eastAsia="Times New Roman" w:hAnsi="Times New Roman"/>
          <w:sz w:val="24"/>
          <w:szCs w:val="24"/>
        </w:rPr>
        <w:t xml:space="preserve">To explain why a slice succeeds or fails, a failure-attribution analysis checks the pipeline stages of A_ESRG in order and assigns each slice to the first gate it fails (Table 3.4).</w:t>
      </w:r>
    </w:p>
    <w:p>
      <w:pPr>
        <w:keepNext/>
        <w:spacing w:after="0" w:before="240" w:line="360"/>
      </w:pPr>
      <w:r>
        <w:rPr>
          <w:rFonts w:ascii="Times New Roman" w:cs="Times New Roman" w:eastAsia="Times New Roman" w:hAnsi="Times New Roman"/>
          <w:b/>
          <w:bCs/>
          <w:sz w:val="24"/>
          <w:szCs w:val="24"/>
        </w:rPr>
        <w:t xml:space="preserve">Table 3.4</w:t>
      </w:r>
    </w:p>
    <w:p>
      <w:pPr>
        <w:keepNext/>
        <w:spacing w:after="0" w:line="360"/>
      </w:pPr>
      <w:r>
        <w:rPr>
          <w:rFonts w:ascii="Times New Roman" w:cs="Times New Roman" w:eastAsia="Times New Roman" w:hAnsi="Times New Roman"/>
          <w:i/>
          <w:iCs/>
          <w:sz w:val="24"/>
          <w:szCs w:val="24"/>
        </w:rPr>
        <w:t xml:space="preserve">Failure-Attribution Gates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71"/>
        <w:gridCol w:w="881"/>
        <w:gridCol w:w="5726"/>
        <w:gridCol w:w="1982"/>
      </w:tblGrid>
      <w:tr>
        <w:trPr>
          <w:cantSplit/>
          <w:tblHeader/>
        </w:trPr>
        <w:tc>
          <w:tcPr>
            <w:tcW w:type="dxa" w:w="77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Order</w:t>
            </w:r>
          </w:p>
        </w:tc>
        <w:tc>
          <w:tcPr>
            <w:tcW w:type="dxa" w:w="88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Bucket</w:t>
            </w:r>
          </w:p>
        </w:tc>
        <w:tc>
          <w:tcPr>
            <w:tcW w:type="dxa" w:w="5726"/>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Condition</w:t>
            </w:r>
          </w:p>
        </w:tc>
        <w:tc>
          <w:tcPr>
            <w:tcW w:type="dxa" w:w="1982"/>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Stage examined</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X</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System reported “no tumor candidate” although a tumor is present</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Seed selection</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2</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A</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Head mask retains &lt; 90% of the tumor pixels</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Head masking</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3</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B</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&lt; 30% of the tumor pixels enter the candidate mask </w:t>
            </w:r>
            <w:r>
              <w:rPr>
                <w:rFonts w:ascii="Times New Roman" w:cs="Times New Roman" w:eastAsia="Times New Roman" w:hAnsi="Times New Roman"/>
                <w:b w:val="false"/>
                <w:bCs w:val="false"/>
                <w:i/>
                <w:iCs/>
                <w:sz w:val="20"/>
                <w:szCs w:val="20"/>
              </w:rPr>
              <w:t xml:space="preserve">C</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Multi-level Otsu</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C</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&lt; 50% of the seed core lies inside the tumor</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Candidate ranking</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5</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G</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Final DSC ≥ 0.70 (success)</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6</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F</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Post-processing lowers the DSC of the grown region by ≥ 0.10</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Post-processing</w:t>
            </w:r>
          </w:p>
        </w:tc>
      </w:tr>
      <w:tr>
        <w:trPr>
          <w:cantSplit/>
        </w:trPr>
        <w:tc>
          <w:tcPr>
            <w:tcW w:type="dxa" w:w="7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7</w:t>
            </w:r>
          </w:p>
        </w:tc>
        <w:tc>
          <w:tcPr>
            <w:tcW w:type="dxa" w:w="88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D</w:t>
            </w:r>
          </w:p>
        </w:tc>
        <w:tc>
          <w:tcPr>
            <w:tcW w:type="dxa" w:w="572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Grown-region precision &lt; 0.50 and not above its recall (leakage)</w:t>
            </w:r>
          </w:p>
        </w:tc>
        <w:tc>
          <w:tcPr>
            <w:tcW w:type="dxa" w:w="1982"/>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Stopping criterion</w:t>
            </w:r>
          </w:p>
        </w:tc>
      </w:tr>
      <w:tr>
        <w:trPr>
          <w:cantSplit/>
        </w:trPr>
        <w:tc>
          <w:tcPr>
            <w:tcW w:type="dxa" w:w="77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8</w:t>
            </w:r>
          </w:p>
        </w:tc>
        <w:tc>
          <w:tcPr>
            <w:tcW w:type="dxa" w:w="88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E</w:t>
            </w:r>
          </w:p>
        </w:tc>
        <w:tc>
          <w:tcPr>
            <w:tcW w:type="dxa" w:w="5726"/>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All remaining slices (undersegmentation or partial delineation)</w:t>
            </w:r>
          </w:p>
        </w:tc>
        <w:tc>
          <w:tcPr>
            <w:tcW w:type="dxa" w:w="1982"/>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Difference measure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Gates are applied in the listed order, and the first gate that applies determines the bucket, so each slice belongs to exactly one bucket. The thresholds are fixed before evaluation.</w:t>
      </w:r>
    </w:p>
    <w:p>
      <w:pPr>
        <w:keepNext w:val="false"/>
        <w:spacing w:after="0" w:before="0" w:line="360"/>
        <w:ind w:left="720" w:firstLine="720"/>
        <w:jc w:val="both"/>
      </w:pPr>
      <w:r>
        <w:rPr>
          <w:rFonts w:ascii="Times New Roman" w:cs="Times New Roman" w:eastAsia="Times New Roman" w:hAnsi="Times New Roman"/>
          <w:sz w:val="24"/>
          <w:szCs w:val="24"/>
        </w:rPr>
        <w:t xml:space="preserve">Table 3.4 lists the gates in the order they are applied. Buckets X to C attribute a failure to pre-processing or seeding, while buckets D to F apply only to slices whose seed is correct and therefore attribute the failure to region growing or post-processing.</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Statistical Treatment</w:t>
      </w:r>
    </w:p>
    <w:p>
      <w:pPr>
        <w:spacing w:after="0" w:before="0" w:line="360"/>
        <w:ind w:left="0" w:firstLine="720"/>
        <w:jc w:val="both"/>
      </w:pPr>
      <w:r>
        <w:rPr>
          <w:rFonts w:ascii="Times New Roman" w:cs="Times New Roman" w:eastAsia="Times New Roman" w:hAnsi="Times New Roman"/>
          <w:sz w:val="24"/>
          <w:szCs w:val="24"/>
        </w:rPr>
        <w:t xml:space="preserve">Results are reported per tumor class and per plane, with means and medians, because per-slice DSC is bounded and often bimodal. Every configuration was run on the same slices, so configurations are compared with paired tests. The Shapiro–Wilk test (Shapiro &amp; Wilk, 1965) rejected the normality of the paired differences, so continuous metrics are compared with the nonparametric Wilcoxon signed-rank test (Wilcoxon, 1945), and paired rates, such as the success and leakage rates, with the exact McNemar test (McNemar, 1947). The effect size of a Wilcoxon test is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paired slices;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near .1, .3, and .5 indicates a small, medium, and large effect (Fritz et al., 2012). When several tests address one question, the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are adjusted with Holm’s (1979) step-down procedure. All tests are two-sided at a significance level of .05.</w:t>
      </w:r>
    </w:p>
    <w:p>
      <w:pPr>
        <w:spacing w:after="0" w:before="0" w:line="360"/>
        <w:ind w:left="0" w:firstLine="720"/>
        <w:jc w:val="both"/>
      </w:pPr>
      <w:r>
        <w:rPr>
          <w:rFonts w:ascii="Times New Roman" w:cs="Times New Roman" w:eastAsia="Times New Roman" w:hAnsi="Times New Roman"/>
          <w:sz w:val="24"/>
          <w:szCs w:val="24"/>
        </w:rPr>
        <w:t xml:space="preserve">Further tests serve specific comparisons. The confidence interval of a rate, such as the seed hit rate, is the Wilson (1927) score interval. The ablation configurations are compared jointly with the Friedman test (Friedman, 1937), with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as its effect size (Kendall &amp; Babington Smith, 1939). Differences across tumor classes or planes are tested with the Kruskal–Wallis test (Kruskal &amp; Wallis, 1952) for DSC, with ε² as its effect size (Tomczak &amp; Tomczak, 2014), and with the chi-square test of independence for rates, with Cramér’s (1946)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Two independent groups, such as slices whose seed hit or missed the tumor, or training-split and test-split slices, are compared with the Mann–Whitney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test (Mann &amp; Whitney, 1947) and the rank-biserial correlation (Kerby, 2014). Table 3.5 summarizes how the configurations, metrics, and tests combine into the six experiments of the study.</w:t>
      </w:r>
    </w:p>
    <w:p>
      <w:pPr>
        <w:keepNext/>
        <w:spacing w:after="0" w:before="240" w:line="360"/>
      </w:pPr>
      <w:r>
        <w:rPr>
          <w:rFonts w:ascii="Times New Roman" w:cs="Times New Roman" w:eastAsia="Times New Roman" w:hAnsi="Times New Roman"/>
          <w:b/>
          <w:bCs/>
          <w:sz w:val="24"/>
          <w:szCs w:val="24"/>
        </w:rPr>
        <w:t xml:space="preserve">Table 3.5</w:t>
      </w:r>
    </w:p>
    <w:p>
      <w:pPr>
        <w:keepNext/>
        <w:spacing w:after="0" w:line="360"/>
      </w:pPr>
      <w:r>
        <w:rPr>
          <w:rFonts w:ascii="Times New Roman" w:cs="Times New Roman" w:eastAsia="Times New Roman" w:hAnsi="Times New Roman"/>
          <w:i/>
          <w:iCs/>
          <w:sz w:val="24"/>
          <w:szCs w:val="24"/>
        </w:rPr>
        <w:t xml:space="preserve">Summary of Experiments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11"/>
        <w:gridCol w:w="2114"/>
        <w:gridCol w:w="1711"/>
        <w:gridCol w:w="2114"/>
        <w:gridCol w:w="1710"/>
      </w:tblGrid>
      <w:tr>
        <w:trPr>
          <w:cantSplit/>
          <w:tblHeader/>
        </w:trPr>
        <w:tc>
          <w:tcPr>
            <w:tcW w:type="dxa" w:w="171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211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Purpose</w:t>
            </w:r>
          </w:p>
        </w:tc>
        <w:tc>
          <w:tcPr>
            <w:tcW w:type="dxa" w:w="171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Configurations</w:t>
            </w:r>
          </w:p>
        </w:tc>
        <w:tc>
          <w:tcPr>
            <w:tcW w:type="dxa" w:w="211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Metrics</w:t>
            </w:r>
          </w:p>
        </w:tc>
        <w:tc>
          <w:tcPr>
            <w:tcW w:type="dxa" w:w="171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Statistical tests</w:t>
            </w:r>
          </w:p>
        </w:tc>
      </w:tr>
      <w:tr>
        <w:trPr>
          <w:cantSplit/>
        </w:trPr>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E1 Seed reliability (Objective 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Accuracy of automatic seeding and its consistency against operator seeding</w:t>
            </w:r>
          </w:p>
        </w:tc>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A_ESRG; O_SRG, O_ESRG</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Seed hit rate, seed distance; within-slice SD of DSC and inconsistency rate across the five clicks</w:t>
            </w:r>
          </w:p>
        </w:tc>
        <w:tc>
          <w:tcPr>
            <w:tcW w:type="dxa" w:w="17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Wilson CI, chi-square, Wilcoxon, Mann–Whitney</w:t>
            </w:r>
          </w:p>
        </w:tc>
      </w:tr>
      <w:tr>
        <w:trPr>
          <w:cantSplit/>
        </w:trPr>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E2 Undersegmentation (Objective 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Effect of the local log-domain measure on recall, with and without a bias field</w:t>
            </w:r>
          </w:p>
        </w:tc>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P_ and B_ configurations</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7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E3 Boundary leakage (Objective 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Effect of the adaptive stopping criterion</w:t>
            </w:r>
          </w:p>
        </w:tc>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P_ESRG, P_ESRG_nostop, P_SRG, P_ESRG_nopurify</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Precision, leakage rate, area ratio, HD95</w:t>
            </w:r>
          </w:p>
        </w:tc>
        <w:tc>
          <w:tcPr>
            <w:tcW w:type="dxa" w:w="17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 McNemar</w:t>
            </w:r>
          </w:p>
        </w:tc>
      </w:tr>
      <w:tr>
        <w:trPr>
          <w:cantSplit/>
        </w:trPr>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E4 Overall delineation and ablation</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Overall SRG vs. ESRG performance; contribution of each module</w:t>
            </w:r>
          </w:p>
        </w:tc>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A_, P_ configurations</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DSC, precision, recall, HD95, success rate</w:t>
            </w:r>
          </w:p>
        </w:tc>
        <w:tc>
          <w:tcPr>
            <w:tcW w:type="dxa" w:w="17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Wilcoxon, McNemar, Friedman, Kruskal–Wallis</w:t>
            </w:r>
          </w:p>
        </w:tc>
      </w:tr>
      <w:tr>
        <w:trPr>
          <w:cantSplit/>
        </w:trPr>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E5 Failure attribution</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Stage responsible for each outcome</w:t>
            </w:r>
          </w:p>
        </w:tc>
        <w:tc>
          <w:tcPr>
            <w:tcW w:type="dxa" w:w="171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A_ESRG</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Bucket shares (Table 3.4)</w:t>
            </w:r>
          </w:p>
        </w:tc>
        <w:tc>
          <w:tcPr>
            <w:tcW w:type="dxa" w:w="171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Chi-square</w:t>
            </w:r>
          </w:p>
        </w:tc>
      </w:tr>
      <w:tr>
        <w:trPr>
          <w:cantSplit/>
        </w:trPr>
        <w:tc>
          <w:tcPr>
            <w:tcW w:type="dxa" w:w="171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E6 Processing time</w:t>
            </w:r>
          </w:p>
        </w:tc>
        <w:tc>
          <w:tcPr>
            <w:tcW w:type="dxa" w:w="211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Computational cost of SRG vs. ESRG</w:t>
            </w:r>
          </w:p>
        </w:tc>
        <w:tc>
          <w:tcPr>
            <w:tcW w:type="dxa" w:w="171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A_SRG, A_ESRG (timing pass)</w:t>
            </w:r>
          </w:p>
        </w:tc>
        <w:tc>
          <w:tcPr>
            <w:tcW w:type="dxa" w:w="211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Seconds per slice and per stage</w:t>
            </w:r>
          </w:p>
        </w:tc>
        <w:tc>
          <w:tcPr>
            <w:tcW w:type="dxa" w:w="171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CI = confidence interval; SD = standard deviation. Configuration codes are defined in Table 3.1. All tests are two-sided at </w:t>
      </w:r>
      <w:r>
        <w:rPr>
          <w:rFonts w:ascii="Times New Roman" w:cs="Times New Roman" w:eastAsia="Times New Roman" w:hAnsi="Times New Roman"/>
          <w:i/>
          <w:iCs/>
          <w:sz w:val="20"/>
          <w:szCs w:val="20"/>
        </w:rPr>
        <w:t xml:space="preserve">α</w:t>
      </w:r>
      <w:r>
        <w:rPr>
          <w:rFonts w:ascii="Times New Roman" w:cs="Times New Roman" w:eastAsia="Times New Roman" w:hAnsi="Times New Roman"/>
          <w:sz w:val="20"/>
          <w:szCs w:val="20"/>
        </w:rPr>
        <w:t xml:space="preserve"> = .05.</w:t>
      </w:r>
    </w:p>
    <w:p>
      <w:pPr>
        <w:keepNext w:val="false"/>
        <w:spacing w:after="0" w:before="0" w:line="360"/>
        <w:ind w:left="720" w:firstLine="720"/>
        <w:jc w:val="both"/>
      </w:pPr>
      <w:r>
        <w:rPr>
          <w:rFonts w:ascii="Times New Roman" w:cs="Times New Roman" w:eastAsia="Times New Roman" w:hAnsi="Times New Roman"/>
          <w:sz w:val="24"/>
          <w:szCs w:val="24"/>
        </w:rPr>
        <w:t xml:space="preserve">As Table 3.5 shows, each objective is tested by a dedicated experiment with its own primary metric, while E4 evaluates the complete method and E5 and E6 explain its failures and its cost. The training-split and test-split slices are also compared with the Mann–Whitney </w:t>
      </w:r>
      <w:r>
        <w:rPr>
          <w:rFonts w:ascii="Times New Roman" w:cs="Times New Roman" w:eastAsia="Times New Roman" w:hAnsi="Times New Roman"/>
          <w:i/>
          <w:iCs/>
          <w:sz w:val="24"/>
          <w:szCs w:val="24"/>
        </w:rPr>
        <w:t xml:space="preserve">U</w:t>
      </w:r>
      <w:r>
        <w:rPr>
          <w:rFonts w:ascii="Times New Roman" w:cs="Times New Roman" w:eastAsia="Times New Roman" w:hAnsi="Times New Roman"/>
          <w:sz w:val="24"/>
          <w:szCs w:val="24"/>
        </w:rPr>
        <w:t xml:space="preserve"> test to confirm that the frozen parameters do not favor the slices on which they were tuned.</w:t>
      </w:r>
    </w:p>
    <w:p>
      <w:pPr>
        <w:pStyle w:val="Heading2"/>
        <w:keepNext/>
        <w:spacing w:after="0" w:before="240" w:line="360"/>
        <w:jc w:val="left"/>
      </w:pPr>
      <w:r>
        <w:rPr>
          <w:rFonts w:ascii="Times New Roman" w:cs="Times New Roman" w:eastAsia="Times New Roman" w:hAnsi="Times New Roman"/>
          <w:b/>
          <w:bCs/>
          <w:i w:val="false"/>
          <w:iCs w:val="false"/>
          <w:color w:val="000000"/>
          <w:sz w:val="24"/>
          <w:szCs w:val="24"/>
        </w:rPr>
        <w:t xml:space="preserve">3.2 Proposed Algorithm and System Architecture</w:t>
      </w:r>
    </w:p>
    <w:p>
      <w:pPr>
        <w:keepNext w:val="false"/>
        <w:spacing w:after="0" w:before="0" w:line="360"/>
        <w:ind w:left="0" w:firstLine="720"/>
        <w:jc w:val="both"/>
      </w:pPr>
      <w:r>
        <w:rPr>
          <w:rFonts w:ascii="Times New Roman" w:cs="Times New Roman" w:eastAsia="Times New Roman" w:hAnsi="Times New Roman"/>
          <w:sz w:val="24"/>
          <w:szCs w:val="24"/>
        </w:rPr>
        <w:t xml:space="preserve">This section presents the complete ESRG procedure, marks the steps that address each objective, and describes how the procedure is organized into an Input–Process–Output system.</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3.2.1 Enhanced Seeded Region Growing Algorithm</w:t>
      </w:r>
    </w:p>
    <w:p>
      <w:pPr>
        <w:spacing w:after="0" w:before="0" w:line="360"/>
        <w:ind w:left="0" w:firstLine="720"/>
        <w:jc w:val="both"/>
      </w:pPr>
      <w:r>
        <w:rPr>
          <w:rFonts w:ascii="Times New Roman" w:cs="Times New Roman" w:eastAsia="Times New Roman" w:hAnsi="Times New Roman"/>
          <w:sz w:val="24"/>
          <w:szCs w:val="24"/>
        </w:rPr>
        <w:t xml:space="preserve">The ESRG procedure is given below. Steps enclosed in a box implement the objective indicated; the theory and the equations behind each are given in Section 3.4, and the parameter values are listed in Table 3.6.</w:t>
      </w:r>
    </w:p>
    <w:p>
      <w:pPr>
        <w:keepNext/>
        <w:spacing w:after="0" w:before="60" w:line="300"/>
        <w:ind w:left="0"/>
      </w:pPr>
      <w:r>
        <w:rPr>
          <w:rFonts w:ascii="Times New Roman" w:cs="Times New Roman" w:eastAsia="Times New Roman" w:hAnsi="Times New Roman"/>
          <w:b/>
          <w:bCs/>
          <w:sz w:val="24"/>
          <w:szCs w:val="24"/>
        </w:rPr>
        <w:t xml:space="preserve">START</w:t>
      </w:r>
    </w:p>
    <w:p>
      <w:pPr>
        <w:keepNext/>
        <w:spacing w:after="0" w:line="300"/>
        <w:ind w:left="360" w:hanging="0"/>
        <w:jc w:val="left"/>
      </w:pPr>
      <w:r>
        <w:rPr>
          <w:rFonts w:ascii="Times New Roman" w:cs="Times New Roman" w:eastAsia="Times New Roman" w:hAnsi="Times New Roman"/>
          <w:sz w:val="24"/>
          <w:szCs w:val="24"/>
        </w:rPr>
        <w:t xml:space="preserve">1. Input the MRI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and apply pre-processing:</w:t>
      </w:r>
    </w:p>
    <w:p>
      <w:pPr>
        <w:keepNext w:val="false"/>
        <w:spacing w:after="0" w:line="300"/>
        <w:ind w:left="840" w:hanging="0"/>
        <w:jc w:val="left"/>
      </w:pPr>
      <w:r>
        <w:rPr>
          <w:rFonts w:ascii="Times New Roman" w:cs="Times New Roman" w:eastAsia="Times New Roman" w:hAnsi="Times New Roman"/>
          <w:sz w:val="24"/>
          <w:szCs w:val="24"/>
        </w:rPr>
        <w:t xml:space="preserve">a. Convert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to grayscale and, if its longer side exceeds 512 pixels, downscale it by bilinear interpolation so that the longer side equals 512 pixels.</w:t>
      </w:r>
    </w:p>
    <w:p>
      <w:pPr>
        <w:keepNext/>
        <w:spacing w:after="0" w:line="300"/>
        <w:ind w:left="840" w:hanging="0"/>
        <w:jc w:val="left"/>
      </w:pPr>
      <w:r>
        <w:rPr>
          <w:rFonts w:ascii="Times New Roman" w:cs="Times New Roman" w:eastAsia="Times New Roman" w:hAnsi="Times New Roman"/>
          <w:sz w:val="24"/>
          <w:szCs w:val="24"/>
        </w:rPr>
        <w:t xml:space="preserve">b. Normalize the intensities to [0, 255] using the 0.5th and 99.5th percentiles to obtain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p>
    <w:p>
      <w:pPr>
        <w:keepNext/>
        <w:spacing w:after="0" w:line="300"/>
        <w:ind w:left="840" w:hanging="0"/>
        <w:jc w:val="left"/>
      </w:pPr>
      <w:r>
        <w:rPr>
          <w:rFonts w:ascii="Times New Roman" w:cs="Times New Roman" w:eastAsia="Times New Roman" w:hAnsi="Times New Roman"/>
          <w:sz w:val="24"/>
          <w:szCs w:val="24"/>
        </w:rPr>
        <w:t xml:space="preserve">c. Compute the head mask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largest connected region of tissue above the Otsu threshold, and the depth of every head pixel, its distance from the head outline; set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 for every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w:t>
      </w:r>
    </w:p>
    <w:tbl>
      <w:tblPr>
        <w:tblW w:type="dxa" w:w="9360"/>
        <w:tblBorders>
          <w:top w:val="single" w:color="38761D" w:sz="12"/>
          <w:left w:val="single" w:color="38761D" w:sz="12"/>
          <w:bottom w:val="single" w:color="38761D" w:sz="12"/>
          <w:right w:val="single" w:color="38761D" w:sz="12"/>
          <w:insideH w:val="none" w:color="FFFFFF" w:sz="0"/>
          <w:insideV w:val="none" w:color="FFFFFF" w:sz="0"/>
        </w:tblBorders>
      </w:tblPr>
      <w:tblGrid>
        <w:gridCol w:w="9360"/>
      </w:tblGrid>
      <w:tr>
        <w:trPr>
          <w:cantSplit/>
        </w:trPr>
        <w:tc>
          <w:tcPr>
            <w:tcW w:type="dxa" w:w="9360"/>
            <w:tcBorders>
              <w:top w:val="single" w:color="38761D" w:sz="12"/>
              <w:left w:val="single" w:color="38761D" w:sz="12"/>
              <w:bottom w:val="single" w:color="38761D" w:sz="12"/>
              <w:right w:val="single" w:color="38761D" w:sz="12"/>
            </w:tcBorders>
            <w:tcMar>
              <w:top w:type="dxa" w:w="40"/>
              <w:left w:type="dxa" w:w="60"/>
              <w:bottom w:type="dxa" w:w="40"/>
              <w:right w:type="dxa" w:w="100"/>
            </w:tcMar>
          </w:tcPr>
          <w:p>
            <w:pPr>
              <w:keepNext/>
              <w:spacing w:after="0" w:line="300"/>
              <w:ind w:left="840" w:hanging="0"/>
              <w:jc w:val="left"/>
            </w:pPr>
            <w:r>
              <w:rPr>
                <w:rFonts w:ascii="Times New Roman" w:cs="Times New Roman" w:eastAsia="Times New Roman" w:hAnsi="Times New Roman"/>
                <w:sz w:val="24"/>
                <w:szCs w:val="24"/>
              </w:rPr>
              <w:t xml:space="preserve">d. Transform every pixel to the log domain: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ε) (Equation 3.6).</w:t>
            </w:r>
          </w:p>
          <w:p>
            <w:pPr>
              <w:keepNext/>
              <w:spacing w:after="0" w:line="300"/>
              <w:ind w:left="840" w:hanging="0"/>
              <w:jc w:val="left"/>
            </w:pPr>
            <w:r>
              <w:rPr>
                <w:rFonts w:ascii="Times New Roman" w:cs="Times New Roman" w:eastAsia="Times New Roman" w:hAnsi="Times New Roman"/>
                <w:sz w:val="24"/>
                <w:szCs w:val="24"/>
              </w:rPr>
              <w:t xml:space="preserve">e. Estimate the noise floor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the smallest region standard deviation the image noise allows, from the median absolute deviation of the fine-scale residual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within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w:t>
            </w:r>
          </w:p>
          <w:p>
            <w:pPr>
              <w:spacing w:after="0" w:line="240"/>
              <w:jc w:val="right"/>
            </w:pPr>
            <w:r>
              <w:rPr>
                <w:rFonts w:ascii="Times New Roman" w:cs="Times New Roman" w:eastAsia="Times New Roman" w:hAnsi="Times New Roman"/>
                <w:b/>
                <w:bCs/>
                <w:color w:val="38761D"/>
                <w:sz w:val="20"/>
                <w:szCs w:val="20"/>
              </w:rPr>
              <w:t xml:space="preserve">OBJECTIVE 2</w:t>
            </w:r>
          </w:p>
        </w:tc>
      </w:tr>
    </w:tbl>
    <w:tbl>
      <w:tblPr>
        <w:tblW w:type="dxa" w:w="9360"/>
        <w:tblBorders>
          <w:top w:val="single" w:color="38761D" w:sz="12"/>
          <w:left w:val="single" w:color="38761D" w:sz="12"/>
          <w:bottom w:val="single" w:color="38761D" w:sz="12"/>
          <w:right w:val="single" w:color="38761D" w:sz="12"/>
          <w:insideH w:val="none" w:color="FFFFFF" w:sz="0"/>
          <w:insideV w:val="none" w:color="FFFFFF" w:sz="0"/>
        </w:tblBorders>
      </w:tblPr>
      <w:tblGrid>
        <w:gridCol w:w="9360"/>
      </w:tblGrid>
      <w:tr>
        <w:trPr>
          <w:cantSplit/>
        </w:trPr>
        <w:tc>
          <w:tcPr>
            <w:tcW w:type="dxa" w:w="9360"/>
            <w:tcBorders>
              <w:top w:val="single" w:color="38761D" w:sz="12"/>
              <w:left w:val="single" w:color="38761D" w:sz="12"/>
              <w:bottom w:val="single" w:color="38761D" w:sz="12"/>
              <w:right w:val="single" w:color="38761D" w:sz="12"/>
            </w:tcBorders>
            <w:tcMar>
              <w:top w:type="dxa" w:w="40"/>
              <w:left w:type="dxa" w:w="60"/>
              <w:bottom w:type="dxa" w:w="40"/>
              <w:right w:type="dxa" w:w="100"/>
            </w:tcMar>
          </w:tcPr>
          <w:p>
            <w:pPr>
              <w:keepNext/>
              <w:spacing w:after="0" w:line="300"/>
              <w:ind w:left="360" w:hanging="0"/>
              <w:jc w:val="left"/>
            </w:pPr>
            <w:r>
              <w:rPr>
                <w:rFonts w:ascii="Times New Roman" w:cs="Times New Roman" w:eastAsia="Times New Roman" w:hAnsi="Times New Roman"/>
                <w:sz w:val="24"/>
                <w:szCs w:val="24"/>
              </w:rPr>
              <w:t xml:space="preserve">2. Apply automatic seed selection:</w:t>
            </w:r>
          </w:p>
          <w:p>
            <w:pPr>
              <w:keepNext/>
              <w:spacing w:after="0" w:line="300"/>
              <w:ind w:left="840" w:hanging="0"/>
              <w:jc w:val="left"/>
            </w:pPr>
            <w:r>
              <w:rPr>
                <w:rFonts w:ascii="Times New Roman" w:cs="Times New Roman" w:eastAsia="Times New Roman" w:hAnsi="Times New Roman"/>
                <w:sz w:val="24"/>
                <w:szCs w:val="24"/>
              </w:rPr>
              <w:t xml:space="preserve">a. Compute the multi-level Otsu thresholds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over the interior of the head (Equation 3.1) and form the candidate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from the pixels of the highest-intensity class.</w:t>
            </w:r>
          </w:p>
          <w:p>
            <w:pPr>
              <w:keepNext/>
              <w:spacing w:after="0" w:line="300"/>
              <w:ind w:left="840" w:hanging="0"/>
              <w:jc w:val="left"/>
            </w:pPr>
            <w:r>
              <w:rPr>
                <w:rFonts w:ascii="Times New Roman" w:cs="Times New Roman" w:eastAsia="Times New Roman" w:hAnsi="Times New Roman"/>
                <w:sz w:val="24"/>
                <w:szCs w:val="24"/>
              </w:rPr>
              <w:t xml:space="preserve">b. Label the connected components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discard every component that is smaller than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pixels or lies too close to the head outline (Equation 3.2). If no component remains, output “NO TUMOR CANDIDATE” and terminate.</w:t>
            </w:r>
          </w:p>
          <w:p>
            <w:pPr>
              <w:keepNext/>
              <w:spacing w:after="0" w:line="300"/>
              <w:ind w:left="840" w:hanging="0"/>
              <w:jc w:val="left"/>
            </w:pPr>
            <w:r>
              <w:rPr>
                <w:rFonts w:ascii="Times New Roman" w:cs="Times New Roman" w:eastAsia="Times New Roman" w:hAnsi="Times New Roman"/>
                <w:sz w:val="24"/>
                <w:szCs w:val="24"/>
              </w:rPr>
              <w:t xml:space="preserve">c. Rank the remaining components by contrast, inscribed radius, and shape (Equation 3.3) and select the highest-ranked component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w:t>
            </w:r>
          </w:p>
          <w:p>
            <w:pPr>
              <w:keepNext/>
              <w:spacing w:after="0" w:line="300"/>
              <w:ind w:left="840" w:hanging="0"/>
              <w:jc w:val="left"/>
            </w:pPr>
            <w:r>
              <w:rPr>
                <w:rFonts w:ascii="Times New Roman" w:cs="Times New Roman" w:eastAsia="Times New Roman" w:hAnsi="Times New Roman"/>
                <w:sz w:val="24"/>
                <w:szCs w:val="24"/>
              </w:rPr>
              <w:t xml:space="preserve">d. Form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from the medial pixels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the pixels farthest from its boundary.</w:t>
            </w:r>
          </w:p>
          <w:p>
            <w:pPr>
              <w:spacing w:after="0" w:line="240"/>
              <w:jc w:val="right"/>
            </w:pPr>
            <w:r>
              <w:rPr>
                <w:rFonts w:ascii="Times New Roman" w:cs="Times New Roman" w:eastAsia="Times New Roman" w:hAnsi="Times New Roman"/>
                <w:b/>
                <w:bCs/>
                <w:color w:val="38761D"/>
                <w:sz w:val="20"/>
                <w:szCs w:val="20"/>
              </w:rPr>
              <w:t xml:space="preserve">OBJECTIVE 1</w:t>
            </w:r>
          </w:p>
        </w:tc>
      </w:tr>
    </w:tbl>
    <w:p>
      <w:pPr>
        <w:keepNext/>
        <w:spacing w:after="0" w:line="300"/>
        <w:ind w:left="360" w:hanging="0"/>
        <w:jc w:val="left"/>
      </w:pPr>
      <w:r>
        <w:rPr>
          <w:rFonts w:ascii="Times New Roman" w:cs="Times New Roman" w:eastAsia="Times New Roman" w:hAnsi="Times New Roman"/>
          <w:sz w:val="24"/>
          <w:szCs w:val="24"/>
        </w:rPr>
        <w:t xml:space="preserve">3. Set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and initialize the running mean and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For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 to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w:t>
      </w:r>
    </w:p>
    <w:tbl>
      <w:tblPr>
        <w:tblW w:type="dxa" w:w="9360"/>
        <w:tblBorders>
          <w:top w:val="single" w:color="38761D" w:sz="12"/>
          <w:left w:val="single" w:color="38761D" w:sz="12"/>
          <w:bottom w:val="single" w:color="38761D" w:sz="12"/>
          <w:right w:val="single" w:color="38761D" w:sz="12"/>
          <w:insideH w:val="none" w:color="FFFFFF" w:sz="0"/>
          <w:insideV w:val="none" w:color="FFFFFF" w:sz="0"/>
        </w:tblBorders>
      </w:tblPr>
      <w:tblGrid>
        <w:gridCol w:w="9360"/>
      </w:tblGrid>
      <w:tr>
        <w:trPr>
          <w:cantSplit/>
        </w:trPr>
        <w:tc>
          <w:tcPr>
            <w:tcW w:type="dxa" w:w="9360"/>
            <w:tcBorders>
              <w:top w:val="single" w:color="38761D" w:sz="12"/>
              <w:left w:val="single" w:color="38761D" w:sz="12"/>
              <w:bottom w:val="single" w:color="38761D" w:sz="12"/>
              <w:right w:val="single" w:color="38761D" w:sz="12"/>
            </w:tcBorders>
            <w:tcMar>
              <w:top w:type="dxa" w:w="40"/>
              <w:left w:type="dxa" w:w="60"/>
              <w:bottom w:type="dxa" w:w="40"/>
              <w:right w:type="dxa" w:w="100"/>
            </w:tcMar>
          </w:tcPr>
          <w:p>
            <w:pPr>
              <w:keepNext/>
              <w:spacing w:after="0" w:line="300"/>
              <w:ind w:left="840" w:hanging="0"/>
              <w:jc w:val="left"/>
            </w:pPr>
            <w:r>
              <w:rPr>
                <w:rFonts w:ascii="Times New Roman" w:cs="Times New Roman" w:eastAsia="Times New Roman" w:hAnsi="Times New Roman"/>
                <w:sz w:val="24"/>
                <w:szCs w:val="24"/>
              </w:rPr>
              <w:t xml:space="preserve">a. Freeze the region statistics for the pass: the mean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the standard deviation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 max(</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(Equation 3.9).</w:t>
            </w:r>
          </w:p>
          <w:p>
            <w:pPr>
              <w:keepNext/>
              <w:spacing w:after="0" w:line="300"/>
              <w:ind w:left="840" w:hanging="0"/>
              <w:jc w:val="left"/>
            </w:pPr>
            <w:r>
              <w:rPr>
                <w:rFonts w:ascii="Times New Roman" w:cs="Times New Roman" w:eastAsia="Times New Roman" w:hAnsi="Times New Roman"/>
                <w:sz w:val="24"/>
                <w:szCs w:val="24"/>
              </w:rPr>
              <w:t xml:space="preserve">b. Compute the local bound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the global bound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(Equation 3.10).</w:t>
            </w:r>
          </w:p>
          <w:p>
            <w:pPr>
              <w:spacing w:after="0" w:line="240"/>
              <w:jc w:val="right"/>
            </w:pPr>
            <w:r>
              <w:rPr>
                <w:rFonts w:ascii="Times New Roman" w:cs="Times New Roman" w:eastAsia="Times New Roman" w:hAnsi="Times New Roman"/>
                <w:b/>
                <w:bCs/>
                <w:color w:val="38761D"/>
                <w:sz w:val="20"/>
                <w:szCs w:val="20"/>
              </w:rPr>
              <w:t xml:space="preserve">OBJECTIVE 3</w:t>
            </w:r>
          </w:p>
        </w:tc>
      </w:tr>
    </w:tbl>
    <w:tbl>
      <w:tblPr>
        <w:tblW w:type="dxa" w:w="9360"/>
        <w:tblBorders>
          <w:top w:val="single" w:color="38761D" w:sz="12"/>
          <w:left w:val="single" w:color="38761D" w:sz="12"/>
          <w:bottom w:val="single" w:color="38761D" w:sz="12"/>
          <w:right w:val="single" w:color="38761D" w:sz="12"/>
          <w:insideH w:val="none" w:color="FFFFFF" w:sz="0"/>
          <w:insideV w:val="none" w:color="FFFFFF" w:sz="0"/>
        </w:tblBorders>
      </w:tblPr>
      <w:tblGrid>
        <w:gridCol w:w="9360"/>
      </w:tblGrid>
      <w:tr>
        <w:trPr>
          <w:cantSplit/>
        </w:trPr>
        <w:tc>
          <w:tcPr>
            <w:tcW w:type="dxa" w:w="9360"/>
            <w:tcBorders>
              <w:top w:val="single" w:color="38761D" w:sz="12"/>
              <w:left w:val="single" w:color="38761D" w:sz="12"/>
              <w:bottom w:val="single" w:color="38761D" w:sz="12"/>
              <w:right w:val="single" w:color="38761D" w:sz="12"/>
            </w:tcBorders>
            <w:tcMar>
              <w:top w:type="dxa" w:w="40"/>
              <w:left w:type="dxa" w:w="60"/>
              <w:bottom w:type="dxa" w:w="40"/>
              <w:right w:type="dxa" w:w="100"/>
            </w:tcMar>
          </w:tcPr>
          <w:p>
            <w:pPr>
              <w:keepNext/>
              <w:spacing w:after="0" w:line="300"/>
              <w:ind w:left="840" w:hanging="0"/>
              <w:jc w:val="left"/>
            </w:pPr>
            <w:r>
              <w:rPr>
                <w:rFonts w:ascii="Times New Roman" w:cs="Times New Roman" w:eastAsia="Times New Roman" w:hAnsi="Times New Roman"/>
                <w:sz w:val="24"/>
                <w:szCs w:val="24"/>
              </w:rPr>
              <w:t xml:space="preserve">c. For each 8-connected neighbor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is neither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nor rejected, compute the local log-domain difference measure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(Equation 3.8) and insert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into the sequentially sorted list (SSL) in ascending order of δ.</w:t>
            </w:r>
          </w:p>
          <w:p>
            <w:pPr>
              <w:spacing w:after="0" w:line="240"/>
              <w:jc w:val="right"/>
            </w:pPr>
            <w:r>
              <w:rPr>
                <w:rFonts w:ascii="Times New Roman" w:cs="Times New Roman" w:eastAsia="Times New Roman" w:hAnsi="Times New Roman"/>
                <w:b/>
                <w:bCs/>
                <w:color w:val="38761D"/>
                <w:sz w:val="20"/>
                <w:szCs w:val="20"/>
              </w:rPr>
              <w:t xml:space="preserve">OBJECTIVE 2</w:t>
            </w:r>
          </w:p>
        </w:tc>
      </w:tr>
    </w:tbl>
    <w:p>
      <w:pPr>
        <w:keepNext w:val="false"/>
        <w:spacing w:after="0" w:line="300"/>
        <w:ind w:left="840" w:hanging="0"/>
        <w:jc w:val="left"/>
      </w:pPr>
      <w:r>
        <w:rPr>
          <w:rFonts w:ascii="Times New Roman" w:cs="Times New Roman" w:eastAsia="Times New Roman" w:hAnsi="Times New Roman"/>
          <w:sz w:val="24"/>
          <w:szCs w:val="24"/>
        </w:rPr>
        <w:t xml:space="preserve">d. While the SSL is not empty:</w:t>
      </w:r>
    </w:p>
    <w:p>
      <w:pPr>
        <w:keepNext w:val="false"/>
        <w:spacing w:after="0" w:line="300"/>
        <w:ind w:left="1320" w:hanging="0"/>
        <w:jc w:val="left"/>
      </w:pPr>
      <w:r>
        <w:rPr>
          <w:rFonts w:ascii="Times New Roman" w:cs="Times New Roman" w:eastAsia="Times New Roman" w:hAnsi="Times New Roman"/>
          <w:sz w:val="24"/>
          <w:szCs w:val="24"/>
        </w:rPr>
        <w:t xml:space="preserve">i. Remove the first pixel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which has the smallest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 from the SSL.</w:t>
      </w:r>
    </w:p>
    <w:p>
      <w:pPr>
        <w:keepNext w:val="false"/>
        <w:spacing w:after="0" w:line="300"/>
        <w:ind w:left="1320" w:hanging="0"/>
        <w:jc w:val="left"/>
      </w:pPr>
      <w:r>
        <w:rPr>
          <w:rFonts w:ascii="Times New Roman" w:cs="Times New Roman" w:eastAsia="Times New Roman" w:hAnsi="Times New Roman"/>
          <w:sz w:val="24"/>
          <w:szCs w:val="24"/>
        </w:rPr>
        <w:t xml:space="preserve">ii. If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already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or rejected, skip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w:t>
      </w:r>
    </w:p>
    <w:p>
      <w:pPr>
        <w:keepNext w:val="false"/>
        <w:spacing w:after="0" w:line="300"/>
        <w:ind w:left="1320" w:hanging="0"/>
        <w:jc w:val="left"/>
      </w:pPr>
      <w:r>
        <w:rPr>
          <w:rFonts w:ascii="Times New Roman" w:cs="Times New Roman" w:eastAsia="Times New Roman" w:hAnsi="Times New Roman"/>
          <w:sz w:val="24"/>
          <w:szCs w:val="24"/>
        </w:rPr>
        <w:t xml:space="preserve">iii. Recompute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if its value increased, reinsert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into the SSL and continue.</w:t>
      </w:r>
    </w:p>
    <w:tbl>
      <w:tblPr>
        <w:tblW w:type="dxa" w:w="9360"/>
        <w:tblBorders>
          <w:top w:val="single" w:color="38761D" w:sz="12"/>
          <w:left w:val="single" w:color="38761D" w:sz="12"/>
          <w:bottom w:val="single" w:color="38761D" w:sz="12"/>
          <w:right w:val="single" w:color="38761D" w:sz="12"/>
          <w:insideH w:val="none" w:color="FFFFFF" w:sz="0"/>
          <w:insideV w:val="none" w:color="FFFFFF" w:sz="0"/>
        </w:tblBorders>
      </w:tblPr>
      <w:tblGrid>
        <w:gridCol w:w="9360"/>
      </w:tblGrid>
      <w:tr>
        <w:trPr>
          <w:cantSplit/>
        </w:trPr>
        <w:tc>
          <w:tcPr>
            <w:tcW w:type="dxa" w:w="9360"/>
            <w:tcBorders>
              <w:top w:val="single" w:color="38761D" w:sz="12"/>
              <w:left w:val="single" w:color="38761D" w:sz="12"/>
              <w:bottom w:val="single" w:color="38761D" w:sz="12"/>
              <w:right w:val="single" w:color="38761D" w:sz="12"/>
            </w:tcBorders>
            <w:tcMar>
              <w:top w:type="dxa" w:w="40"/>
              <w:left w:type="dxa" w:w="60"/>
              <w:bottom w:type="dxa" w:w="40"/>
              <w:right w:type="dxa" w:w="100"/>
            </w:tcMar>
          </w:tcPr>
          <w:p>
            <w:pPr>
              <w:keepNext/>
              <w:spacing w:after="0" w:line="300"/>
              <w:ind w:left="1320" w:hanging="0"/>
              <w:jc w:val="left"/>
            </w:pPr>
            <w:r>
              <w:rPr>
                <w:rFonts w:ascii="Times New Roman" w:cs="Times New Roman" w:eastAsia="Times New Roman" w:hAnsi="Times New Roman"/>
                <w:sz w:val="24"/>
                <w:szCs w:val="24"/>
              </w:rPr>
              <w:t xml:space="preserve">iv. If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stop the current pass.</w:t>
            </w:r>
          </w:p>
          <w:p>
            <w:pPr>
              <w:keepNext/>
              <w:spacing w:after="0" w:line="300"/>
              <w:ind w:left="1320" w:hanging="0"/>
              <w:jc w:val="left"/>
            </w:pPr>
            <w:r>
              <w:rPr>
                <w:rFonts w:ascii="Times New Roman" w:cs="Times New Roman" w:eastAsia="Times New Roman" w:hAnsi="Times New Roman"/>
                <w:sz w:val="24"/>
                <w:szCs w:val="24"/>
              </w:rPr>
              <w:t xml:space="preserve">v. If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flag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as rejected and continue (Equation 3.11).</w:t>
            </w:r>
          </w:p>
          <w:p>
            <w:pPr>
              <w:spacing w:after="0" w:line="240"/>
              <w:jc w:val="right"/>
            </w:pPr>
            <w:r>
              <w:rPr>
                <w:rFonts w:ascii="Times New Roman" w:cs="Times New Roman" w:eastAsia="Times New Roman" w:hAnsi="Times New Roman"/>
                <w:b/>
                <w:bCs/>
                <w:color w:val="38761D"/>
                <w:sz w:val="20"/>
                <w:szCs w:val="20"/>
              </w:rPr>
              <w:t xml:space="preserve">OBJECTIVE 3</w:t>
            </w:r>
          </w:p>
        </w:tc>
      </w:tr>
    </w:tbl>
    <w:p>
      <w:pPr>
        <w:keepNext w:val="false"/>
        <w:spacing w:after="0" w:line="300"/>
        <w:ind w:left="1320" w:hanging="0"/>
        <w:jc w:val="left"/>
      </w:pPr>
      <w:r>
        <w:rPr>
          <w:rFonts w:ascii="Times New Roman" w:cs="Times New Roman" w:eastAsia="Times New Roman" w:hAnsi="Times New Roman"/>
          <w:sz w:val="24"/>
          <w:szCs w:val="24"/>
        </w:rPr>
        <w:t xml:space="preserve">vi. Label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as tumor, add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update the running statistics and the local-window arrays.</w:t>
      </w:r>
    </w:p>
    <w:p>
      <w:pPr>
        <w:keepNext w:val="false"/>
        <w:spacing w:after="0" w:line="300"/>
        <w:ind w:left="1320" w:hanging="0"/>
        <w:jc w:val="left"/>
      </w:pPr>
      <w:r>
        <w:rPr>
          <w:rFonts w:ascii="Times New Roman" w:cs="Times New Roman" w:eastAsia="Times New Roman" w:hAnsi="Times New Roman"/>
          <w:sz w:val="24"/>
          <w:szCs w:val="24"/>
        </w:rPr>
        <w:t xml:space="preserve">vii. Compute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 for each 8-connected neighbor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is not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not rejected, and has not yet entered the SSL in this pass, and insert it into the SSL.</w:t>
      </w:r>
    </w:p>
    <w:tbl>
      <w:tblPr>
        <w:tblW w:type="dxa" w:w="9360"/>
        <w:tblBorders>
          <w:top w:val="single" w:color="38761D" w:sz="12"/>
          <w:left w:val="single" w:color="38761D" w:sz="12"/>
          <w:bottom w:val="single" w:color="38761D" w:sz="12"/>
          <w:right w:val="single" w:color="38761D" w:sz="12"/>
          <w:insideH w:val="none" w:color="FFFFFF" w:sz="0"/>
          <w:insideV w:val="none" w:color="FFFFFF" w:sz="0"/>
        </w:tblBorders>
      </w:tblPr>
      <w:tblGrid>
        <w:gridCol w:w="9360"/>
      </w:tblGrid>
      <w:tr>
        <w:trPr>
          <w:cantSplit/>
        </w:trPr>
        <w:tc>
          <w:tcPr>
            <w:tcW w:type="dxa" w:w="9360"/>
            <w:tcBorders>
              <w:top w:val="single" w:color="38761D" w:sz="12"/>
              <w:left w:val="single" w:color="38761D" w:sz="12"/>
              <w:bottom w:val="single" w:color="38761D" w:sz="12"/>
              <w:right w:val="single" w:color="38761D" w:sz="12"/>
            </w:tcBorders>
            <w:tcMar>
              <w:top w:type="dxa" w:w="40"/>
              <w:left w:type="dxa" w:w="60"/>
              <w:bottom w:type="dxa" w:w="40"/>
              <w:right w:type="dxa" w:w="100"/>
            </w:tcMar>
          </w:tcPr>
          <w:p>
            <w:pPr>
              <w:keepNext/>
              <w:spacing w:after="0" w:line="300"/>
              <w:ind w:left="840" w:hanging="0"/>
              <w:jc w:val="left"/>
            </w:pPr>
            <w:r>
              <w:rPr>
                <w:rFonts w:ascii="Times New Roman" w:cs="Times New Roman" w:eastAsia="Times New Roman" w:hAnsi="Times New Roman"/>
                <w:sz w:val="24"/>
                <w:szCs w:val="24"/>
              </w:rPr>
              <w:t xml:space="preserve">e. If no pixel was added during the pass, exit the loop.</w:t>
            </w:r>
          </w:p>
          <w:p>
            <w:pPr>
              <w:spacing w:after="0" w:line="240"/>
              <w:jc w:val="right"/>
            </w:pPr>
            <w:r>
              <w:rPr>
                <w:rFonts w:ascii="Times New Roman" w:cs="Times New Roman" w:eastAsia="Times New Roman" w:hAnsi="Times New Roman"/>
                <w:b/>
                <w:bCs/>
                <w:color w:val="38761D"/>
                <w:sz w:val="20"/>
                <w:szCs w:val="20"/>
              </w:rPr>
              <w:t xml:space="preserve">OBJECTIVE 3</w:t>
            </w:r>
          </w:p>
        </w:tc>
      </w:tr>
    </w:tbl>
    <w:p>
      <w:pPr>
        <w:keepNext w:val="false"/>
        <w:spacing w:after="0" w:line="300"/>
        <w:ind w:left="360" w:hanging="0"/>
        <w:jc w:val="left"/>
      </w:pPr>
      <w:r>
        <w:rPr>
          <w:rFonts w:ascii="Times New Roman" w:cs="Times New Roman" w:eastAsia="Times New Roman" w:hAnsi="Times New Roman"/>
          <w:sz w:val="24"/>
          <w:szCs w:val="24"/>
        </w:rPr>
        <w:t xml:space="preserve">4. Apply post-processing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p>
    <w:p>
      <w:pPr>
        <w:keepNext w:val="false"/>
        <w:spacing w:after="0" w:line="300"/>
        <w:ind w:left="840" w:hanging="0"/>
        <w:jc w:val="left"/>
      </w:pPr>
      <w:r>
        <w:rPr>
          <w:rFonts w:ascii="Times New Roman" w:cs="Times New Roman" w:eastAsia="Times New Roman" w:hAnsi="Times New Roman"/>
          <w:sz w:val="24"/>
          <w:szCs w:val="24"/>
        </w:rPr>
        <w:t xml:space="preserve">a. Fill the interior holes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such as the dark necrotic core of ring-enhancing tumors.</w:t>
      </w:r>
    </w:p>
    <w:p>
      <w:pPr>
        <w:keepNext w:val="false"/>
        <w:spacing w:after="0" w:line="300"/>
        <w:ind w:left="840" w:hanging="0"/>
        <w:jc w:val="left"/>
      </w:pPr>
      <w:r>
        <w:rPr>
          <w:rFonts w:ascii="Times New Roman" w:cs="Times New Roman" w:eastAsia="Times New Roman" w:hAnsi="Times New Roman"/>
          <w:sz w:val="24"/>
          <w:szCs w:val="24"/>
        </w:rPr>
        <w:t xml:space="preserve">b. Apply a morphological opening with a disk of radius 1 pixel to remove thin protrusions, unless the opening would empty the region.</w:t>
      </w:r>
    </w:p>
    <w:p>
      <w:pPr>
        <w:keepNext/>
        <w:spacing w:after="0" w:line="300"/>
        <w:ind w:left="840" w:hanging="0"/>
        <w:jc w:val="left"/>
      </w:pPr>
      <w:r>
        <w:rPr>
          <w:rFonts w:ascii="Times New Roman" w:cs="Times New Roman" w:eastAsia="Times New Roman" w:hAnsi="Times New Roman"/>
          <w:sz w:val="24"/>
          <w:szCs w:val="24"/>
        </w:rPr>
        <w:t xml:space="preserve">c. Retain only the connected component or components that intersect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to obtain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w:t>
      </w:r>
    </w:p>
    <w:p>
      <w:pPr>
        <w:keepNext w:val="false"/>
        <w:spacing w:after="0" w:line="300"/>
        <w:ind w:left="360" w:hanging="0"/>
        <w:jc w:val="left"/>
      </w:pPr>
      <w:r>
        <w:rPr>
          <w:rFonts w:ascii="Times New Roman" w:cs="Times New Roman" w:eastAsia="Times New Roman" w:hAnsi="Times New Roman"/>
          <w:sz w:val="24"/>
          <w:szCs w:val="24"/>
        </w:rPr>
        <w:t xml:space="preserve">5. Output the binary tumor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and its status flag (OK, or WARN when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covers more than 40% of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w:t>
      </w:r>
    </w:p>
    <w:p>
      <w:pPr>
        <w:spacing w:after="240" w:line="300"/>
      </w:pPr>
      <w:r>
        <w:rPr>
          <w:rFonts w:ascii="Times New Roman" w:cs="Times New Roman" w:eastAsia="Times New Roman" w:hAnsi="Times New Roman"/>
          <w:b/>
          <w:bCs/>
          <w:sz w:val="24"/>
          <w:szCs w:val="24"/>
        </w:rPr>
        <w:t xml:space="preserve">END</w:t>
      </w:r>
    </w:p>
    <w:p>
      <w:pPr>
        <w:spacing w:after="0" w:before="0" w:line="360"/>
        <w:ind w:left="0" w:firstLine="720"/>
        <w:jc w:val="both"/>
      </w:pPr>
      <w:r>
        <w:rPr>
          <w:rFonts w:ascii="Times New Roman" w:cs="Times New Roman" w:eastAsia="Times New Roman" w:hAnsi="Times New Roman"/>
          <w:sz w:val="24"/>
          <w:szCs w:val="24"/>
        </w:rPr>
        <w:t xml:space="preserve">When manual seeding is selected in the interface, Step 2 is replaced by the user’s clicks: each click is dilated into a disk of radius 3 pixels, and the union of the disks is reduced to its medial pixels, as in Step 2d, before Step 3, so that boundary pixels caught by a disk do not inflate the initial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The symbols used in the procedure are defined as follows.</w:t>
      </w:r>
    </w:p>
    <w:p>
      <w:pPr>
        <w:keepNext/>
        <w:spacing w:after="0" w:line="360"/>
        <w:ind w:left="720"/>
      </w:pPr>
      <w:r>
        <w:rPr>
          <w:rFonts w:ascii="Times New Roman" w:cs="Times New Roman" w:eastAsia="Times New Roman" w:hAnsi="Times New Roman"/>
          <w:sz w:val="24"/>
          <w:szCs w:val="24"/>
        </w:rPr>
        <w:t xml:space="preserve">where:</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loaded slice and normalized, head-masked slice</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binary head mask</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log-domain intensity of pixel </w:t>
      </w:r>
      <w:r>
        <w:rPr>
          <w:rFonts w:ascii="Times New Roman" w:cs="Times New Roman" w:eastAsia="Times New Roman" w:hAnsi="Times New Roman"/>
          <w:i/>
          <w:iCs/>
          <w:sz w:val="24"/>
          <w:szCs w:val="24"/>
        </w:rPr>
        <w:t xml:space="preserve">x</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positive offset that prevents the logarithm of zero</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noise floor, the minimum permitted region standard deviation</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candidate tumor mask and the selected candidate component</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minimum candidate component area</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seed core</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growing tumor region</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current pass and maximum number of growing passes</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mean and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frozen during each pass</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running sample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over </w:t>
      </w:r>
      <w:r>
        <w:rPr>
          <w:rFonts w:ascii="Times New Roman" w:cs="Times New Roman" w:eastAsia="Times New Roman" w:hAnsi="Times New Roman"/>
          <w:i/>
          <w:iCs/>
          <w:sz w:val="24"/>
          <w:szCs w:val="24"/>
        </w:rPr>
        <w:t xml:space="preserve">A</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local and global confidence multipliers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local and global acceptance bounds</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local log-domain difference measure</w:t>
      </w:r>
    </w:p>
    <w:p>
      <w:pPr>
        <w:keepNext/>
        <w:tabs>
          <w:tab w:val="left" w:pos="2160"/>
        </w:tabs>
        <w:spacing w:after="0" w:line="300"/>
        <w:ind w:left="2160" w:hanging="1440"/>
        <w:jc w:val="left"/>
      </w:pP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mean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over the region pixels inside the local window of </w:t>
      </w:r>
      <w:r>
        <w:rPr>
          <w:rFonts w:ascii="Times New Roman" w:cs="Times New Roman" w:eastAsia="Times New Roman" w:hAnsi="Times New Roman"/>
          <w:i/>
          <w:iCs/>
          <w:sz w:val="24"/>
          <w:szCs w:val="24"/>
        </w:rPr>
        <w:t xml:space="preserve">x</w:t>
      </w:r>
    </w:p>
    <w:p>
      <w:pPr>
        <w:keepNext/>
        <w:tabs>
          <w:tab w:val="left" w:pos="2160"/>
        </w:tabs>
        <w:spacing w:after="0" w:line="300"/>
        <w:ind w:left="2160" w:hanging="1440"/>
        <w:jc w:val="left"/>
      </w:pPr>
      <w:r>
        <w:rPr>
          <w:rFonts w:ascii="Times New Roman" w:cs="Times New Roman" w:eastAsia="Times New Roman" w:hAnsi="Times New Roman"/>
          <w:sz w:val="24"/>
          <w:szCs w:val="24"/>
        </w:rPr>
        <w:t xml:space="preserve">SSL</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sequentially sorted list, ordered by ascending </w:t>
      </w:r>
      <w:r>
        <w:rPr>
          <w:rFonts w:ascii="Times New Roman" w:cs="Times New Roman" w:eastAsia="Times New Roman" w:hAnsi="Times New Roman"/>
          <w:i/>
          <w:iCs/>
          <w:sz w:val="24"/>
          <w:szCs w:val="24"/>
        </w:rPr>
        <w:t xml:space="preserve">δ</w:t>
      </w:r>
    </w:p>
    <w:p>
      <w:pPr>
        <w:keepNext w:val="false"/>
        <w:tabs>
          <w:tab w:val="left" w:pos="2160"/>
        </w:tabs>
        <w:spacing w:after="240" w:line="300"/>
        <w:ind w:left="2160" w:hanging="1440"/>
        <w:jc w:val="left"/>
      </w:pP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final binary tumor mask</w:t>
      </w:r>
    </w:p>
    <w:p>
      <w:pPr>
        <w:keepNext/>
        <w:spacing w:after="0" w:before="240" w:line="360"/>
      </w:pPr>
      <w:r>
        <w:rPr>
          <w:rFonts w:ascii="Times New Roman" w:cs="Times New Roman" w:eastAsia="Times New Roman" w:hAnsi="Times New Roman"/>
          <w:b/>
          <w:bCs/>
          <w:sz w:val="24"/>
          <w:szCs w:val="24"/>
        </w:rPr>
        <w:t xml:space="preserve">Table 3.6</w:t>
      </w:r>
    </w:p>
    <w:p>
      <w:pPr>
        <w:keepNext/>
        <w:spacing w:after="0" w:line="360"/>
      </w:pPr>
      <w:r>
        <w:rPr>
          <w:rFonts w:ascii="Times New Roman" w:cs="Times New Roman" w:eastAsia="Times New Roman" w:hAnsi="Times New Roman"/>
          <w:i/>
          <w:iCs/>
          <w:sz w:val="24"/>
          <w:szCs w:val="24"/>
        </w:rPr>
        <w:t xml:space="preserve">Parameters of the Enhanced Seeded Region Growing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49"/>
        <w:gridCol w:w="6351"/>
        <w:gridCol w:w="1560"/>
      </w:tblGrid>
      <w:tr>
        <w:trPr>
          <w:cantSplit/>
          <w:tblHeader/>
        </w:trPr>
        <w:tc>
          <w:tcPr>
            <w:tcW w:type="dxa" w:w="144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Symbol</w:t>
            </w:r>
          </w:p>
        </w:tc>
        <w:tc>
          <w:tcPr>
            <w:tcW w:type="dxa" w:w="635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Description</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bCs/>
                <w:i w:val="false"/>
                <w:iCs w:val="false"/>
                <w:sz w:val="20"/>
                <w:szCs w:val="20"/>
              </w:rPr>
              <w:t xml:space="preserve">Value</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Pre-processing and automated seed selection (Objective 1)</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Maximum length of the longer image side,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512</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Standard deviation of the Gaussian smoothing before head masking,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Radius of the opening that detaches frames and text from the head,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K</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Number of multi-level Otsu classes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η</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Interior depth fraction of the maximum head depth</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0.12</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A</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Minimum candidate component area,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40</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c</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Minimum clearance of a candidate from the head outline,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ω</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Width of the surrounding ring used for local contrast,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s</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Ranking weights of contrast, inscribed radius, and shape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0.5, 1.0, 0.2</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α</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Seed core fraction of the maximum distance-transform value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0.7</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Radius of the disk around each manual click,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Log-domain transformation and local measure (Objective 2)</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ε</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Log-transform offset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Lower bound of the noise floor, in log units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0.02</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r</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Local window radius, giving a 7 × 7 window</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9360"/>
            <w:gridSpan w:val="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iCs/>
                <w:sz w:val="20"/>
                <w:szCs w:val="20"/>
              </w:rPr>
              <w:t xml:space="preserve">Adaptive stopping criterion and post-processing (Objective 3)</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L</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Local confidence multiplier</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1.5</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G</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Global drift-guard multiplier</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3.0</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Maximum number of growing passes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44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63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Radius of the post-processing opening, in pixels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44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635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Head-mask fraction above which the result is flagged WARN</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center"/>
            </w:pPr>
            <w:r>
              <w:rPr>
                <w:rFonts w:ascii="Times New Roman" w:cs="Times New Roman" w:eastAsia="Times New Roman" w:hAnsi="Times New Roman"/>
                <w:b w:val="false"/>
                <w:bCs w:val="false"/>
                <w:i w:val="false"/>
                <w:iCs w:val="false"/>
                <w:sz w:val="20"/>
                <w:szCs w:val="20"/>
              </w:rPr>
              <w:t xml:space="preserve">0.40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were tuned on the BRISC 2025 training split and then frozen for all experiments. Three research options implemented in the system, Frangi vesselness ranking, anatomical exclusion of the orbits and skull base, and a per-image adaptive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gave no measurable gain during tuning and are disabled; they are not part of the evaluated ESRG.</w:t>
      </w:r>
    </w:p>
    <w:p>
      <w:pPr>
        <w:keepNext w:val="false"/>
        <w:spacing w:after="0" w:before="0" w:line="360"/>
        <w:ind w:left="720" w:firstLine="720"/>
        <w:jc w:val="both"/>
      </w:pPr>
      <w:r>
        <w:rPr>
          <w:rFonts w:ascii="Times New Roman" w:cs="Times New Roman" w:eastAsia="Times New Roman" w:hAnsi="Times New Roman"/>
          <w:sz w:val="24"/>
          <w:szCs w:val="24"/>
        </w:rPr>
        <w:t xml:space="preserve">Table 3.6 groups the parameters by the objective they serve. The values are fixed for every slice and tumor class, so the method requires no per-image adjustment;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must exceed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the system rejects any configuration that violates this rule.</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3.2.2 Proposed System Architecture</w:t>
      </w:r>
    </w:p>
    <w:p>
      <w:pPr>
        <w:keepNext/>
        <w:spacing w:after="0" w:before="240" w:line="360"/>
      </w:pPr>
      <w:r>
        <w:rPr>
          <w:rFonts w:ascii="Times New Roman" w:cs="Times New Roman" w:eastAsia="Times New Roman" w:hAnsi="Times New Roman"/>
          <w:b/>
          <w:bCs/>
          <w:sz w:val="24"/>
          <w:szCs w:val="24"/>
        </w:rPr>
        <w:t xml:space="preserve">Figure 3.1</w:t>
      </w:r>
    </w:p>
    <w:p>
      <w:pPr>
        <w:keepNext/>
        <w:spacing w:after="0" w:line="360"/>
      </w:pPr>
      <w:r>
        <w:rPr>
          <w:rFonts w:ascii="Times New Roman" w:cs="Times New Roman" w:eastAsia="Times New Roman" w:hAnsi="Times New Roman"/>
          <w:i/>
          <w:iCs/>
          <w:sz w:val="24"/>
          <w:szCs w:val="24"/>
        </w:rPr>
        <w:t xml:space="preserve">Input–Process–Output Structure of the Proposed System</w:t>
      </w:r>
    </w:p>
    <w:p>
      <w:pPr>
        <w:keepNext/>
        <w:jc w:val="center"/>
      </w:pPr>
      <w:r>
        <w:drawing>
          <wp:inline distT="0" distB="0" distL="0" distR="0">
            <wp:extent cx="5943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4766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example slice is a meningioma (BRISC 2025 training slice 01221, axial plane) segmented by the implemented system with automatic seeding (DSC = .96). The ground-truth mask enters only the Evaluation stage.</w:t>
      </w:r>
    </w:p>
    <w:p>
      <w:pPr>
        <w:keepNext w:val="false"/>
        <w:spacing w:after="0" w:before="0" w:line="360"/>
        <w:ind w:left="720" w:firstLine="720"/>
        <w:jc w:val="both"/>
      </w:pPr>
      <w:r>
        <w:rPr>
          <w:rFonts w:ascii="Times New Roman" w:cs="Times New Roman" w:eastAsia="Times New Roman" w:hAnsi="Times New Roman"/>
          <w:sz w:val="24"/>
          <w:szCs w:val="24"/>
        </w:rPr>
        <w:t xml:space="preserve">Figure 3.1 presents the architecture of the system in the Input–Process–Output (IPO) model. The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stage accepts a 2D T1-CE MRI slice stored as a JPEG file, the parameter configuration of Table 3.6, and, optionally, manual seed clicks entered in the graphical interface.</w:t>
      </w:r>
    </w:p>
    <w:p>
      <w:pPr>
        <w:keepNext w:val="false"/>
        <w:spacing w:after="0" w:before="0" w:line="360"/>
        <w:ind w:left="720" w:firstLine="72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Process</w:t>
      </w:r>
      <w:r>
        <w:rPr>
          <w:rFonts w:ascii="Times New Roman" w:cs="Times New Roman" w:eastAsia="Times New Roman" w:hAnsi="Times New Roman"/>
          <w:sz w:val="24"/>
          <w:szCs w:val="24"/>
        </w:rPr>
        <w:t xml:space="preserve"> stage has three phases. Pre-processing resizes and normalizes the slice, isolates the head from the background, and transforms the head pixels to the log domain. The head, rather than the brain, is isolated because on 2D coronal and sagittal slices the brain cannot be separated from the face and neck, which connect to it through the skull base; the exclusion of non-tumor tissue is therefore delegated to seed selection. Core processing selects the seed core automatically (Objective 1) and grows it with the local log-domain difference measure (Objective 2) under the adaptive stopping criterion (Objective 3). Post-processing fills interior holes, removes thin protrusions, and keeps only the component that contains the seed.</w:t>
      </w:r>
    </w:p>
    <w:p>
      <w:pPr>
        <w:keepNext w:val="false"/>
        <w:spacing w:after="0" w:before="0" w:line="360"/>
        <w:ind w:left="720" w:firstLine="72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i/>
          <w:iCs/>
          <w:sz w:val="24"/>
          <w:szCs w:val="24"/>
        </w:rPr>
        <w:t xml:space="preserve">Output</w:t>
      </w:r>
      <w:r>
        <w:rPr>
          <w:rFonts w:ascii="Times New Roman" w:cs="Times New Roman" w:eastAsia="Times New Roman" w:hAnsi="Times New Roman"/>
          <w:sz w:val="24"/>
          <w:szCs w:val="24"/>
        </w:rPr>
        <w:t xml:space="preserve"> stage produces the binary tumor mask, its overlay on the slice, a status flag, and every intermediate result, which the interface displays stage by stage for inspection. When no candidate survives seed selection, the system reports “NO TUMOR CANDIDATE” instead of placing an arbitrary seed. The </w:t>
      </w:r>
      <w:r>
        <w:rPr>
          <w:rFonts w:ascii="Times New Roman" w:cs="Times New Roman" w:eastAsia="Times New Roman" w:hAnsi="Times New Roman"/>
          <w:i/>
          <w:iCs/>
          <w:sz w:val="24"/>
          <w:szCs w:val="24"/>
        </w:rPr>
        <w:t xml:space="preserve">Evaluation</w:t>
      </w:r>
      <w:r>
        <w:rPr>
          <w:rFonts w:ascii="Times New Roman" w:cs="Times New Roman" w:eastAsia="Times New Roman" w:hAnsi="Times New Roman"/>
          <w:sz w:val="24"/>
          <w:szCs w:val="24"/>
        </w:rPr>
        <w:t xml:space="preserve"> stage compares the mask with the ground-truth PNG mask of the same file name using the metrics of Section 3.1.2; the ground truth is never used during segmentation.</w:t>
      </w:r>
    </w:p>
    <w:p>
      <w:pPr>
        <w:pStyle w:val="Heading2"/>
        <w:keepNext/>
        <w:spacing w:after="0" w:before="240" w:line="360"/>
        <w:jc w:val="left"/>
      </w:pPr>
      <w:r>
        <w:rPr>
          <w:rFonts w:ascii="Times New Roman" w:cs="Times New Roman" w:eastAsia="Times New Roman" w:hAnsi="Times New Roman"/>
          <w:b/>
          <w:bCs/>
          <w:i w:val="false"/>
          <w:iCs w:val="false"/>
          <w:color w:val="000000"/>
          <w:sz w:val="24"/>
          <w:szCs w:val="24"/>
        </w:rPr>
        <w:t xml:space="preserve">3.3 System Requirements</w:t>
      </w:r>
    </w:p>
    <w:p>
      <w:pPr>
        <w:keepNext w:val="false"/>
        <w:spacing w:after="0" w:before="0" w:line="360"/>
        <w:ind w:left="0" w:firstLine="720"/>
        <w:jc w:val="both"/>
      </w:pPr>
      <w:r>
        <w:rPr>
          <w:rFonts w:ascii="Times New Roman" w:cs="Times New Roman" w:eastAsia="Times New Roman" w:hAnsi="Times New Roman"/>
          <w:sz w:val="24"/>
          <w:szCs w:val="24"/>
        </w:rPr>
        <w:t xml:space="preserve">This section specifies the hardware and software used to develop, run, and evaluate the system, and the steps required to install it.</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3.3.1 Hardware Requirements</w:t>
      </w:r>
    </w:p>
    <w:p>
      <w:pPr>
        <w:keepNext w:val="false"/>
        <w:spacing w:after="0" w:before="0" w:line="360"/>
        <w:ind w:left="720" w:firstLine="720"/>
        <w:jc w:val="both"/>
      </w:pPr>
      <w:r>
        <w:rPr>
          <w:rFonts w:ascii="Times New Roman" w:cs="Times New Roman" w:eastAsia="Times New Roman" w:hAnsi="Times New Roman"/>
          <w:sz w:val="24"/>
          <w:szCs w:val="24"/>
        </w:rPr>
        <w:t xml:space="preserve">The system was developed and evaluated on an Acer Nitro 5 laptop. Table 3.7 lists its specifications together with the minimum configuration recommended for running the system.</w:t>
      </w:r>
    </w:p>
    <w:p>
      <w:pPr>
        <w:keepNext/>
        <w:spacing w:after="0" w:before="240" w:line="360"/>
      </w:pPr>
      <w:r>
        <w:rPr>
          <w:rFonts w:ascii="Times New Roman" w:cs="Times New Roman" w:eastAsia="Times New Roman" w:hAnsi="Times New Roman"/>
          <w:b/>
          <w:bCs/>
          <w:sz w:val="24"/>
          <w:szCs w:val="24"/>
        </w:rPr>
        <w:t xml:space="preserve">Table 3.7</w:t>
      </w:r>
    </w:p>
    <w:p>
      <w:pPr>
        <w:keepNext/>
        <w:spacing w:after="0" w:line="360"/>
      </w:pPr>
      <w:r>
        <w:rPr>
          <w:rFonts w:ascii="Times New Roman" w:cs="Times New Roman" w:eastAsia="Times New Roman" w:hAnsi="Times New Roman"/>
          <w:i/>
          <w:iCs/>
          <w:sz w:val="24"/>
          <w:szCs w:val="24"/>
        </w:rPr>
        <w:t xml:space="preserve">Hardware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60"/>
        <w:gridCol w:w="2451"/>
        <w:gridCol w:w="1894"/>
        <w:gridCol w:w="3455"/>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Component</w:t>
            </w:r>
          </w:p>
        </w:tc>
        <w:tc>
          <w:tcPr>
            <w:tcW w:type="dxa" w:w="245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Specification used</w:t>
            </w:r>
          </w:p>
        </w:tc>
        <w:tc>
          <w:tcPr>
            <w:tcW w:type="dxa" w:w="1894"/>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Recommended minimum</w:t>
            </w:r>
          </w:p>
        </w:tc>
        <w:tc>
          <w:tcPr>
            <w:tcW w:type="dxa" w:w="3455"/>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Processor (CPU)</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Intel Core i5-11400H, 6 cores, 12 threads, 2.70 GHz base</w:t>
            </w:r>
          </w:p>
        </w:tc>
        <w:tc>
          <w:tcPr>
            <w:tcW w:type="dxa" w:w="18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64-bit dual-core x86-64 CPU</w:t>
            </w:r>
          </w:p>
        </w:tc>
        <w:tc>
          <w:tcPr>
            <w:tcW w:type="dxa" w:w="34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Executes all pipeline stages; the batch evaluation runs one slice per worker process</w:t>
            </w:r>
          </w:p>
        </w:tc>
      </w:tr>
      <w:tr>
        <w:trPr>
          <w:cantSplit/>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Memory (RAM)</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8 GB DDR4-3200</w:t>
            </w:r>
          </w:p>
        </w:tc>
        <w:tc>
          <w:tcPr>
            <w:tcW w:type="dxa" w:w="18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4 GB</w:t>
            </w:r>
          </w:p>
        </w:tc>
        <w:tc>
          <w:tcPr>
            <w:tcW w:type="dxa" w:w="34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Holds the slice arrays, the SSL, and the evaluation records</w:t>
            </w:r>
          </w:p>
        </w:tc>
      </w:tr>
      <w:tr>
        <w:trPr>
          <w:cantSplit/>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Storage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512 GB NVMe SSD</w:t>
            </w:r>
          </w:p>
        </w:tc>
        <w:tc>
          <w:tcPr>
            <w:tcW w:type="dxa" w:w="18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1 GB free space</w:t>
            </w:r>
          </w:p>
        </w:tc>
        <w:tc>
          <w:tcPr>
            <w:tcW w:type="dxa" w:w="34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Stores the sampled dataset (about 33 MB), the code, and the outputs (about 21 MB)</w:t>
            </w:r>
          </w:p>
        </w:tc>
      </w:tr>
      <w:tr>
        <w:trPr>
          <w:cantSplit/>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Graphics (GPU)</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NVIDIA GeForce RTX 3050 Laptop GPU</w:t>
            </w:r>
          </w:p>
        </w:tc>
        <w:tc>
          <w:tcPr>
            <w:tcW w:type="dxa" w:w="18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Not required</w:t>
            </w:r>
          </w:p>
        </w:tc>
        <w:tc>
          <w:tcPr>
            <w:tcW w:type="dxa" w:w="34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Not used; all computation runs on the CPU</w:t>
            </w:r>
          </w:p>
        </w:tc>
      </w:tr>
      <w:tr>
        <w:trPr>
          <w:cantSplit/>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Display</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15.6-in., 1920 × 1080</w:t>
            </w:r>
          </w:p>
        </w:tc>
        <w:tc>
          <w:tcPr>
            <w:tcW w:type="dxa" w:w="18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1280 × 720</w:t>
            </w:r>
          </w:p>
        </w:tc>
        <w:tc>
          <w:tcPr>
            <w:tcW w:type="dxa" w:w="34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Shows the interface, whose minimum window size is 1080 × 680 pixels</w:t>
            </w:r>
          </w:p>
        </w:tc>
      </w:tr>
      <w:tr>
        <w:trPr>
          <w:cantSplit/>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Input devices</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touchpad or mouse</w:t>
            </w:r>
          </w:p>
        </w:tc>
        <w:tc>
          <w:tcPr>
            <w:tcW w:type="dxa" w:w="189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mouse</w:t>
            </w:r>
          </w:p>
        </w:tc>
        <w:tc>
          <w:tcPr>
            <w:tcW w:type="dxa" w:w="34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Parameter entry, file selection, and manual seed clicks</w:t>
            </w:r>
          </w:p>
        </w:tc>
      </w:tr>
      <w:tr>
        <w:trPr>
          <w:cantSplit/>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Operating system</w:t>
            </w:r>
          </w:p>
        </w:tc>
        <w:tc>
          <w:tcPr>
            <w:tcW w:type="dxa" w:w="245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Windows 11 Home, 64-bit</w:t>
            </w:r>
          </w:p>
        </w:tc>
        <w:tc>
          <w:tcPr>
            <w:tcW w:type="dxa" w:w="1894"/>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64-bit Windows, macOS, or Linux</w:t>
            </w:r>
          </w:p>
        </w:tc>
        <w:tc>
          <w:tcPr>
            <w:tcW w:type="dxa" w:w="3455"/>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Runs Python and its scientific libraries</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model is the Acer Nitro 5 AN515-57. Processing times (Experiment E6) were measured on this laptop running on battery power under the Windows Balanced power plan, with a single process.</w:t>
      </w:r>
    </w:p>
    <w:p>
      <w:pPr>
        <w:keepNext w:val="false"/>
        <w:spacing w:after="0" w:before="0" w:line="360"/>
        <w:ind w:left="720" w:firstLine="720"/>
        <w:jc w:val="both"/>
      </w:pPr>
      <w:r>
        <w:rPr>
          <w:rFonts w:ascii="Times New Roman" w:cs="Times New Roman" w:eastAsia="Times New Roman" w:hAnsi="Times New Roman"/>
          <w:sz w:val="24"/>
          <w:szCs w:val="24"/>
        </w:rPr>
        <w:t xml:space="preserve">Table 3.7 shows that the system has modest requirements. The ESRG is a sequential, CPU-bound algorithm that processes one slice of at most 512 × 512 pixels at a time, so a GPU is unnecessary and 4 GB of memory suffices for interactive use. The multi-core processor is exploited only by the batch evaluation, which distributes slices across worker processes; the processing-time experiment uses a single process so that measurements are not affected by parallel load.</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3.3.2 Software Requirements</w:t>
      </w:r>
    </w:p>
    <w:p>
      <w:pPr>
        <w:keepNext w:val="false"/>
        <w:spacing w:after="0" w:before="0" w:line="360"/>
        <w:ind w:left="720" w:firstLine="720"/>
        <w:jc w:val="both"/>
      </w:pPr>
      <w:r>
        <w:rPr>
          <w:rFonts w:ascii="Times New Roman" w:cs="Times New Roman" w:eastAsia="Times New Roman" w:hAnsi="Times New Roman"/>
          <w:sz w:val="24"/>
          <w:szCs w:val="24"/>
        </w:rPr>
        <w:t xml:space="preserve">The system is written in Python and relies on open-source scientific libraries. Table 3.8 lists the software, the versions used in this study, and the minimum versions required.</w:t>
      </w:r>
    </w:p>
    <w:p>
      <w:pPr>
        <w:keepNext/>
        <w:spacing w:after="0" w:before="240" w:line="360"/>
      </w:pPr>
      <w:r>
        <w:rPr>
          <w:rFonts w:ascii="Times New Roman" w:cs="Times New Roman" w:eastAsia="Times New Roman" w:hAnsi="Times New Roman"/>
          <w:b/>
          <w:bCs/>
          <w:sz w:val="24"/>
          <w:szCs w:val="24"/>
        </w:rPr>
        <w:t xml:space="preserve">Table 3.8</w:t>
      </w:r>
    </w:p>
    <w:p>
      <w:pPr>
        <w:keepNext/>
        <w:spacing w:after="0" w:line="360"/>
      </w:pPr>
      <w:r>
        <w:rPr>
          <w:rFonts w:ascii="Times New Roman" w:cs="Times New Roman" w:eastAsia="Times New Roman" w:hAnsi="Times New Roman"/>
          <w:i/>
          <w:iCs/>
          <w:sz w:val="24"/>
          <w:szCs w:val="24"/>
        </w:rPr>
        <w:t xml:space="preserve">Software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71"/>
        <w:gridCol w:w="2229"/>
        <w:gridCol w:w="5460"/>
      </w:tblGrid>
      <w:tr>
        <w:trPr>
          <w:cantSplit/>
          <w:tblHeader/>
        </w:trPr>
        <w:tc>
          <w:tcPr>
            <w:tcW w:type="dxa" w:w="1671"/>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Software</w:t>
            </w:r>
          </w:p>
        </w:tc>
        <w:tc>
          <w:tcPr>
            <w:tcW w:type="dxa" w:w="2229"/>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Version used (minimum)</w:t>
            </w:r>
          </w:p>
        </w:tc>
        <w:tc>
          <w:tcPr>
            <w:tcW w:type="dxa" w:w="5460"/>
            <w:tcBorders>
              <w:top w:val="single" w:color="000000" w:sz="6"/>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Python</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3.14.4 (3.10)</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Implementation language of the system (Python Software Foundation, n.d.)</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NumPy</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2.4.5 (1.26)</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Array storage of slices and masks, percentiles, logarithms, and medians (Harris et al., 2020)</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SciPy</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1.17.1 (1.11)</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Connected-component labeling, hole filling, Euclidean distance transform, median filter, and statistical distributions (Virtanen et al., 2020)</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scikit-image</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0.26.0 (0.22)</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Gaussian smoothing, Otsu and multi-level Otsu thresholds, disk structuring elements, morphological opening, and region properties (van der Walt et al., 2014)</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Pillow</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12.2.0 (10.0)</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Image and mask loading, grayscale conversion, and resizing (Clark, 2015)</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pandas</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3.0.6 (2.1)</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Tabulation of per-slice results and statistical summaries (McKinney, 2010)</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Matplotlib</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3.11.2 (3.7)</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Figures of the evaluation (Hunter, 2007)</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SimpleITK</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2.5.5 (2.3)</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N4 bias-field correction for the B_SRG_N4 configuration only (Lowekamp et al., 2013; Tustison et al., 2010)</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openpyxl</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3.1.5</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Export of the per-slice appendix workbooks</w:t>
            </w:r>
          </w:p>
        </w:tc>
      </w:tr>
      <w:tr>
        <w:trPr>
          <w:cantSplit/>
        </w:trPr>
        <w:tc>
          <w:tcPr>
            <w:tcW w:type="dxa" w:w="1671"/>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Tkinter</w:t>
            </w:r>
          </w:p>
        </w:tc>
        <w:tc>
          <w:tcPr>
            <w:tcW w:type="dxa" w:w="222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Bundled with Python (Tk 8.6)</w:t>
            </w:r>
          </w:p>
        </w:tc>
        <w:tc>
          <w:tcPr>
            <w:tcW w:type="dxa" w:w="546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Desktop graphical user interface for loading slices, placing seeds, and inspecting each stage</w:t>
            </w:r>
          </w:p>
        </w:tc>
      </w:tr>
      <w:tr>
        <w:trPr>
          <w:cantSplit/>
        </w:trPr>
        <w:tc>
          <w:tcPr>
            <w:tcW w:type="dxa" w:w="1671"/>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heapq</w:t>
            </w:r>
          </w:p>
        </w:tc>
        <w:tc>
          <w:tcPr>
            <w:tcW w:type="dxa" w:w="2229"/>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Python standard library</w:t>
            </w:r>
          </w:p>
        </w:tc>
        <w:tc>
          <w:tcPr>
            <w:tcW w:type="dxa" w:w="5460"/>
            <w:tcBorders>
              <w:top w:val="none" w:color="FFFFFF" w:sz="0"/>
              <w:left w:val="none" w:color="FFFFFF" w:sz="0"/>
              <w:bottom w:val="single" w:color="000000" w:sz="6"/>
              <w:right w:val="none" w:color="FFFFFF" w:sz="0"/>
            </w:tcBorders>
            <w:tcMar>
              <w:top w:type="dxa" w:w="40"/>
              <w:left w:type="dxa" w:w="80"/>
              <w:bottom w:type="dxa" w:w="40"/>
              <w:right w:type="dxa" w:w="80"/>
            </w:tcMar>
            <w:vAlign w:val="top"/>
          </w:tcPr>
          <w:p>
            <w:pPr>
              <w:keepNext/>
              <w:spacing w:line="240"/>
              <w:jc w:val="left"/>
            </w:pPr>
            <w:r>
              <w:rPr>
                <w:rFonts w:ascii="Times New Roman" w:cs="Times New Roman" w:eastAsia="Times New Roman" w:hAnsi="Times New Roman"/>
                <w:b w:val="false"/>
                <w:bCs w:val="false"/>
                <w:i w:val="false"/>
                <w:iCs w:val="false"/>
                <w:sz w:val="20"/>
                <w:szCs w:val="20"/>
              </w:rPr>
              <w:t xml:space="preserve">Binary-heap implementation of the sequentially sorted list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Versions in parentheses are the minimum versions declared in the project's requirements file. SimpleITK and openpyxl are needed only for the evaluation, not for segmentation.</w:t>
      </w:r>
    </w:p>
    <w:p>
      <w:pPr>
        <w:keepNext w:val="false"/>
        <w:spacing w:after="0" w:before="0" w:line="360"/>
        <w:ind w:left="720" w:firstLine="720"/>
        <w:jc w:val="both"/>
      </w:pPr>
      <w:r>
        <w:rPr>
          <w:rFonts w:ascii="Times New Roman" w:cs="Times New Roman" w:eastAsia="Times New Roman" w:hAnsi="Times New Roman"/>
          <w:sz w:val="24"/>
          <w:szCs w:val="24"/>
        </w:rPr>
        <w:t xml:space="preserve">Table 3.8 shows that segmentation itself depends only on NumPy, SciPy, scikit-image, and Pillow, while pandas, Matplotlib, SimpleITK, and openpyxl support the evaluation. The sequentially sorted list uses Python's built-in heap, so no specialized data-structure library is required. The system is installed and run as follows:</w:t>
      </w:r>
    </w:p>
    <w:p>
      <w:pPr>
        <w:pStyle w:val="ListParagraph"/>
        <w:keepNext/>
        <w:numPr>
          <w:ilvl w:val="0"/>
          <w:numId w:val="2"/>
        </w:numPr>
        <w:spacing w:after="0" w:line="360"/>
        <w:jc w:val="both"/>
      </w:pPr>
      <w:r>
        <w:rPr>
          <w:rFonts w:ascii="Times New Roman" w:cs="Times New Roman" w:eastAsia="Times New Roman" w:hAnsi="Times New Roman"/>
          <w:sz w:val="24"/>
          <w:szCs w:val="24"/>
        </w:rPr>
        <w:t xml:space="preserve">Install Python 3.10 or later from python.org, including the Tcl/Tk component, and add Python to the system PATH.</w:t>
      </w:r>
    </w:p>
    <w:p>
      <w:pPr>
        <w:pStyle w:val="ListParagraph"/>
        <w:keepNext/>
        <w:numPr>
          <w:ilvl w:val="0"/>
          <w:numId w:val="2"/>
        </w:numPr>
        <w:spacing w:after="0" w:line="360"/>
        <w:jc w:val="both"/>
      </w:pPr>
      <w:r>
        <w:rPr>
          <w:rFonts w:ascii="Times New Roman" w:cs="Times New Roman" w:eastAsia="Times New Roman" w:hAnsi="Times New Roman"/>
          <w:sz w:val="24"/>
          <w:szCs w:val="24"/>
        </w:rPr>
        <w:t xml:space="preserve">Copy the project folder to the computer and open a terminal in that folder.</w:t>
      </w:r>
    </w:p>
    <w:p>
      <w:pPr>
        <w:pStyle w:val="ListParagraph"/>
        <w:keepNext/>
        <w:numPr>
          <w:ilvl w:val="0"/>
          <w:numId w:val="2"/>
        </w:numPr>
        <w:spacing w:after="0" w:line="360"/>
        <w:jc w:val="both"/>
      </w:pPr>
      <w:r>
        <w:rPr>
          <w:rFonts w:ascii="Times New Roman" w:cs="Times New Roman" w:eastAsia="Times New Roman" w:hAnsi="Times New Roman"/>
          <w:sz w:val="24"/>
          <w:szCs w:val="24"/>
        </w:rPr>
        <w:t xml:space="preserve">Optionally, create and activate a virtual environment: </w:t>
      </w:r>
      <w:r>
        <w:rPr>
          <w:rFonts w:ascii="Courier New" w:cs="Courier New" w:eastAsia="Courier New" w:hAnsi="Courier New"/>
          <w:sz w:val="20"/>
          <w:szCs w:val="20"/>
        </w:rPr>
        <w:t xml:space="preserve">python -m venv .venv</w:t>
      </w:r>
      <w:r>
        <w:rPr>
          <w:rFonts w:ascii="Times New Roman" w:cs="Times New Roman" w:eastAsia="Times New Roman" w:hAnsi="Times New Roman"/>
          <w:sz w:val="24"/>
          <w:szCs w:val="24"/>
        </w:rPr>
        <w:t xml:space="preserve">, then </w:t>
      </w:r>
      <w:r>
        <w:rPr>
          <w:rFonts w:ascii="Courier New" w:cs="Courier New" w:eastAsia="Courier New" w:hAnsi="Courier New"/>
          <w:sz w:val="20"/>
          <w:szCs w:val="20"/>
        </w:rPr>
        <w:t xml:space="preserve">.venv\Scripts\activate</w:t>
      </w:r>
      <w:r>
        <w:rPr>
          <w:rFonts w:ascii="Times New Roman" w:cs="Times New Roman" w:eastAsia="Times New Roman" w:hAnsi="Times New Roman"/>
          <w:sz w:val="24"/>
          <w:szCs w:val="24"/>
        </w:rPr>
        <w:t xml:space="preserve"> on Windows or </w:t>
      </w:r>
      <w:r>
        <w:rPr>
          <w:rFonts w:ascii="Courier New" w:cs="Courier New" w:eastAsia="Courier New" w:hAnsi="Courier New"/>
          <w:sz w:val="20"/>
          <w:szCs w:val="20"/>
        </w:rPr>
        <w:t xml:space="preserve">source .venv/bin/activate</w:t>
      </w:r>
      <w:r>
        <w:rPr>
          <w:rFonts w:ascii="Times New Roman" w:cs="Times New Roman" w:eastAsia="Times New Roman" w:hAnsi="Times New Roman"/>
          <w:sz w:val="24"/>
          <w:szCs w:val="24"/>
        </w:rPr>
        <w:t xml:space="preserve"> on macOS and Linux.</w:t>
      </w:r>
    </w:p>
    <w:p>
      <w:pPr>
        <w:pStyle w:val="ListParagraph"/>
        <w:keepNext/>
        <w:numPr>
          <w:ilvl w:val="0"/>
          <w:numId w:val="2"/>
        </w:numPr>
        <w:spacing w:after="0" w:line="360"/>
        <w:jc w:val="both"/>
      </w:pPr>
      <w:r>
        <w:rPr>
          <w:rFonts w:ascii="Times New Roman" w:cs="Times New Roman" w:eastAsia="Times New Roman" w:hAnsi="Times New Roman"/>
          <w:sz w:val="24"/>
          <w:szCs w:val="24"/>
        </w:rPr>
        <w:t xml:space="preserve">Install the dependencies: </w:t>
      </w:r>
      <w:r>
        <w:rPr>
          <w:rFonts w:ascii="Courier New" w:cs="Courier New" w:eastAsia="Courier New" w:hAnsi="Courier New"/>
          <w:sz w:val="20"/>
          <w:szCs w:val="20"/>
        </w:rPr>
        <w:t xml:space="preserve">pip install -r requirements.txt</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pip install openpyxl</w:t>
      </w:r>
      <w:r>
        <w:rPr>
          <w:rFonts w:ascii="Times New Roman" w:cs="Times New Roman" w:eastAsia="Times New Roman" w:hAnsi="Times New Roman"/>
          <w:sz w:val="24"/>
          <w:szCs w:val="24"/>
        </w:rPr>
        <w:t xml:space="preserve"> for the appendix workbooks.</w:t>
      </w:r>
    </w:p>
    <w:p>
      <w:pPr>
        <w:pStyle w:val="ListParagraph"/>
        <w:keepNext/>
        <w:numPr>
          <w:ilvl w:val="0"/>
          <w:numId w:val="2"/>
        </w:numPr>
        <w:spacing w:after="0" w:line="360"/>
        <w:jc w:val="both"/>
      </w:pPr>
      <w:r>
        <w:rPr>
          <w:rFonts w:ascii="Times New Roman" w:cs="Times New Roman" w:eastAsia="Times New Roman" w:hAnsi="Times New Roman"/>
          <w:sz w:val="24"/>
          <w:szCs w:val="24"/>
        </w:rPr>
        <w:t xml:space="preserve">Verify the installation by running the test suite: </w:t>
      </w:r>
      <w:r>
        <w:rPr>
          <w:rFonts w:ascii="Courier New" w:cs="Courier New" w:eastAsia="Courier New" w:hAnsi="Courier New"/>
          <w:sz w:val="20"/>
          <w:szCs w:val="20"/>
        </w:rPr>
        <w:t xml:space="preserve">python tests/test_pipeline.py</w:t>
      </w:r>
      <w:r>
        <w:rPr>
          <w:rFonts w:ascii="Times New Roman" w:cs="Times New Roman" w:eastAsia="Times New Roman" w:hAnsi="Times New Roman"/>
          <w:sz w:val="24"/>
          <w:szCs w:val="24"/>
        </w:rPr>
        <w:t xml:space="preserve">.</w:t>
      </w:r>
    </w:p>
    <w:p>
      <w:pPr>
        <w:pStyle w:val="ListParagraph"/>
        <w:keepNext/>
        <w:numPr>
          <w:ilvl w:val="0"/>
          <w:numId w:val="2"/>
        </w:numPr>
        <w:spacing w:after="0" w:line="360"/>
        <w:jc w:val="both"/>
      </w:pPr>
      <w:r>
        <w:rPr>
          <w:rFonts w:ascii="Times New Roman" w:cs="Times New Roman" w:eastAsia="Times New Roman" w:hAnsi="Times New Roman"/>
          <w:sz w:val="24"/>
          <w:szCs w:val="24"/>
        </w:rPr>
        <w:t xml:space="preserve">Launch the interface with </w:t>
      </w:r>
      <w:r>
        <w:rPr>
          <w:rFonts w:ascii="Courier New" w:cs="Courier New" w:eastAsia="Courier New" w:hAnsi="Courier New"/>
          <w:sz w:val="20"/>
          <w:szCs w:val="20"/>
        </w:rPr>
        <w:t xml:space="preserve">python -m gui.app</w:t>
      </w:r>
      <w:r>
        <w:rPr>
          <w:rFonts w:ascii="Times New Roman" w:cs="Times New Roman" w:eastAsia="Times New Roman" w:hAnsi="Times New Roman"/>
          <w:sz w:val="24"/>
          <w:szCs w:val="24"/>
        </w:rPr>
        <w:t xml:space="preserve">, open an MRI slice, choose the method (ESRG or SRG) and the seeding mode (automatic or manual), and press RUN.</w:t>
      </w:r>
    </w:p>
    <w:p>
      <w:pPr>
        <w:pStyle w:val="ListParagraph"/>
        <w:keepNext w:val="false"/>
        <w:numPr>
          <w:ilvl w:val="0"/>
          <w:numId w:val="2"/>
        </w:numPr>
        <w:spacing w:after="0" w:line="360"/>
        <w:jc w:val="both"/>
      </w:pPr>
      <w:r>
        <w:rPr>
          <w:rFonts w:ascii="Times New Roman" w:cs="Times New Roman" w:eastAsia="Times New Roman" w:hAnsi="Times New Roman"/>
          <w:sz w:val="24"/>
          <w:szCs w:val="24"/>
        </w:rPr>
        <w:t xml:space="preserve">To reproduce the evaluation, run in order: </w:t>
      </w:r>
      <w:r>
        <w:rPr>
          <w:rFonts w:ascii="Courier New" w:cs="Courier New" w:eastAsia="Courier New" w:hAnsi="Courier New"/>
          <w:sz w:val="20"/>
          <w:szCs w:val="20"/>
        </w:rPr>
        <w:t xml:space="preserve">python experiments/evaluate.py</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python experiments/evaluate.py --timing</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python experiments/analyze.py</w:t>
      </w:r>
      <w:r>
        <w:rPr>
          <w:rFonts w:ascii="Times New Roman" w:cs="Times New Roman" w:eastAsia="Times New Roman" w:hAnsi="Times New Roman"/>
          <w:sz w:val="24"/>
          <w:szCs w:val="24"/>
        </w:rPr>
        <w:t xml:space="preserve">.</w:t>
      </w:r>
    </w:p>
    <w:p>
      <w:pPr>
        <w:pStyle w:val="Heading2"/>
        <w:keepNext/>
        <w:spacing w:after="0" w:before="240" w:line="360"/>
        <w:jc w:val="left"/>
      </w:pPr>
      <w:r>
        <w:rPr>
          <w:rFonts w:ascii="Times New Roman" w:cs="Times New Roman" w:eastAsia="Times New Roman" w:hAnsi="Times New Roman"/>
          <w:b/>
          <w:bCs/>
          <w:i w:val="false"/>
          <w:iCs w:val="false"/>
          <w:color w:val="000000"/>
          <w:sz w:val="24"/>
          <w:szCs w:val="24"/>
        </w:rPr>
        <w:t xml:space="preserve">3.4 Theories, Methods, and Tools</w:t>
      </w:r>
    </w:p>
    <w:p>
      <w:pPr>
        <w:keepNext w:val="false"/>
        <w:spacing w:after="0" w:before="0" w:line="360"/>
        <w:ind w:left="0" w:firstLine="720"/>
        <w:jc w:val="both"/>
      </w:pPr>
      <w:r>
        <w:rPr>
          <w:rFonts w:ascii="Times New Roman" w:cs="Times New Roman" w:eastAsia="Times New Roman" w:hAnsi="Times New Roman"/>
          <w:sz w:val="24"/>
          <w:szCs w:val="24"/>
        </w:rPr>
        <w:t xml:space="preserve">This section presents, for each objective, the theories that justify the enhancement, the methods and algorithms that implement it, and the tools used. The original SRG accepts an intensity image and a set of seeds and grows the seeded regions until all pixels are assimilated (Mehnert &amp; Jackway, 1997), comparing each candidate pixel with the mean intensity of the adjacent region (Adams &amp; Bischof, 1994); the enhancements change how the seed is obtained, what the comparison measures, and when a pixel is absorbed or rejected.</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3.4.1 To provide an automatic seed selection option through Multi-Level Otsu Thresholding with connected-component filtering</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Theories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Optimal Histogram Thresholding</w:t>
      </w:r>
    </w:p>
    <w:p>
      <w:pPr>
        <w:spacing w:after="0" w:before="0" w:line="360"/>
        <w:ind w:left="0" w:firstLine="720"/>
        <w:jc w:val="both"/>
      </w:pPr>
      <w:r>
        <w:rPr>
          <w:rFonts w:ascii="Times New Roman" w:cs="Times New Roman" w:eastAsia="Times New Roman" w:hAnsi="Times New Roman"/>
          <w:sz w:val="24"/>
          <w:szCs w:val="24"/>
        </w:rPr>
        <w:t xml:space="preserve">Otsu’s method separates an image into classes by intensity without operator input. It selects the threshold that maximizes the between-class variance of the gray-level histogram, which is equivalent to minimizing the within-class variance (Otsu, 1979). The multi-level extension divides the histogram into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classes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 thresholds chosen to maximize Equation 3.1, solved efficiently by the recursive search of Liao et al. (2001):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sSubSup>
                <m:sSubSupPr/>
                <m:e>
                  <m:r>
                    <m:t>σ</m:t>
                  </m:r>
                </m:e>
                <m:sub>
                  <m:r>
                    <m:t>B</m:t>
                  </m:r>
                </m:sub>
                <m:sup>
                  <m:r>
                    <m:t>2</m:t>
                  </m:r>
                </m:sup>
              </m:sSubSup>
              <m:d>
                <m:dPr/>
                <m:e>
                  <m:sSub>
                    <m:sSubPr/>
                    <m:e>
                      <m:r>
                        <m:t>t</m:t>
                      </m:r>
                    </m:e>
                    <m:sub>
                      <m:r>
                        <m:t>1</m:t>
                      </m:r>
                    </m:sub>
                  </m:sSub>
                  <m:r>
                    <m:t xml:space="preserve">, …, </m:t>
                  </m:r>
                  <m:sSub>
                    <m:sSubPr/>
                    <m:e>
                      <m:r>
                        <m:t>t</m:t>
                      </m:r>
                    </m:e>
                    <m:sub>
                      <m:r>
                        <m:t>K − 1</m:t>
                      </m:r>
                    </m:sub>
                  </m:sSub>
                </m:e>
              </m:d>
              <m:r>
                <m:t xml:space="preserve"> = </m:t>
              </m:r>
              <m:nary>
                <m:naryPr>
                  <m:chr m:val="∑"/>
                  <m:limLoc m:val="undOvr"/>
                </m:naryPr>
                <m:sub>
                  <m:r>
                    <m:t>k = 1</m:t>
                  </m:r>
                </m:sub>
                <m:sup>
                  <m:r>
                    <m:t>K</m:t>
                  </m:r>
                </m:sup>
                <m:e>
                  <m:sSub>
                    <m:sSubPr/>
                    <m:e>
                      <m:r>
                        <m:t>ω</m:t>
                      </m:r>
                    </m:e>
                    <m:sub>
                      <m:r>
                        <m:t>k</m:t>
                      </m:r>
                    </m:sub>
                  </m:sSub>
                  <m:sSup>
                    <m:sSupPr/>
                    <m:e>
                      <m:d>
                        <m:dPr/>
                        <m:e>
                          <m:sSub>
                            <m:sSubPr/>
                            <m:e>
                              <m:r>
                                <m:t>μ</m:t>
                              </m:r>
                            </m:e>
                            <m:sub>
                              <m:r>
                                <m:t>k</m:t>
                              </m:r>
                            </m:sub>
                          </m:sSub>
                          <m:r>
                            <m:t xml:space="preserve"> − </m:t>
                          </m:r>
                          <m:sSub>
                            <m:sSubPr/>
                            <m:e>
                              <m:r>
                                <m:t>μ</m:t>
                              </m:r>
                            </m:e>
                            <m:sub>
                              <m:r>
                                <m:t>T</m:t>
                              </m:r>
                            </m:sub>
                          </m:sSub>
                        </m:e>
                      </m:d>
                    </m:e>
                    <m:sup>
                      <m:r>
                        <m:t>2</m:t>
                      </m:r>
                    </m:sup>
                  </m:sSup>
                </m:e>
              </m:nary>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(3.1)</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&lt; … &lt;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are the thresholds,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separates the highest-intensity class; ω</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μ</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are the pixel fraction and mean intensity of class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and μ</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mean intensity of all pixels in the histogram.</w:t>
      </w:r>
    </w:p>
    <w:p>
      <w:pPr>
        <w:keepNext w:val="false"/>
        <w:spacing w:after="0" w:before="0" w:line="360"/>
        <w:ind w:left="720" w:firstLine="720"/>
        <w:jc w:val="both"/>
      </w:pPr>
      <w:r>
        <w:rPr>
          <w:rFonts w:ascii="Times New Roman" w:cs="Times New Roman" w:eastAsia="Times New Roman" w:hAnsi="Times New Roman"/>
          <w:sz w:val="24"/>
          <w:szCs w:val="24"/>
        </w:rPr>
        <w:t xml:space="preserve">On T1-CE images, the enhancing tumor is among the brightest tissues, so it falls in the class above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This justifies deriving seed candidates from the histogram rather than from operator clicks.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Connected Components and Object Interiority</w:t>
      </w:r>
    </w:p>
    <w:p>
      <w:pPr>
        <w:spacing w:after="0" w:before="0" w:line="360"/>
        <w:ind w:left="0" w:firstLine="720"/>
        <w:jc w:val="both"/>
      </w:pPr>
      <w:r>
        <w:rPr>
          <w:rFonts w:ascii="Times New Roman" w:cs="Times New Roman" w:eastAsia="Times New Roman" w:hAnsi="Times New Roman"/>
          <w:sz w:val="24"/>
          <w:szCs w:val="24"/>
        </w:rPr>
        <w:t xml:space="preserve">A binary mask can be divided into connected components, groups of foreground pixels linked through their neighbors, so that each candidate structure can be measured and accepted or rejected on its own (Gonzalez &amp; Woods, 2018). Mathematical morphology supports this filtering: an opening, an erosion followed by a dilation with a small disk, removes speckle, text, and thin bridges narrower than the disk while preserving larger regions, and hole filling closes cavities enclosed by a region (Soille, 2003).</w:t>
      </w:r>
    </w:p>
    <w:p>
      <w:pPr>
        <w:spacing w:after="0" w:before="0" w:line="360"/>
        <w:ind w:left="0" w:firstLine="720"/>
        <w:jc w:val="both"/>
      </w:pPr>
      <w:r>
        <w:rPr>
          <w:rFonts w:ascii="Times New Roman" w:cs="Times New Roman" w:eastAsia="Times New Roman" w:hAnsi="Times New Roman"/>
          <w:sz w:val="24"/>
          <w:szCs w:val="24"/>
        </w:rPr>
        <w:t xml:space="preserve">The Euclidean distance transform assigns to each pixel of a component its distance to the nearest pixel outside it (Gonzalez &amp; Woods, 2018). Its maximum lies on the medial axis, at the point farthest from every boundary, and equals the radius of the largest disk inscribed in the component. Unlike the centroid, this point always lies inside the component, even for a ring-enhancing tumor, and seeding at the medial pixels avoids boundary pixels affected by the partial volume effect, the mixing of several tissues within one pixel (Tohka, 2014).</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Local Contrast of Enhancing Lesions</w:t>
      </w:r>
    </w:p>
    <w:p>
      <w:pPr>
        <w:keepNext w:val="false"/>
        <w:spacing w:after="0" w:before="0" w:line="360"/>
        <w:ind w:left="720" w:firstLine="720"/>
        <w:jc w:val="both"/>
      </w:pPr>
      <w:r>
        <w:rPr>
          <w:rFonts w:ascii="Times New Roman" w:cs="Times New Roman" w:eastAsia="Times New Roman" w:hAnsi="Times New Roman"/>
          <w:sz w:val="24"/>
          <w:szCs w:val="24"/>
        </w:rPr>
        <w:t xml:space="preserve">An enhancing lesion is defined by being brighter than its surroundings, the principle of the white top-hat transform (Soille, 2003), and contrast- and shape-based cues are used to discriminate lesions (Khan et al., 2023). Automatic seeding from the brightest regions of brain MRI has been validated for tumor segmentation (Biratu et al., 2021). This justifies ranking candidates by their contrast against a surrounding ring rather than by absolute brightness alone.</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Methods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Pre-processing and Head Masking</w:t>
      </w:r>
    </w:p>
    <w:p>
      <w:pPr>
        <w:spacing w:after="0" w:before="0" w:line="360"/>
        <w:ind w:left="0" w:firstLine="720"/>
        <w:jc w:val="both"/>
      </w:pPr>
      <w:r>
        <w:rPr>
          <w:rFonts w:ascii="Times New Roman" w:cs="Times New Roman" w:eastAsia="Times New Roman" w:hAnsi="Times New Roman"/>
          <w:sz w:val="24"/>
          <w:szCs w:val="24"/>
        </w:rPr>
        <w:t xml:space="preserve">Each slice is read as a grayscale image and, when its longer side exceeds 512 pixels, downscaled by bilinear interpolation so that the longer side equals 512 pixels; all later steps and all metrics use this working resolution. The intensities are normalized to [0, 255] using the 0.5th and 99.5th percentiles of the slice, which makes the result robust to a few extremely bright or dark pixels. The head is then separated from the background (Chaddad &amp; Tanougast, 2016): the normalized slice is smoothed, thresholded at its Otsu threshold, opened to detach frames and text, reduced to its largest connected component, and hole-filled to give the head mask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depth of each head pixel, its distance from the head outline, is computed with the distance transform, and every pixel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is set to zero. The head, rather than the brain, is isolated because the brain cannot be separated from the face and neck on 2D coronal and sagittal slices; non-tumor tissue is instead excluded by the connected-component filtering below.</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Automated Seed Selection</w:t>
      </w:r>
    </w:p>
    <w:p>
      <w:pPr>
        <w:spacing w:after="0" w:before="0" w:line="360"/>
        <w:ind w:left="0" w:firstLine="720"/>
        <w:jc w:val="both"/>
      </w:pPr>
      <w:r>
        <w:rPr>
          <w:rFonts w:ascii="Times New Roman" w:cs="Times New Roman" w:eastAsia="Times New Roman" w:hAnsi="Times New Roman"/>
          <w:sz w:val="24"/>
          <w:szCs w:val="24"/>
        </w:rPr>
        <w:t xml:space="preserve">Multi-level Otsu thresholding is applied only to interior head tissue, the pixels whose depth exceeds both the minimum clearance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a fraction η of the maximum head depth, because subcutaneous fat and skull marrow are brighter than an enhancing tumor on T1-weighted images and would otherwise capture the highest class (Liao et al., 2001; Otsu, 1979). The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 thresholds of Equation 3.1 are computed from the histogram of this interior region, and the candidate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keeps the interior pixels of the highest class, opened with a disk of radius 1 pixel to remove speckle.</w:t>
      </w:r>
    </w:p>
    <w:p>
      <w:pPr>
        <w:spacing w:after="0" w:before="0" w:line="360"/>
        <w:ind w:left="0" w:firstLine="720"/>
        <w:jc w:val="both"/>
      </w:pPr>
      <w:r>
        <w:rPr>
          <w:rFonts w:ascii="Times New Roman" w:cs="Times New Roman" w:eastAsia="Times New Roman" w:hAnsi="Times New Roman"/>
          <w:sz w:val="24"/>
          <w:szCs w:val="24"/>
        </w:rPr>
        <w:t xml:space="preserve">Connected-component filtering then separates the tumor from other bright structures. Each connected component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smaller than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pixels is discarded as noise, and every remaining component is tested for interiority. A component that touches the head outline, such as a remnant of scalp fat, has its deepest point at a depth barely larger than its own inscribed radius, whereas an interior tumor lies deeper. The clearance of Equation 3.2 expresses this difference: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sSub>
                <m:sSubPr/>
                <m:e>
                  <m:r>
                    <m:t>κ</m:t>
                  </m:r>
                </m:e>
                <m:sub>
                  <m:r>
                    <m:t>i</m:t>
                  </m:r>
                </m:sub>
              </m:sSub>
              <m:r>
                <m:t xml:space="preserve"> = </m:t>
              </m:r>
              <m:r>
                <m:rPr>
                  <m:sty m:val="p"/>
                </m:rPr>
                <m:t xml:space="preserve">depth</m:t>
              </m:r>
              <m:d>
                <m:dPr/>
                <m:e>
                  <m:sSubSup>
                    <m:sSubSupPr/>
                    <m:e>
                      <m:r>
                        <m:t>x</m:t>
                      </m:r>
                    </m:e>
                    <m:sub>
                      <m:r>
                        <m:t>i</m:t>
                      </m:r>
                    </m:sub>
                    <m:sup>
                      <m:r>
                        <m:t>*</m:t>
                      </m:r>
                    </m:sup>
                  </m:sSubSup>
                </m:e>
              </m:d>
              <m:r>
                <m:t xml:space="preserve"> − </m:t>
              </m:r>
              <m:sSub>
                <m:sSubPr/>
                <m:e>
                  <m:r>
                    <m:t>ρ</m:t>
                  </m:r>
                </m:e>
                <m:sub>
                  <m:r>
                    <m:t>i</m:t>
                  </m:r>
                </m:sub>
              </m:sSub>
              <m:r>
                <m:t xml:space="preserve">,   </m:t>
              </m:r>
              <m:sSub>
                <m:sSubPr/>
                <m:e>
                  <m:r>
                    <m:t>ρ</m:t>
                  </m:r>
                </m:e>
                <m:sub>
                  <m:r>
                    <m:t>i</m:t>
                  </m:r>
                </m:sub>
              </m:sSub>
              <m:r>
                <m:t xml:space="preserve"> = </m:t>
              </m:r>
              <m:sSub>
                <m:sSubPr/>
                <m:e>
                  <m:r>
                    <m:t>D</m:t>
                  </m:r>
                </m:e>
                <m:sub>
                  <m:sSub>
                    <m:sSubPr/>
                    <m:e>
                      <m:r>
                        <m:t>C</m:t>
                      </m:r>
                    </m:e>
                    <m:sub>
                      <m:r>
                        <m:t>i</m:t>
                      </m:r>
                    </m:sub>
                  </m:sSub>
                </m:sub>
              </m:sSub>
              <m:d>
                <m:dPr/>
                <m:e>
                  <m:sSubSup>
                    <m:sSubSupPr/>
                    <m:e>
                      <m:r>
                        <m:t>x</m:t>
                      </m:r>
                    </m:e>
                    <m:sub>
                      <m:r>
                        <m:t>i</m:t>
                      </m:r>
                    </m:sub>
                    <m:sup>
                      <m:r>
                        <m:t>*</m:t>
                      </m:r>
                    </m:sup>
                  </m:sSubSup>
                </m:e>
              </m:d>
              <m:r>
                <m:t xml:space="preserve"> = </m:t>
              </m:r>
              <m:limLow>
                <m:e>
                  <m:r>
                    <m:rPr>
                      <m:sty m:val="p"/>
                    </m:rPr>
                    <m:t xml:space="preserve">max</m:t>
                  </m:r>
                </m:e>
                <m:lim>
                  <m:sSub>
                    <m:sSubPr/>
                    <m:e>
                      <m:r>
                        <m:t>x ∈ C</m:t>
                      </m:r>
                    </m:e>
                    <m:sub>
                      <m:r>
                        <m:t>i</m:t>
                      </m:r>
                    </m:sub>
                  </m:sSub>
                </m:lim>
              </m:limLow>
              <m:r>
                <m:t xml:space="preserve"> </m:t>
              </m:r>
              <m:sSub>
                <m:sSubPr/>
                <m:e>
                  <m:r>
                    <m:t>D</m:t>
                  </m:r>
                </m:e>
                <m:sub>
                  <m:sSub>
                    <m:sSubPr/>
                    <m:e>
                      <m:r>
                        <m:t>C</m:t>
                      </m:r>
                    </m:e>
                    <m:sub>
                      <m:r>
                        <m:t>i</m:t>
                      </m:r>
                    </m:sub>
                  </m:sSub>
                </m:sub>
              </m:sSub>
              <m:d>
                <m:dPr/>
                <m:e>
                  <m:r>
                    <m:t>x</m:t>
                  </m:r>
                </m:e>
              </m:d>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(3.2)</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pixel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farthest from its boundary;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inscribed radius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its distance-transform value at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distance of that pixel from the head outline; and 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clearance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component is discarded when 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&lt;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w:t>
      </w:r>
    </w:p>
    <w:p>
      <w:pPr>
        <w:spacing w:after="0" w:before="0" w:line="360"/>
        <w:ind w:left="0" w:firstLine="720"/>
        <w:jc w:val="both"/>
      </w:pPr>
      <w:r>
        <w:rPr>
          <w:rFonts w:ascii="Times New Roman" w:cs="Times New Roman" w:eastAsia="Times New Roman" w:hAnsi="Times New Roman"/>
          <w:sz w:val="24"/>
          <w:szCs w:val="24"/>
        </w:rPr>
        <w:t xml:space="preserve">If no component survives, the system returns “NO TUMOR CANDIDATE” rather than seeding arbitrarily. The surviving components are ranked by three features: their local contrast 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mean intensity of the component minus that of a surrounding ring 6 pixels wide; their inscribed radius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which favors thick, interior structures; and a shape score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in [0, 1] that averages compactness and solidity and equals 1 for a solid disk (Gonzalez &amp; Woods, 2018). Contrast and radius are rescaled to [0, 1] across the candidates, and the ranking score is their weighted sum (Equation 3.3):</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sSub>
                <m:sSubPr/>
                <m:e>
                  <m:r>
                    <m:t>Q</m:t>
                  </m:r>
                </m:e>
                <m:sub>
                  <m:r>
                    <m:t>i</m:t>
                  </m:r>
                </m:sub>
              </m:sSub>
              <m:r>
                <m:t xml:space="preserve"> = </m:t>
              </m:r>
              <m:sSub>
                <m:sSubPr/>
                <m:e>
                  <m:r>
                    <m:t>w</m:t>
                  </m:r>
                </m:e>
                <m:sub>
                  <m:r>
                    <m:t>c</m:t>
                  </m:r>
                </m:sub>
              </m:sSub>
              <m:sSubSup>
                <m:sSubSupPr/>
                <m:e>
                  <m:r>
                    <m:t>Δ</m:t>
                  </m:r>
                </m:e>
                <m:sub>
                  <m:r>
                    <m:t>i</m:t>
                  </m:r>
                </m:sub>
                <m:sup>
                  <m:r>
                    <m:t>′</m:t>
                  </m:r>
                </m:sup>
              </m:sSubSup>
              <m:r>
                <m:t xml:space="preserve"> + </m:t>
              </m:r>
              <m:sSub>
                <m:sSubPr/>
                <m:e>
                  <m:r>
                    <m:t>w</m:t>
                  </m:r>
                </m:e>
                <m:sub>
                  <m:r>
                    <m:t>r</m:t>
                  </m:r>
                </m:sub>
              </m:sSub>
              <m:sSubSup>
                <m:sSubSupPr/>
                <m:e>
                  <m:r>
                    <m:t>ρ</m:t>
                  </m:r>
                </m:e>
                <m:sub>
                  <m:r>
                    <m:t>i</m:t>
                  </m:r>
                </m:sub>
                <m:sup>
                  <m:r>
                    <m:t>′</m:t>
                  </m:r>
                </m:sup>
              </m:sSubSup>
              <m:r>
                <m:t xml:space="preserve"> + </m:t>
              </m:r>
              <m:sSub>
                <m:sSubPr/>
                <m:e>
                  <m:r>
                    <m:t>w</m:t>
                  </m:r>
                </m:e>
                <m:sub>
                  <m:r>
                    <m:t>s</m:t>
                  </m:r>
                </m:sub>
              </m:sSub>
              <m:sSub>
                <m:sSubPr/>
                <m:e>
                  <m:r>
                    <m:t>s</m:t>
                  </m:r>
                </m:e>
                <m:sub>
                  <m:r>
                    <m:t>i</m:t>
                  </m:r>
                </m:sub>
              </m:sSub>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(3.3)</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ranking score, and the candidate with the highest score is selected as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are the rescaled contrast and inscribed radius;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are the weights 0.5, 1.0, and 0.2 (Table 3.6).</w:t>
      </w:r>
    </w:p>
    <w:p>
      <w:pPr>
        <w:spacing w:after="0" w:before="0" w:line="360"/>
        <w:ind w:left="0" w:firstLine="720"/>
        <w:jc w:val="both"/>
      </w:pPr>
      <w:r>
        <w:rPr>
          <w:rFonts w:ascii="Times New Roman" w:cs="Times New Roman" w:eastAsia="Times New Roman" w:hAnsi="Times New Roman"/>
          <w:sz w:val="24"/>
          <w:szCs w:val="24"/>
        </w:rPr>
        <w:t xml:space="preserve">The weights make interiority the dominant criterion, contrast secondary, and shape a tie-breaker, so that irregular gliomas are not penalized heavily. Finally,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is formed from the medial pixels of the selected component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those whose distance-transform value is at least α = 0.7 of its maximum. Seed selection remains optional: in manual mode, each click is dilated into a disk of radius 3 pixels and, for the ESRG, the union of the disks is reduced to its medial pixels in the same way; the baseline SRG additionally accepts clicks for up to three competing regions, which its original formulation requires.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Algorithm of Automated Seed Selection</w:t>
      </w:r>
    </w:p>
    <w:p>
      <w:pPr>
        <w:keepNext/>
        <w:spacing w:after="0" w:before="60" w:line="300"/>
        <w:ind w:left="0"/>
      </w:pPr>
      <w:r>
        <w:rPr>
          <w:rFonts w:ascii="Times New Roman" w:cs="Times New Roman" w:eastAsia="Times New Roman" w:hAnsi="Times New Roman"/>
          <w:b/>
          <w:bCs/>
          <w:sz w:val="24"/>
          <w:szCs w:val="24"/>
        </w:rPr>
        <w:t xml:space="preserve">Input:</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 normalized, head-masked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head mask; depth – depth map</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η,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α – parameters (Table 3.6)</w:t>
      </w:r>
    </w:p>
    <w:p>
      <w:pPr>
        <w:keepNext/>
        <w:spacing w:after="0" w:before="60" w:line="300"/>
        <w:ind w:left="0"/>
      </w:pPr>
      <w:r>
        <w:rPr>
          <w:rFonts w:ascii="Times New Roman" w:cs="Times New Roman" w:eastAsia="Times New Roman" w:hAnsi="Times New Roman"/>
          <w:b/>
          <w:bCs/>
          <w:sz w:val="24"/>
          <w:szCs w:val="24"/>
        </w:rPr>
        <w:t xml:space="preserve">Output:</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seed core, or the flag “NO TUMOR CANDIDATE”</w:t>
      </w:r>
    </w:p>
    <w:p>
      <w:pPr>
        <w:keepNext/>
        <w:spacing w:after="0" w:before="60" w:line="300"/>
        <w:ind w:left="0"/>
      </w:pPr>
      <w:r>
        <w:rPr>
          <w:rFonts w:ascii="Times New Roman" w:cs="Times New Roman" w:eastAsia="Times New Roman" w:hAnsi="Times New Roman"/>
          <w:b/>
          <w:bCs/>
          <w:sz w:val="24"/>
          <w:szCs w:val="24"/>
        </w:rPr>
        <w:t xml:space="preserve">START</w:t>
      </w:r>
    </w:p>
    <w:p>
      <w:pPr>
        <w:keepNext/>
        <w:spacing w:after="0" w:line="300"/>
        <w:ind w:left="360" w:hanging="0"/>
        <w:jc w:val="left"/>
      </w:pPr>
      <w:r>
        <w:rPr>
          <w:rFonts w:ascii="Times New Roman" w:cs="Times New Roman" w:eastAsia="Times New Roman" w:hAnsi="Times New Roman"/>
          <w:sz w:val="24"/>
          <w:szCs w:val="24"/>
        </w:rPr>
        <w:t xml:space="preserve">1. Form the interior region of the head; if it has fewer than 50 pixels, use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If the region is empty or has constant intensity, return “NO TUMOR CANDIDATE.”</w:t>
      </w:r>
    </w:p>
    <w:p>
      <w:pPr>
        <w:keepNext/>
        <w:spacing w:after="0" w:line="300"/>
        <w:ind w:left="360" w:hanging="0"/>
        <w:jc w:val="left"/>
      </w:pPr>
      <w:r>
        <w:rPr>
          <w:rFonts w:ascii="Times New Roman" w:cs="Times New Roman" w:eastAsia="Times New Roman" w:hAnsi="Times New Roman"/>
          <w:sz w:val="24"/>
          <w:szCs w:val="24"/>
        </w:rPr>
        <w:t xml:space="preserve">2. Compute the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− 1 multi-level Otsu thresholds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over the interior region (Equation 3.1).</w:t>
      </w:r>
    </w:p>
    <w:p>
      <w:pPr>
        <w:keepNext/>
        <w:spacing w:after="0" w:line="300"/>
        <w:ind w:left="360" w:hanging="0"/>
        <w:jc w:val="left"/>
      </w:pPr>
      <w:r>
        <w:rPr>
          <w:rFonts w:ascii="Times New Roman" w:cs="Times New Roman" w:eastAsia="Times New Roman" w:hAnsi="Times New Roman"/>
          <w:sz w:val="24"/>
          <w:szCs w:val="24"/>
        </w:rPr>
        <w:t xml:space="preserve">3. Form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from the interior pixels of the highest class, open it, and label its components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n</w:t>
      </w:r>
      <w:r>
        <w:rPr>
          <w:rFonts w:ascii="Times New Roman" w:cs="Times New Roman" w:eastAsia="Times New Roman" w:hAnsi="Times New Roman"/>
          <w:sz w:val="24"/>
          <w:szCs w:val="24"/>
        </w:rPr>
        <w:t xml:space="preserve">;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0, return “NO TUMOR CANDIDATE.”</w:t>
      </w:r>
    </w:p>
    <w:p>
      <w:pPr>
        <w:keepNext/>
        <w:spacing w:after="0" w:line="300"/>
        <w:ind w:left="360" w:hanging="0"/>
        <w:jc w:val="left"/>
      </w:pPr>
      <w:r>
        <w:rPr>
          <w:rFonts w:ascii="Times New Roman" w:cs="Times New Roman" w:eastAsia="Times New Roman" w:hAnsi="Times New Roman"/>
          <w:sz w:val="24"/>
          <w:szCs w:val="24"/>
        </w:rPr>
        <w:t xml:space="preserve">4. For each component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w:t>
      </w:r>
    </w:p>
    <w:p>
      <w:pPr>
        <w:keepNext/>
        <w:spacing w:after="0" w:line="300"/>
        <w:ind w:left="840" w:hanging="0"/>
        <w:jc w:val="left"/>
      </w:pPr>
      <w:r>
        <w:rPr>
          <w:rFonts w:ascii="Times New Roman" w:cs="Times New Roman" w:eastAsia="Times New Roman" w:hAnsi="Times New Roman"/>
          <w:sz w:val="24"/>
          <w:szCs w:val="24"/>
        </w:rPr>
        <w:t xml:space="preserve">a. If its area is below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discard it.</w:t>
      </w:r>
    </w:p>
    <w:p>
      <w:pPr>
        <w:keepNext/>
        <w:spacing w:after="0" w:line="300"/>
        <w:ind w:left="840" w:hanging="0"/>
        <w:jc w:val="left"/>
      </w:pPr>
      <w:r>
        <w:rPr>
          <w:rFonts w:ascii="Times New Roman" w:cs="Times New Roman" w:eastAsia="Times New Roman" w:hAnsi="Times New Roman"/>
          <w:sz w:val="24"/>
          <w:szCs w:val="24"/>
        </w:rPr>
        <w:t xml:space="preserve">b. Compute its clearance 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(Equation 3.2); if 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&lt;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discard it.</w:t>
      </w:r>
    </w:p>
    <w:p>
      <w:pPr>
        <w:keepNext/>
        <w:spacing w:after="0" w:line="300"/>
        <w:ind w:left="360" w:hanging="0"/>
        <w:jc w:val="left"/>
      </w:pPr>
      <w:r>
        <w:rPr>
          <w:rFonts w:ascii="Times New Roman" w:cs="Times New Roman" w:eastAsia="Times New Roman" w:hAnsi="Times New Roman"/>
          <w:sz w:val="24"/>
          <w:szCs w:val="24"/>
        </w:rPr>
        <w:t xml:space="preserve">5. If no component remains, return “NO TUMOR CANDIDATE.”</w:t>
      </w:r>
    </w:p>
    <w:p>
      <w:pPr>
        <w:keepNext/>
        <w:spacing w:after="0" w:line="300"/>
        <w:ind w:left="360" w:hanging="0"/>
        <w:jc w:val="left"/>
      </w:pPr>
      <w:r>
        <w:rPr>
          <w:rFonts w:ascii="Times New Roman" w:cs="Times New Roman" w:eastAsia="Times New Roman" w:hAnsi="Times New Roman"/>
          <w:sz w:val="24"/>
          <w:szCs w:val="24"/>
        </w:rPr>
        <w:t xml:space="preserve">6. For each remaining component, compute 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rescale Δ and ρ, and compute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(Equation 3.3).</w:t>
      </w:r>
    </w:p>
    <w:p>
      <w:pPr>
        <w:keepNext/>
        <w:spacing w:after="0" w:line="300"/>
        <w:ind w:left="360" w:hanging="0"/>
        <w:jc w:val="left"/>
      </w:pPr>
      <w:r>
        <w:rPr>
          <w:rFonts w:ascii="Times New Roman" w:cs="Times New Roman" w:eastAsia="Times New Roman" w:hAnsi="Times New Roman"/>
          <w:sz w:val="24"/>
          <w:szCs w:val="24"/>
        </w:rPr>
        <w:t xml:space="preserve">7. Select the component with the highest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w:t>
      </w:r>
    </w:p>
    <w:p>
      <w:pPr>
        <w:keepNext/>
        <w:spacing w:after="0" w:line="300"/>
        <w:ind w:left="360" w:hanging="0"/>
        <w:jc w:val="left"/>
      </w:pPr>
      <w:r>
        <w:rPr>
          <w:rFonts w:ascii="Times New Roman" w:cs="Times New Roman" w:eastAsia="Times New Roman" w:hAnsi="Times New Roman"/>
          <w:sz w:val="24"/>
          <w:szCs w:val="24"/>
        </w:rPr>
        <w:t xml:space="preserve">8. Form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from the medial pixels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and output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w:t>
      </w:r>
    </w:p>
    <w:p>
      <w:pPr>
        <w:spacing w:after="240" w:line="300"/>
      </w:pPr>
      <w:r>
        <w:rPr>
          <w:rFonts w:ascii="Times New Roman" w:cs="Times New Roman" w:eastAsia="Times New Roman" w:hAnsi="Times New Roman"/>
          <w:b/>
          <w:bCs/>
          <w:sz w:val="24"/>
          <w:szCs w:val="24"/>
        </w:rPr>
        <w:t xml:space="preserve">END</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Tools</w:t>
      </w:r>
    </w:p>
    <w:p>
      <w:pPr>
        <w:keepNext w:val="false"/>
        <w:spacing w:after="0" w:before="0" w:line="360"/>
        <w:ind w:left="720" w:firstLine="720"/>
        <w:jc w:val="both"/>
      </w:pPr>
      <w:r>
        <w:rPr>
          <w:rFonts w:ascii="Times New Roman" w:cs="Times New Roman" w:eastAsia="Times New Roman" w:hAnsi="Times New Roman"/>
          <w:sz w:val="24"/>
          <w:szCs w:val="24"/>
        </w:rPr>
        <w:t xml:space="preserve">Image loading, grayscale conversion, and bilinear resizing use Pillow (Clark, 2015); percentile normalization uses NumPy (Harris et al., 2020). Gaussian smoothing, the Otsu and multi-level Otsu thresholds, disk structuring elements, morphological opening, and the region properties of the shape score come from scikit-image (van der Walt et al., 2014). Connected-component labeling, hole filling, and the Euclidean distance transform come from SciPy's ndimage module (Virtanen et al., 2020). The Tkinter interface captures the clicks of the manual seeding option.</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3.4.2 To minimize undersegmentation by replacing the global-mean difference with a local difference measure computed in the log domain, making the criterion insensitive to multiplicative bias</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Theories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The Global Homogeneity Assumption of the Original Difference Measure</w:t>
      </w:r>
    </w:p>
    <w:p>
      <w:pPr>
        <w:spacing w:after="0" w:before="0" w:line="360"/>
        <w:ind w:left="0" w:firstLine="720"/>
        <w:jc w:val="both"/>
      </w:pPr>
      <w:r>
        <w:rPr>
          <w:rFonts w:ascii="Times New Roman" w:cs="Times New Roman" w:eastAsia="Times New Roman" w:hAnsi="Times New Roman"/>
          <w:sz w:val="24"/>
          <w:szCs w:val="24"/>
        </w:rPr>
        <w:t xml:space="preserve">The original SRG compares each candidate pixel with the mean intensity of the entire adjacent region (Adams &amp; Bischof, 1994). A single region mean represents every pixel of the region only if the region is intensity-homogeneous. Brain tumors on MRI violate this assumption in two ways: tumor tissue is often heterogeneous, and the scanner superimposes a smooth intensity inhomogeneity on the whole image (Li et al., 2011). Pixels of the same tumor that lie far from the seed can therefore differ from the global region mean more than they differ from their neighbors, so they are rejected or claimed by a competing region and part of the tumor is left unsegmented. A local model captures regions affected by inhomogeneity, whereas a global model suits only homogeneous regions (Akram et al., 2017).</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The Multiplicative Bias-Field Model of MRI Intensity Inhomogeneity</w:t>
      </w:r>
    </w:p>
    <w:p>
      <w:pPr>
        <w:spacing w:after="0" w:before="0" w:line="360"/>
        <w:ind w:left="0" w:firstLine="720"/>
        <w:jc w:val="both"/>
      </w:pPr>
      <w:r>
        <w:rPr>
          <w:rFonts w:ascii="Times New Roman" w:cs="Times New Roman" w:eastAsia="Times New Roman" w:hAnsi="Times New Roman"/>
          <w:sz w:val="24"/>
          <w:szCs w:val="24"/>
        </w:rPr>
        <w:t xml:space="preserve">Intensity inhomogeneity is modeled as a smooth, positive bias field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that multiplies the true tissue signal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plus noise (Li et al., 2011). Where the signal dominates the noise, the logarithm turns the multiplicative bias into an additive term, which is also the domain in which N4ITK models the field (Tustison et al., 2010), as shown in Equation 3.4: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r>
                <m:rPr>
                  <m:sty m:val="p"/>
                </m:rPr>
                <m:t xml:space="preserve">ln</m:t>
              </m:r>
              <m:r>
                <m:t xml:space="preserve"> I</m:t>
              </m:r>
              <m:d>
                <m:dPr/>
                <m:e>
                  <m:r>
                    <m:t>x</m:t>
                  </m:r>
                </m:e>
              </m:d>
              <m:r>
                <m:t xml:space="preserve"> ≈ </m:t>
              </m:r>
              <m:r>
                <m:rPr>
                  <m:sty m:val="p"/>
                </m:rPr>
                <m:t xml:space="preserve">ln</m:t>
              </m:r>
              <m:r>
                <m:t xml:space="preserve"> b</m:t>
              </m:r>
              <m:d>
                <m:dPr/>
                <m:e>
                  <m:r>
                    <m:t>x</m:t>
                  </m:r>
                </m:e>
              </m:d>
              <m:r>
                <m:t xml:space="preserve"> + </m:t>
              </m:r>
              <m:r>
                <m:rPr>
                  <m:sty m:val="p"/>
                </m:rPr>
                <m:t xml:space="preserve">ln</m:t>
              </m:r>
              <m:r>
                <m:t xml:space="preserve"> J</m:t>
              </m:r>
              <m:d>
                <m:dPr/>
                <m:e>
                  <m:r>
                    <m:t>x</m:t>
                  </m:r>
                </m:e>
              </m:d>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(3.4)</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observed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true tissue signal;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bias field; and ln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bias expressed as an additive offset.</w:t>
      </w:r>
    </w:p>
    <w:p>
      <w:pPr>
        <w:spacing w:after="0" w:before="0" w:line="360"/>
        <w:ind w:left="0" w:firstLine="720"/>
        <w:jc w:val="both"/>
      </w:pPr>
      <w:r>
        <w:rPr>
          <w:rFonts w:ascii="Times New Roman" w:cs="Times New Roman" w:eastAsia="Times New Roman" w:hAnsi="Times New Roman"/>
          <w:sz w:val="24"/>
          <w:szCs w:val="24"/>
        </w:rPr>
        <w:t xml:space="preserve">Because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varies slowly, it is approximately constant within a small window (Li et al., 2011). For two nearby pixels, the bias term is therefore common to both log-intensities and cancels in their difference (Equation 3.5):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r>
                <m:t>L</m:t>
              </m:r>
              <m:d>
                <m:dPr/>
                <m:e>
                  <m:r>
                    <m:t>x</m:t>
                  </m:r>
                </m:e>
              </m:d>
              <m:r>
                <m:t xml:space="preserve"> − L</m:t>
              </m:r>
              <m:d>
                <m:dPr/>
                <m:e>
                  <m:r>
                    <m:t>y</m:t>
                  </m:r>
                </m:e>
              </m:d>
              <m:r>
                <m:t xml:space="preserve"> ≈ </m:t>
              </m:r>
              <m:r>
                <m:rPr>
                  <m:sty m:val="p"/>
                </m:rPr>
                <m:t xml:space="preserve">ln</m:t>
              </m:r>
              <m:r>
                <m:t xml:space="preserve"> J</m:t>
              </m:r>
              <m:d>
                <m:dPr/>
                <m:e>
                  <m:r>
                    <m:t>x</m:t>
                  </m:r>
                </m:e>
              </m:d>
              <m:r>
                <m:t xml:space="preserve"> − </m:t>
              </m:r>
              <m:r>
                <m:rPr>
                  <m:sty m:val="p"/>
                </m:rPr>
                <m:t xml:space="preserve">ln</m:t>
              </m:r>
              <m:r>
                <m:t xml:space="preserve"> J</m:t>
              </m:r>
              <m:d>
                <m:dPr/>
                <m:e>
                  <m:r>
                    <m:t>y</m:t>
                  </m:r>
                </m:e>
              </m:d>
              <m:r>
                <m:t xml:space="preserve">,   y ∈ </m:t>
              </m:r>
              <m:sSub>
                <m:sSubPr/>
                <m:e>
                  <m:r>
                    <m:t>W</m:t>
                  </m:r>
                </m:e>
                <m:sub>
                  <m:r>
                    <m:t>r</m:t>
                  </m:r>
                </m:sub>
              </m:sSub>
              <m:d>
                <m:dPr/>
                <m:e>
                  <m:r>
                    <m:t>x</m:t>
                  </m:r>
                </m:e>
              </m:d>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(3.5)</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are the log-domain intensities of pixels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(Equation 3.6),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a small square window of radius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within which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p>
    <w:p>
      <w:pPr>
        <w:spacing w:after="0" w:before="0" w:line="360"/>
        <w:ind w:left="0" w:firstLine="720"/>
        <w:jc w:val="both"/>
      </w:pPr>
      <w:r>
        <w:rPr>
          <w:rFonts w:ascii="Times New Roman" w:cs="Times New Roman" w:eastAsia="Times New Roman" w:hAnsi="Times New Roman"/>
          <w:sz w:val="24"/>
          <w:szCs w:val="24"/>
        </w:rPr>
        <w:t xml:space="preserve">This justifies replacing the global comparison with a local comparison in the log domain. The transformation does not remove the bias field from the image, as N4ITK does; it makes the field additive, so that a comparison with nearby pixels becomes insensitive to it.</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Methods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Log-Domain Transformation</w:t>
      </w:r>
    </w:p>
    <w:p>
      <w:pPr>
        <w:spacing w:after="0" w:before="0" w:line="360"/>
        <w:ind w:left="0" w:firstLine="720"/>
        <w:jc w:val="both"/>
      </w:pPr>
      <w:r>
        <w:rPr>
          <w:rFonts w:ascii="Times New Roman" w:cs="Times New Roman" w:eastAsia="Times New Roman" w:hAnsi="Times New Roman"/>
          <w:sz w:val="24"/>
          <w:szCs w:val="24"/>
        </w:rPr>
        <w:t xml:space="preserve">Every pixel of the normalized, head-masked slice is transformed with Equation 3.6: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r>
                <m:t>L</m:t>
              </m:r>
              <m:d>
                <m:dPr/>
                <m:e>
                  <m:r>
                    <m:t>x</m:t>
                  </m:r>
                </m:e>
              </m:d>
              <m:r>
                <m:t xml:space="preserve"> = </m:t>
              </m:r>
              <m:r>
                <m:rPr>
                  <m:sty m:val="p"/>
                </m:rPr>
                <m:t xml:space="preserve">ln</m:t>
              </m:r>
              <m:d>
                <m:dPr/>
                <m:e>
                  <m:r>
                    <m:t>I</m:t>
                  </m:r>
                  <m:d>
                    <m:dPr/>
                    <m:e>
                      <m:r>
                        <m:t>x</m:t>
                      </m:r>
                    </m:e>
                  </m:d>
                  <m:r>
                    <m:t xml:space="preserve"> + ε</m:t>
                  </m:r>
                </m:e>
              </m:d>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(3.6)</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log-domain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in [0, 255], equal to 0 outside the head mask; and ε = 1 is an offset that prevents the logarithm of zero.</w:t>
      </w:r>
    </w:p>
    <w:p>
      <w:pPr>
        <w:spacing w:after="0" w:before="0" w:line="360"/>
        <w:ind w:left="0" w:firstLine="720"/>
        <w:jc w:val="both"/>
      </w:pPr>
      <w:r>
        <w:rPr>
          <w:rFonts w:ascii="Times New Roman" w:cs="Times New Roman" w:eastAsia="Times New Roman" w:hAnsi="Times New Roman"/>
          <w:sz w:val="24"/>
          <w:szCs w:val="24"/>
        </w:rPr>
        <w:t xml:space="preserve">For tissue intensities, which are much larger than ε,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 ε) closely follows ln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so Equations 3.4 and 3.5 apply. For the ablation configuration P_ESRG_nolog, the transformation is disabled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The log-domain image is also used to estimate the noise floor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the smallest region standard deviation that the image noise allows, which the stopping criterion of Section 3.4.3 uses as a lower bound. It is 1.4826 times the median absolute deviation of the difference between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and its 3 × 3 median, a robust estimate of the noise standard deviation that ignores the large differences at tissue edges (Donoho &amp; Johnstone, 1994; Leys et al., 2013; Rousseeuw &amp; Croux, 1993), bounded below by 0.02 log units because the 8-bit slices contain many identical neighboring values.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Local Log-Domain Difference Measure</w:t>
      </w:r>
    </w:p>
    <w:p>
      <w:pPr>
        <w:spacing w:after="0" w:before="0" w:line="360"/>
        <w:ind w:left="0" w:firstLine="720"/>
        <w:jc w:val="both"/>
      </w:pPr>
      <w:r>
        <w:rPr>
          <w:rFonts w:ascii="Times New Roman" w:cs="Times New Roman" w:eastAsia="Times New Roman" w:hAnsi="Times New Roman"/>
          <w:sz w:val="24"/>
          <w:szCs w:val="24"/>
        </w:rPr>
        <w:t xml:space="preserve">The original SRG measures the difference between a candidate pixel and the adjacent region with Equation 3.7 (Adams &amp; Bischof, 1994):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sSub>
                <m:sSubPr/>
                <m:e>
                  <m:r>
                    <m:t>δ</m:t>
                  </m:r>
                </m:e>
                <m:sub>
                  <m:r>
                    <m:rPr>
                      <m:sty m:val="p"/>
                    </m:rPr>
                    <m:t xml:space="preserve">SRG</m:t>
                  </m:r>
                </m:sub>
              </m:sSub>
              <m:d>
                <m:dPr/>
                <m:e>
                  <m:r>
                    <m:t>x</m:t>
                  </m:r>
                </m:e>
              </m:d>
              <m:r>
                <m:t xml:space="preserve"> = </m:t>
              </m:r>
              <m:r>
                <m:t>|g</m:t>
              </m:r>
              <m:d>
                <m:dPr/>
                <m:e>
                  <m:r>
                    <m:t>x</m:t>
                  </m:r>
                </m:e>
              </m:d>
              <m:r>
                <m:t xml:space="preserve"> − </m:t>
              </m:r>
              <m:r>
                <m:rPr>
                  <m:sty m:val="p"/>
                </m:rPr>
                <m:t xml:space="preserve">mean</m:t>
              </m:r>
              <m:sSub>
                <m:sSubPr/>
                <m:e>
                  <m:r>
                    <m:t xml:space="preserve"> </m:t>
                  </m:r>
                </m:e>
                <m:sub>
                  <m:r>
                    <m:t>y ∈ A</m:t>
                  </m:r>
                </m:sub>
              </m:sSub>
              <m:r>
                <m:t xml:space="preserve"> g</m:t>
              </m:r>
              <m:d>
                <m:dPr/>
                <m:e>
                  <m:r>
                    <m:t>y</m:t>
                  </m:r>
                </m:e>
              </m:d>
              <m:r>
                <m:t>|</m:t>
              </m:r>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(3.7)</w:t>
            </w:r>
          </w:p>
        </w:tc>
      </w:tr>
    </w:tbl>
    <w:p>
      <w:pPr>
        <w:spacing w:after="120" w:before="0" w:line="360"/>
        <w:ind w:left="0" w:firstLine="0"/>
        <w:jc w:val="both"/>
      </w:pPr>
      <w:r>
        <w:rPr>
          <w:rFonts w:ascii="Times New Roman" w:cs="Times New Roman" w:eastAsia="Times New Roman" w:hAnsi="Times New Roman"/>
          <w:sz w:val="24"/>
          <w:szCs w:val="24"/>
        </w:rPr>
        <w:t xml:space="preserve">where δ</w:t>
      </w:r>
      <w:r>
        <w:rPr>
          <w:rFonts w:ascii="Times New Roman" w:cs="Times New Roman" w:eastAsia="Times New Roman" w:hAnsi="Times New Roman"/>
          <w:sz w:val="24"/>
          <w:szCs w:val="24"/>
          <w:vertAlign w:val="subscript"/>
        </w:rPr>
        <w:t xml:space="preserve">SRG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difference measure of the original SRG;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of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region adjacent to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p>
    <w:p>
      <w:pPr>
        <w:spacing w:after="0" w:before="0" w:line="360"/>
        <w:ind w:left="0" w:firstLine="720"/>
        <w:jc w:val="both"/>
      </w:pPr>
      <w:r>
        <w:rPr>
          <w:rFonts w:ascii="Times New Roman" w:cs="Times New Roman" w:eastAsia="Times New Roman" w:hAnsi="Times New Roman"/>
          <w:sz w:val="24"/>
          <w:szCs w:val="24"/>
        </w:rPr>
        <w:t xml:space="preserve">Because the reference is the mean of the whole region, tumor pixels on the darker side of a bias gradient, or in a darker part of a heterogeneous tumor, differ from it even though they belong to the tumor. The enhanced measure instead compares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in the log domain, with the mean log-intensity of only those region pixels that lie within a local window (Equation 3.8):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r>
                <m:t>δ</m:t>
              </m:r>
              <m:d>
                <m:dPr/>
                <m:e>
                  <m:r>
                    <m:t>x</m:t>
                  </m:r>
                </m:e>
              </m:d>
              <m:r>
                <m:t xml:space="preserve"> = |L</m:t>
              </m:r>
              <m:d>
                <m:dPr/>
                <m:e>
                  <m:r>
                    <m:t>x</m:t>
                  </m:r>
                </m:e>
              </m:d>
              <m:r>
                <m:t xml:space="preserve"> − </m:t>
              </m:r>
              <m:sSub>
                <m:sSubPr/>
                <m:e>
                  <m:r>
                    <m:t>μ</m:t>
                  </m:r>
                </m:e>
                <m:sub>
                  <m:r>
                    <m:rPr>
                      <m:sty m:val="p"/>
                    </m:rPr>
                    <m:t xml:space="preserve">loc</m:t>
                  </m:r>
                </m:sub>
              </m:sSub>
              <m:d>
                <m:dPr/>
                <m:e>
                  <m:r>
                    <m:t>x</m:t>
                  </m:r>
                </m:e>
              </m:d>
              <m:r>
                <m:t xml:space="preserve">|,   </m:t>
              </m:r>
              <m:sSub>
                <m:sSubPr/>
                <m:e>
                  <m:r>
                    <m:t>μ</m:t>
                  </m:r>
                </m:e>
                <m:sub>
                  <m:r>
                    <m:rPr>
                      <m:sty m:val="p"/>
                    </m:rPr>
                    <m:t xml:space="preserve">loc</m:t>
                  </m:r>
                </m:sub>
              </m:sSub>
              <m:d>
                <m:dPr/>
                <m:e>
                  <m:r>
                    <m:t>x</m:t>
                  </m:r>
                </m:e>
              </m:d>
              <m:r>
                <m:t xml:space="preserve"> = </m:t>
              </m:r>
              <m:f>
                <m:num>
                  <m:r>
                    <m:t>1</m:t>
                  </m:r>
                </m:num>
                <m:den>
                  <m:r>
                    <m:t xml:space="preserve">|A ∩ </m:t>
                  </m:r>
                  <m:sSub>
                    <m:sSubPr/>
                    <m:e>
                      <m:r>
                        <m:t>W</m:t>
                      </m:r>
                    </m:e>
                    <m:sub>
                      <m:r>
                        <m:t>r</m:t>
                      </m:r>
                    </m:sub>
                  </m:sSub>
                  <m:d>
                    <m:dPr/>
                    <m:e>
                      <m:r>
                        <m:t>x</m:t>
                      </m:r>
                    </m:e>
                  </m:d>
                  <m:r>
                    <m:t>|</m:t>
                  </m:r>
                </m:den>
              </m:f>
              <m:nary>
                <m:naryPr>
                  <m:chr m:val="∑"/>
                  <m:limLoc m:val="undOvr"/>
                  <m:supHide m:val="1"/>
                </m:naryPr>
                <m:sub>
                  <m:r>
                    <m:t xml:space="preserve">y ∈ A ∩ </m:t>
                  </m:r>
                  <m:sSub>
                    <m:sSubPr/>
                    <m:e>
                      <m:r>
                        <m:t>W</m:t>
                      </m:r>
                    </m:e>
                    <m:sub>
                      <m:r>
                        <m:t>r</m:t>
                      </m:r>
                    </m:sub>
                  </m:sSub>
                  <m:d>
                    <m:dPr/>
                    <m:e>
                      <m:r>
                        <m:t>x</m:t>
                      </m:r>
                    </m:e>
                  </m:d>
                </m:sub>
                <m:sup/>
                <m:e>
                  <m:r>
                    <m:t>L</m:t>
                  </m:r>
                  <m:d>
                    <m:dPr/>
                    <m:e>
                      <m:r>
                        <m:t>y</m:t>
                      </m:r>
                    </m:e>
                  </m:d>
                </m:e>
              </m:nary>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(3.8)</w:t>
            </w:r>
          </w:p>
        </w:tc>
      </w:tr>
    </w:tbl>
    <w:p>
      <w:pPr>
        <w:spacing w:after="120" w:before="0" w:line="360"/>
        <w:ind w:left="0" w:firstLine="0"/>
        <w:jc w:val="both"/>
      </w:pPr>
      <w:r>
        <w:rPr>
          <w:rFonts w:ascii="Times New Roman" w:cs="Times New Roman" w:eastAsia="Times New Roman" w:hAnsi="Times New Roman"/>
          <w:sz w:val="24"/>
          <w:szCs w:val="24"/>
        </w:rPr>
        <w:t xml:space="preserve">where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local log-domain difference measure of candidate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window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with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3;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set of region pixels inside the window; and 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their mean log-intensity. The window always contains at least one region pixel because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adjacent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p>
    <w:p>
      <w:pPr>
        <w:spacing w:after="0" w:before="0" w:line="360"/>
        <w:ind w:left="0" w:firstLine="720"/>
        <w:jc w:val="both"/>
      </w:pPr>
      <w:r>
        <w:rPr>
          <w:rFonts w:ascii="Times New Roman" w:cs="Times New Roman" w:eastAsia="Times New Roman" w:hAnsi="Times New Roman"/>
          <w:sz w:val="24"/>
          <w:szCs w:val="24"/>
        </w:rPr>
        <w:t xml:space="preserve">By Equation 3.5, the bias term cancels in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so δ approximates the difference that would be measured on an image without the bias field, and each tumor pixel is compared with the tumor tissue next to it rather than with the seed. The residual error is bounded by the variation of the bias across the 7 × 7 window, which is why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is small. For the ablation configuration P_ESRG_global, 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replaced by the region mean, restoring the global comparison.</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Algorithm of the Local Log-Domain Difference Measure</w:t>
      </w:r>
    </w:p>
    <w:p>
      <w:pPr>
        <w:keepNext/>
        <w:spacing w:after="0" w:before="60" w:line="300"/>
        <w:ind w:left="0"/>
      </w:pPr>
      <w:r>
        <w:rPr>
          <w:rFonts w:ascii="Times New Roman" w:cs="Times New Roman" w:eastAsia="Times New Roman" w:hAnsi="Times New Roman"/>
          <w:b/>
          <w:bCs/>
          <w:sz w:val="24"/>
          <w:szCs w:val="24"/>
        </w:rPr>
        <w:t xml:space="preserve">Input:</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 log-domain image;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current region;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candidate pixel;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window radius</w:t>
      </w:r>
    </w:p>
    <w:p>
      <w:pPr>
        <w:keepNext/>
        <w:spacing w:after="0" w:before="60" w:line="300"/>
        <w:ind w:left="0"/>
      </w:pPr>
      <w:r>
        <w:rPr>
          <w:rFonts w:ascii="Times New Roman" w:cs="Times New Roman" w:eastAsia="Times New Roman" w:hAnsi="Times New Roman"/>
          <w:b/>
          <w:bCs/>
          <w:sz w:val="24"/>
          <w:szCs w:val="24"/>
        </w:rPr>
        <w:t xml:space="preserve">Output:</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difference measure</w:t>
      </w:r>
    </w:p>
    <w:p>
      <w:pPr>
        <w:keepNext/>
        <w:spacing w:after="0" w:before="60" w:line="300"/>
        <w:ind w:left="0"/>
      </w:pPr>
      <w:r>
        <w:rPr>
          <w:rFonts w:ascii="Times New Roman" w:cs="Times New Roman" w:eastAsia="Times New Roman" w:hAnsi="Times New Roman"/>
          <w:b/>
          <w:bCs/>
          <w:sz w:val="24"/>
          <w:szCs w:val="24"/>
        </w:rPr>
        <w:t xml:space="preserve">START</w:t>
      </w:r>
    </w:p>
    <w:p>
      <w:pPr>
        <w:keepNext/>
        <w:spacing w:after="0" w:line="300"/>
        <w:ind w:left="360" w:hanging="0"/>
        <w:jc w:val="left"/>
      </w:pPr>
      <w:r>
        <w:rPr>
          <w:rFonts w:ascii="Times New Roman" w:cs="Times New Roman" w:eastAsia="Times New Roman" w:hAnsi="Times New Roman"/>
          <w:sz w:val="24"/>
          <w:szCs w:val="24"/>
        </w:rPr>
        <w:t xml:space="preserve">1. Define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the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window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clipped at the image border.</w:t>
      </w:r>
    </w:p>
    <w:p>
      <w:pPr>
        <w:keepNext w:val="false"/>
        <w:spacing w:after="0" w:line="300"/>
        <w:ind w:left="360" w:hanging="0"/>
        <w:jc w:val="left"/>
      </w:pPr>
      <w:r>
        <w:rPr>
          <w:rFonts w:ascii="Times New Roman" w:cs="Times New Roman" w:eastAsia="Times New Roman" w:hAnsi="Times New Roman"/>
          <w:sz w:val="24"/>
          <w:szCs w:val="24"/>
        </w:rPr>
        <w:t xml:space="preserve">2. From the per-pixel arrays that store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and a membership flag for every absorbed pixel, sum the log-intensities and count the region pixels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w:t>
      </w:r>
    </w:p>
    <w:p>
      <w:pPr>
        <w:keepNext w:val="false"/>
        <w:spacing w:after="0" w:line="300"/>
        <w:ind w:left="360" w:hanging="0"/>
        <w:jc w:val="left"/>
      </w:pPr>
      <w:r>
        <w:rPr>
          <w:rFonts w:ascii="Times New Roman" w:cs="Times New Roman" w:eastAsia="Times New Roman" w:hAnsi="Times New Roman"/>
          <w:sz w:val="24"/>
          <w:szCs w:val="24"/>
        </w:rPr>
        <w:t xml:space="preserve">3. Compute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as the sum divided by the count; if the count is zero, use the current region mean.</w:t>
      </w:r>
    </w:p>
    <w:p>
      <w:pPr>
        <w:keepNext w:val="false"/>
        <w:spacing w:after="0" w:line="300"/>
        <w:ind w:left="360" w:hanging="0"/>
        <w:jc w:val="left"/>
      </w:pPr>
      <w:r>
        <w:rPr>
          <w:rFonts w:ascii="Times New Roman" w:cs="Times New Roman" w:eastAsia="Times New Roman" w:hAnsi="Times New Roman"/>
          <w:sz w:val="24"/>
          <w:szCs w:val="24"/>
        </w:rPr>
        <w:t xml:space="preserve">4. Output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(Equation 3.8).</w:t>
      </w:r>
    </w:p>
    <w:p>
      <w:pPr>
        <w:spacing w:after="240" w:line="300"/>
      </w:pPr>
      <w:r>
        <w:rPr>
          <w:rFonts w:ascii="Times New Roman" w:cs="Times New Roman" w:eastAsia="Times New Roman" w:hAnsi="Times New Roman"/>
          <w:b/>
          <w:bCs/>
          <w:sz w:val="24"/>
          <w:szCs w:val="24"/>
        </w:rPr>
        <w:t xml:space="preserve">END</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Tools</w:t>
      </w:r>
    </w:p>
    <w:p>
      <w:pPr>
        <w:spacing w:after="0" w:before="0" w:line="360"/>
        <w:ind w:left="0" w:firstLine="720"/>
        <w:jc w:val="both"/>
      </w:pPr>
      <w:r>
        <w:rPr>
          <w:rFonts w:ascii="Times New Roman" w:cs="Times New Roman" w:eastAsia="Times New Roman" w:hAnsi="Times New Roman"/>
          <w:sz w:val="24"/>
          <w:szCs w:val="24"/>
        </w:rPr>
        <w:t xml:space="preserve">The logarithm, absolute differences, and medians are computed with NumPy (Harris et al., 2020), and the 3 × 3 median filter is SciPy’s ndimage.median_filter (Virtanen et al., 2020). The per-pixel arrays that supply the window sums of Equation 3.8 are NumPy arrays updated as each pixel is absorbed. The interface’s Seed Telemetry panel lists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every intermediate value of the noise-floor estimate, so that the transformation can be verified by hand. N4 correction for the B_SRG_N4 configuration uses SimpleITK (Lowekamp et al., 2013).</w:t>
      </w:r>
    </w:p>
    <w:p>
      <w:pPr>
        <w:pStyle w:val="Heading3"/>
        <w:keepNext/>
        <w:spacing w:after="0" w:before="240" w:line="360"/>
        <w:ind w:left="720"/>
        <w:jc w:val="left"/>
      </w:pPr>
      <w:r>
        <w:rPr>
          <w:rFonts w:ascii="Times New Roman" w:cs="Times New Roman" w:eastAsia="Times New Roman" w:hAnsi="Times New Roman"/>
          <w:b/>
          <w:bCs/>
          <w:i w:val="false"/>
          <w:iCs w:val="false"/>
          <w:color w:val="000000"/>
          <w:sz w:val="24"/>
          <w:szCs w:val="24"/>
        </w:rPr>
        <w:t xml:space="preserve">3.4.3 To decrease boundary leakage by integrating a stopping criterion that adapts to the intensity variability of the growing region, supported with a global drift guard</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Theories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Unconditional Absorption in the Original Algorithm</w:t>
      </w:r>
    </w:p>
    <w:p>
      <w:pPr>
        <w:spacing w:after="0" w:before="0" w:line="360"/>
        <w:ind w:left="0" w:firstLine="720"/>
        <w:jc w:val="both"/>
      </w:pPr>
      <w:r>
        <w:rPr>
          <w:rFonts w:ascii="Times New Roman" w:cs="Times New Roman" w:eastAsia="Times New Roman" w:hAnsi="Times New Roman"/>
          <w:sz w:val="24"/>
          <w:szCs w:val="24"/>
        </w:rPr>
        <w:t xml:space="preserve">In SRG, the candidate pixels bordering the region are held in a sequentially sorted list (SSL) ordered by their difference measure, and the most similar candidate is always absorbed first (Adams &amp; Bischof, 1994). The original algorithm absorbs the next candidate from the SSL unconditionally and stops only when every pixel has been assigned to a region. With a single tumor seed, or where the tumor boundary is weak, nothing prevents the region from crossing the boundary and flooding the surrounding tissue, which is the boundary leakage addressed by this objective. Because the list is sorted, however, a bound on the difference measure can halt a growing pass exactly: once the candidate at the top of the SSL fails the bound, every candidate behind it fails as well.</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The Rician Noise Model and Statistical Region Membership</w:t>
      </w:r>
    </w:p>
    <w:p>
      <w:pPr>
        <w:spacing w:after="0" w:before="0" w:line="360"/>
        <w:ind w:left="0" w:firstLine="720"/>
        <w:jc w:val="both"/>
      </w:pPr>
      <w:r>
        <w:rPr>
          <w:rFonts w:ascii="Times New Roman" w:cs="Times New Roman" w:eastAsia="Times New Roman" w:hAnsi="Times New Roman"/>
          <w:sz w:val="24"/>
          <w:szCs w:val="24"/>
        </w:rPr>
        <w:t xml:space="preserve">The magnitude noise of MR images follows a Rician distribution, which approaches a Gaussian distribution when the signal-to-noise ratio exceeds about two (Gudbjartsson &amp; Patz, 1995). The intensities of a homogeneous region can therefore be modeled as approximately normal about the region mean, so a pixel several standard deviations away is unlikely to belong to the region; even without assuming normality, Chebyshev’s inequality limits the share of a region’s values lying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or more standard deviations from the mean to at most 1/</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², 11.1% for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3 (Ross, 2019). This justifies a stopping rule that adapts to the intensity variability of each region: a pixel is accepted only while it lies within a multiple of the region’s own standard deviation, so the threshold widens for a heterogeneous tumor and tightens for a homogeneous one instead of being a fixed intensity. This is the basis of confidence-connected region growing (Insight Software Consortium, n.d.).</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Numerically Stable Running Statistics</w:t>
      </w:r>
    </w:p>
    <w:p>
      <w:pPr>
        <w:keepNext w:val="false"/>
        <w:spacing w:after="0" w:before="0" w:line="360"/>
        <w:ind w:left="720" w:firstLine="720"/>
        <w:jc w:val="both"/>
      </w:pPr>
      <w:r>
        <w:rPr>
          <w:rFonts w:ascii="Times New Roman" w:cs="Times New Roman" w:eastAsia="Times New Roman" w:hAnsi="Times New Roman"/>
          <w:sz w:val="24"/>
          <w:szCs w:val="24"/>
        </w:rPr>
        <w:t xml:space="preserve">The region mean and standard deviation must be updated as pixels are absorbed. Welford's (1962) one-pass method updates both from each new value without storing the region and without the cancellation error of the sum-of-squares formula.</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Methods</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Adaptive Stopping Criterion</w:t>
      </w:r>
    </w:p>
    <w:p>
      <w:pPr>
        <w:spacing w:after="0" w:before="0" w:line="360"/>
        <w:ind w:left="0" w:firstLine="720"/>
        <w:jc w:val="both"/>
      </w:pPr>
      <w:r>
        <w:rPr>
          <w:rFonts w:ascii="Times New Roman" w:cs="Times New Roman" w:eastAsia="Times New Roman" w:hAnsi="Times New Roman"/>
          <w:sz w:val="24"/>
          <w:szCs w:val="24"/>
        </w:rPr>
        <w:t xml:space="preserve">The region mean and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are accumulated with Welford’s method from the seed pixels onward and updated as each pixel is absorbed. At the start of each pass, the mean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read and the standard deviation is bounded below by the noise floor of Section 3.4.2 (Equation 3.9):</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sSub>
                <m:sSubPr/>
                <m:e>
                  <m:r>
                    <m:t>σ</m:t>
                  </m:r>
                </m:e>
                <m:sub>
                  <m:r>
                    <m:t>A</m:t>
                  </m:r>
                </m:sub>
              </m:sSub>
              <m:r>
                <m:t xml:space="preserve"> = </m:t>
              </m:r>
              <m:r>
                <m:rPr>
                  <m:sty m:val="p"/>
                </m:rPr>
                <m:t xml:space="preserve">max</m:t>
              </m:r>
              <m:d>
                <m:dPr/>
                <m:e>
                  <m:sSub>
                    <m:sSubPr/>
                    <m:e>
                      <m:r>
                        <m:t>s</m:t>
                      </m:r>
                    </m:e>
                    <m:sub>
                      <m:r>
                        <m:t>A</m:t>
                      </m:r>
                    </m:sub>
                  </m:sSub>
                  <m:r>
                    <m:t xml:space="preserve">, </m:t>
                  </m:r>
                  <m:sSub>
                    <m:sSubPr/>
                    <m:e>
                      <m:r>
                        <m:t>σ</m:t>
                      </m:r>
                    </m:e>
                    <m:sub>
                      <m:r>
                        <m:rPr>
                          <m:sty m:val="p"/>
                        </m:rPr>
                        <m:t xml:space="preserve">floor</m:t>
                      </m:r>
                    </m:sub>
                  </m:sSub>
                </m:e>
              </m:d>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(3.9)</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sample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over the region;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is the noise floor, which prevents a nearly uniform seed from producing bounds near zero; and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region standard deviation used throughout the pass.</w:t>
      </w:r>
    </w:p>
    <w:p>
      <w:pPr>
        <w:spacing w:after="0" w:before="0" w:line="360"/>
        <w:ind w:left="0" w:firstLine="720"/>
        <w:jc w:val="both"/>
      </w:pPr>
      <w:r>
        <w:rPr>
          <w:rFonts w:ascii="Times New Roman" w:cs="Times New Roman" w:eastAsia="Times New Roman" w:hAnsi="Times New Roman"/>
          <w:sz w:val="24"/>
          <w:szCs w:val="24"/>
        </w:rPr>
        <w:t xml:space="preserve">The two acceptance bounds of the pass are multiples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(Equation 3.10):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sSub>
                <m:sSubPr/>
                <m:e>
                  <m:r>
                    <m:t>T</m:t>
                  </m:r>
                </m:e>
                <m:sub>
                  <m:r>
                    <m:rPr>
                      <m:sty m:val="p"/>
                    </m:rPr>
                    <m:t xml:space="preserve">L</m:t>
                  </m:r>
                </m:sub>
              </m:sSub>
              <m:r>
                <m:t xml:space="preserve"> = </m:t>
              </m:r>
              <m:sSub>
                <m:sSubPr/>
                <m:e>
                  <m:r>
                    <m:t>k</m:t>
                  </m:r>
                </m:e>
                <m:sub>
                  <m:r>
                    <m:rPr>
                      <m:sty m:val="p"/>
                    </m:rPr>
                    <m:t xml:space="preserve">L</m:t>
                  </m:r>
                </m:sub>
              </m:sSub>
              <m:sSub>
                <m:sSubPr/>
                <m:e>
                  <m:r>
                    <m:t>σ</m:t>
                  </m:r>
                </m:e>
                <m:sub>
                  <m:r>
                    <m:t>A</m:t>
                  </m:r>
                </m:sub>
              </m:sSub>
              <m:r>
                <m:t xml:space="preserve">,   </m:t>
              </m:r>
              <m:sSub>
                <m:sSubPr/>
                <m:e>
                  <m:r>
                    <m:t>T</m:t>
                  </m:r>
                </m:e>
                <m:sub>
                  <m:r>
                    <m:rPr>
                      <m:sty m:val="p"/>
                    </m:rPr>
                    <m:t xml:space="preserve">G</m:t>
                  </m:r>
                </m:sub>
              </m:sSub>
              <m:r>
                <m:t xml:space="preserve"> = </m:t>
              </m:r>
              <m:sSub>
                <m:sSubPr/>
                <m:e>
                  <m:r>
                    <m:t>k</m:t>
                  </m:r>
                </m:e>
                <m:sub>
                  <m:r>
                    <m:rPr>
                      <m:sty m:val="p"/>
                    </m:rPr>
                    <m:t xml:space="preserve">G</m:t>
                  </m:r>
                </m:sub>
              </m:sSub>
              <m:sSub>
                <m:sSubPr/>
                <m:e>
                  <m:r>
                    <m:t>σ</m:t>
                  </m:r>
                </m:e>
                <m:sub>
                  <m:r>
                    <m:t>A</m:t>
                  </m:r>
                </m:sub>
              </m:sSub>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(3.10)</w:t>
            </w:r>
          </w:p>
        </w:tc>
      </w:tr>
    </w:tbl>
    <w:p>
      <w:pPr>
        <w:spacing w:after="120" w:before="0" w:line="360"/>
        <w:ind w:left="0" w:firstLine="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is the local bound, the largest δ a candidate may have;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is the global bound of the drift guard, the largest deviation from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 candidate may have;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 1.5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3.0 are the local and global confidence multipliers.</w:t>
      </w:r>
    </w:p>
    <w:p>
      <w:pPr>
        <w:spacing w:after="0" w:before="0" w:line="360"/>
        <w:ind w:left="0" w:firstLine="720"/>
        <w:jc w:val="both"/>
      </w:pPr>
      <w:r>
        <w:rPr>
          <w:rFonts w:ascii="Times New Roman" w:cs="Times New Roman" w:eastAsia="Times New Roman" w:hAnsi="Times New Roman"/>
          <w:sz w:val="24"/>
          <w:szCs w:val="24"/>
        </w:rPr>
        <w:t xml:space="preserve">A candidate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at the top of the SSL is absorbed only if it satisfies both conditions of Equation 3.11: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left"/>
            </w:pPr>
          </w:p>
        </w:tc>
        <w:tc>
          <w:tcPr>
            <w:tcW w:type="dxa" w:w="720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center"/>
            </w:pPr>
            <m:oMath>
              <m:r>
                <m:t>δ</m:t>
              </m:r>
              <m:d>
                <m:dPr/>
                <m:e>
                  <m:r>
                    <m:t>y</m:t>
                  </m:r>
                </m:e>
              </m:d>
              <m:r>
                <m:t xml:space="preserve"> ≤ </m:t>
              </m:r>
              <m:sSub>
                <m:sSubPr/>
                <m:e>
                  <m:r>
                    <m:t>T</m:t>
                  </m:r>
                </m:e>
                <m:sub>
                  <m:r>
                    <m:rPr>
                      <m:sty m:val="p"/>
                    </m:rPr>
                    <m:t xml:space="preserve">L</m:t>
                  </m:r>
                </m:sub>
              </m:sSub>
              <m:r>
                <m:t xml:space="preserve">   ∧   </m:t>
              </m:r>
              <m:r>
                <m:t>|L</m:t>
              </m:r>
              <m:d>
                <m:dPr/>
                <m:e>
                  <m:r>
                    <m:t>y</m:t>
                  </m:r>
                </m:e>
              </m:d>
              <m:r>
                <m:t xml:space="preserve"> − </m:t>
              </m:r>
              <m:sSub>
                <m:sSubPr/>
                <m:e>
                  <m:r>
                    <m:t>μ</m:t>
                  </m:r>
                </m:e>
                <m:sub>
                  <m:r>
                    <m:t>A</m:t>
                  </m:r>
                </m:sub>
              </m:sSub>
              <m:r>
                <m:t xml:space="preserve">| ≤ </m:t>
              </m:r>
              <m:sSub>
                <m:sSubPr/>
                <m:e>
                  <m:r>
                    <m:t>T</m:t>
                  </m:r>
                </m:e>
                <m:sub>
                  <m:r>
                    <m:rPr>
                      <m:sty m:val="p"/>
                    </m:rPr>
                    <m:t xml:space="preserve">G</m:t>
                  </m:r>
                </m:sub>
              </m:sSub>
            </m:oMath>
          </w:p>
        </w:tc>
        <w:tc>
          <w:tcPr>
            <w:tcW w:type="dxa" w:w="1080"/>
            <w:tcBorders>
              <w:top w:val="none" w:color="FFFFFF" w:sz="0"/>
              <w:left w:val="none" w:color="FFFFFF" w:sz="0"/>
              <w:bottom w:val="none" w:color="FFFFFF" w:sz="0"/>
              <w:right w:val="none" w:color="FFFFFF" w:sz="0"/>
            </w:tcBorders>
            <w:tcMar>
              <w:top w:type="dxa" w:w="80"/>
              <w:left w:type="dxa" w:w="0"/>
              <w:bottom w:type="dxa" w:w="80"/>
              <w:right w:type="dxa" w:w="0"/>
            </w:tcMar>
            <w:vAlign w:val="center"/>
          </w:tcPr>
          <w:p>
            <w:pPr>
              <w:keepNext/>
              <w:jc w:val="right"/>
            </w:pPr>
            <w:r>
              <w:rPr>
                <w:rFonts w:ascii="Times New Roman" w:cs="Times New Roman" w:eastAsia="Times New Roman" w:hAnsi="Times New Roman"/>
                <w:sz w:val="24"/>
                <w:szCs w:val="24"/>
              </w:rPr>
              <w:t xml:space="preserve">(3.11)</w:t>
            </w:r>
          </w:p>
        </w:tc>
      </w:tr>
    </w:tbl>
    <w:p>
      <w:pPr>
        <w:spacing w:after="120" w:before="0" w:line="360"/>
        <w:ind w:left="0" w:firstLine="0"/>
        <w:jc w:val="both"/>
      </w:pPr>
      <w:r>
        <w:rPr>
          <w:rFonts w:ascii="Times New Roman" w:cs="Times New Roman" w:eastAsia="Times New Roman" w:hAnsi="Times New Roman"/>
          <w:sz w:val="24"/>
          <w:szCs w:val="24"/>
        </w:rPr>
        <w:t xml:space="preserve">where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local log-domain difference measure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(Equation 3.8);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deviation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from the frozen region mean; and ∧ is logical conjunction.</w:t>
      </w:r>
    </w:p>
    <w:p>
      <w:pPr>
        <w:spacing w:after="0" w:before="0" w:line="360"/>
        <w:ind w:left="0" w:firstLine="720"/>
        <w:jc w:val="both"/>
      </w:pPr>
      <w:r>
        <w:rPr>
          <w:rFonts w:ascii="Times New Roman" w:cs="Times New Roman" w:eastAsia="Times New Roman" w:hAnsi="Times New Roman"/>
          <w:sz w:val="24"/>
          <w:szCs w:val="24"/>
        </w:rPr>
        <w:t xml:space="preserve">The two conditions act differently. When the top candidate fails the local bound, the pass ends, because the SSL is sorted by δ and every remaining candidate also fails; this is the stopping criterion, and because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is proportional to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it adapts to the intensity variability of the growing region. When a candidate passes the local bound but fails the global bound, it is flagged as rejected and never reconsidered, and processing continues; this global drift guard blocks slow chaining across a soft boundary, where each pixel resembles its neighbor but the region gradually drifts away from the tumor intensity. The statistics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are frozen during a pass and recomputed only between passes, because updating them after every absorption would let each borderline pixel widen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admit the next, the runaway growth that produces leakage. Because absorptions change the local means, δ is recomputed when a candidate reaches the top of the SSL, and the candidate is reinserted if its value has increased. Growth ends when a pass adds no pixel or after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4 passes. For the ablation configuration P_ESRG_nostop, both conditions are removed and every candidate within the head is absorbed, as in the original SRG.</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Algorithm of the Adaptive Stopping Criterion</w:t>
      </w:r>
    </w:p>
    <w:p>
      <w:pPr>
        <w:keepNext/>
        <w:spacing w:after="0" w:before="60" w:line="300"/>
        <w:ind w:left="0"/>
      </w:pPr>
      <w:r>
        <w:rPr>
          <w:rFonts w:ascii="Times New Roman" w:cs="Times New Roman" w:eastAsia="Times New Roman" w:hAnsi="Times New Roman"/>
          <w:b/>
          <w:bCs/>
          <w:sz w:val="24"/>
          <w:szCs w:val="24"/>
        </w:rPr>
        <w:t xml:space="preserve">Input:</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 log-domain image;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 head mask;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seed core;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 noise floor</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parameters (Table 3.6)</w:t>
      </w:r>
    </w:p>
    <w:p>
      <w:pPr>
        <w:keepNext/>
        <w:spacing w:after="0" w:before="60" w:line="300"/>
        <w:ind w:left="0"/>
      </w:pPr>
      <w:r>
        <w:rPr>
          <w:rFonts w:ascii="Times New Roman" w:cs="Times New Roman" w:eastAsia="Times New Roman" w:hAnsi="Times New Roman"/>
          <w:b/>
          <w:bCs/>
          <w:sz w:val="24"/>
          <w:szCs w:val="24"/>
        </w:rPr>
        <w:t xml:space="preserve">Output:</w:t>
      </w:r>
    </w:p>
    <w:p>
      <w:pPr>
        <w:pStyle w:val="ListParagraph"/>
        <w:keepNext/>
        <w:numPr>
          <w:ilvl w:val="0"/>
          <w:numId w:val="3"/>
        </w:numPr>
        <w:spacing w:after="0" w:line="300"/>
      </w:pP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grown tumor region</w:t>
      </w:r>
    </w:p>
    <w:p>
      <w:pPr>
        <w:keepNext/>
        <w:spacing w:after="0" w:before="60" w:line="300"/>
        <w:ind w:left="0"/>
      </w:pPr>
      <w:r>
        <w:rPr>
          <w:rFonts w:ascii="Times New Roman" w:cs="Times New Roman" w:eastAsia="Times New Roman" w:hAnsi="Times New Roman"/>
          <w:b/>
          <w:bCs/>
          <w:sz w:val="24"/>
          <w:szCs w:val="24"/>
        </w:rPr>
        <w:t xml:space="preserve">START</w:t>
      </w:r>
    </w:p>
    <w:p>
      <w:pPr>
        <w:keepNext/>
        <w:spacing w:after="0" w:line="300"/>
        <w:ind w:left="360" w:hanging="0"/>
        <w:jc w:val="left"/>
      </w:pPr>
      <w:r>
        <w:rPr>
          <w:rFonts w:ascii="Times New Roman" w:cs="Times New Roman" w:eastAsia="Times New Roman" w:hAnsi="Times New Roman"/>
          <w:sz w:val="24"/>
          <w:szCs w:val="24"/>
        </w:rPr>
        <w:t xml:space="preserve">1. Set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add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of every seed pixel to the running statistics and to the local-window arrays.</w:t>
      </w:r>
    </w:p>
    <w:p>
      <w:pPr>
        <w:keepNext w:val="false"/>
        <w:spacing w:after="0" w:line="300"/>
        <w:ind w:left="360" w:hanging="0"/>
        <w:jc w:val="left"/>
      </w:pPr>
      <w:r>
        <w:rPr>
          <w:rFonts w:ascii="Times New Roman" w:cs="Times New Roman" w:eastAsia="Times New Roman" w:hAnsi="Times New Roman"/>
          <w:sz w:val="24"/>
          <w:szCs w:val="24"/>
        </w:rPr>
        <w:t xml:space="preserve">2. For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 to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w:t>
      </w:r>
    </w:p>
    <w:p>
      <w:pPr>
        <w:keepNext/>
        <w:spacing w:after="0" w:line="300"/>
        <w:ind w:left="840" w:hanging="0"/>
        <w:jc w:val="left"/>
      </w:pPr>
      <w:r>
        <w:rPr>
          <w:rFonts w:ascii="Times New Roman" w:cs="Times New Roman" w:eastAsia="Times New Roman" w:hAnsi="Times New Roman"/>
          <w:sz w:val="24"/>
          <w:szCs w:val="24"/>
        </w:rPr>
        <w:t xml:space="preserve">a. Read 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set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 max(</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(Equation 3.9).</w:t>
      </w:r>
    </w:p>
    <w:p>
      <w:pPr>
        <w:keepNext/>
        <w:spacing w:after="0" w:line="300"/>
        <w:ind w:left="840" w:hanging="0"/>
        <w:jc w:val="left"/>
      </w:pPr>
      <w:r>
        <w:rPr>
          <w:rFonts w:ascii="Times New Roman" w:cs="Times New Roman" w:eastAsia="Times New Roman" w:hAnsi="Times New Roman"/>
          <w:sz w:val="24"/>
          <w:szCs w:val="24"/>
        </w:rPr>
        <w:t xml:space="preserve">b. Set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(Equation 3.10).</w:t>
      </w:r>
    </w:p>
    <w:p>
      <w:pPr>
        <w:keepNext/>
        <w:spacing w:after="0" w:line="300"/>
        <w:ind w:left="840" w:hanging="0"/>
        <w:jc w:val="left"/>
      </w:pPr>
      <w:r>
        <w:rPr>
          <w:rFonts w:ascii="Times New Roman" w:cs="Times New Roman" w:eastAsia="Times New Roman" w:hAnsi="Times New Roman"/>
          <w:sz w:val="24"/>
          <w:szCs w:val="24"/>
        </w:rPr>
        <w:t xml:space="preserve">c. Start an empty SSL and insert every 8-connected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and is neither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nor rejected, with its δ (Equation 3.8).</w:t>
      </w:r>
    </w:p>
    <w:p>
      <w:pPr>
        <w:keepNext w:val="false"/>
        <w:spacing w:after="0" w:line="300"/>
        <w:ind w:left="840" w:hanging="0"/>
        <w:jc w:val="left"/>
      </w:pPr>
      <w:r>
        <w:rPr>
          <w:rFonts w:ascii="Times New Roman" w:cs="Times New Roman" w:eastAsia="Times New Roman" w:hAnsi="Times New Roman"/>
          <w:sz w:val="24"/>
          <w:szCs w:val="24"/>
        </w:rPr>
        <w:t xml:space="preserve">d. While the SSL is not empty, remove the pixel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with the smallest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p>
    <w:p>
      <w:pPr>
        <w:keepNext w:val="false"/>
        <w:spacing w:after="0" w:line="300"/>
        <w:ind w:left="1320" w:hanging="0"/>
        <w:jc w:val="left"/>
      </w:pPr>
      <w:r>
        <w:rPr>
          <w:rFonts w:ascii="Times New Roman" w:cs="Times New Roman" w:eastAsia="Times New Roman" w:hAnsi="Times New Roman"/>
          <w:sz w:val="24"/>
          <w:szCs w:val="24"/>
        </w:rPr>
        <w:t xml:space="preserve">i. If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or rejected, skip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w:t>
      </w:r>
    </w:p>
    <w:p>
      <w:pPr>
        <w:keepNext w:val="false"/>
        <w:spacing w:after="0" w:line="300"/>
        <w:ind w:left="1320" w:hanging="0"/>
        <w:jc w:val="left"/>
      </w:pPr>
      <w:r>
        <w:rPr>
          <w:rFonts w:ascii="Times New Roman" w:cs="Times New Roman" w:eastAsia="Times New Roman" w:hAnsi="Times New Roman"/>
          <w:sz w:val="24"/>
          <w:szCs w:val="24"/>
        </w:rPr>
        <w:t xml:space="preserve">ii. Recompute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if it exceeds the stored value, reinsert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and continue.</w:t>
      </w:r>
    </w:p>
    <w:p>
      <w:pPr>
        <w:keepNext w:val="false"/>
        <w:spacing w:after="0" w:line="300"/>
        <w:ind w:left="1320" w:hanging="0"/>
        <w:jc w:val="left"/>
      </w:pPr>
      <w:r>
        <w:rPr>
          <w:rFonts w:ascii="Times New Roman" w:cs="Times New Roman" w:eastAsia="Times New Roman" w:hAnsi="Times New Roman"/>
          <w:sz w:val="24"/>
          <w:szCs w:val="24"/>
        </w:rPr>
        <w:t xml:space="preserve">iii. If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end the pass.</w:t>
      </w:r>
    </w:p>
    <w:p>
      <w:pPr>
        <w:keepNext w:val="false"/>
        <w:spacing w:after="0" w:line="300"/>
        <w:ind w:left="1320" w:hanging="0"/>
        <w:jc w:val="left"/>
      </w:pPr>
      <w:r>
        <w:rPr>
          <w:rFonts w:ascii="Times New Roman" w:cs="Times New Roman" w:eastAsia="Times New Roman" w:hAnsi="Times New Roman"/>
          <w:sz w:val="24"/>
          <w:szCs w:val="24"/>
        </w:rPr>
        <w:t xml:space="preserve">iv. If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flag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as rejected and continue.</w:t>
      </w:r>
    </w:p>
    <w:p>
      <w:pPr>
        <w:keepNext w:val="false"/>
        <w:spacing w:after="0" w:line="300"/>
        <w:ind w:left="1320" w:hanging="0"/>
        <w:jc w:val="left"/>
      </w:pPr>
      <w:r>
        <w:rPr>
          <w:rFonts w:ascii="Times New Roman" w:cs="Times New Roman" w:eastAsia="Times New Roman" w:hAnsi="Times New Roman"/>
          <w:sz w:val="24"/>
          <w:szCs w:val="24"/>
        </w:rPr>
        <w:t xml:space="preserve">v. Otherwise, add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update the accumulators and local-window arrays, and insert each 8-connected neighbor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is not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not rejected, and has not entered the SSL in this pass.</w:t>
      </w:r>
    </w:p>
    <w:p>
      <w:pPr>
        <w:keepNext w:val="false"/>
        <w:spacing w:after="0" w:line="300"/>
        <w:ind w:left="840" w:hanging="0"/>
        <w:jc w:val="left"/>
      </w:pPr>
      <w:r>
        <w:rPr>
          <w:rFonts w:ascii="Times New Roman" w:cs="Times New Roman" w:eastAsia="Times New Roman" w:hAnsi="Times New Roman"/>
          <w:sz w:val="24"/>
          <w:szCs w:val="24"/>
        </w:rPr>
        <w:t xml:space="preserve">e. If no pixel was added during the pass, exit the loop.</w:t>
      </w:r>
    </w:p>
    <w:p>
      <w:pPr>
        <w:keepNext w:val="false"/>
        <w:spacing w:after="0" w:line="300"/>
        <w:ind w:left="360" w:hanging="0"/>
        <w:jc w:val="left"/>
      </w:pPr>
      <w:r>
        <w:rPr>
          <w:rFonts w:ascii="Times New Roman" w:cs="Times New Roman" w:eastAsia="Times New Roman" w:hAnsi="Times New Roman"/>
          <w:sz w:val="24"/>
          <w:szCs w:val="24"/>
        </w:rPr>
        <w:t xml:space="preserve">3. Output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p>
    <w:p>
      <w:pPr>
        <w:spacing w:after="240" w:line="300"/>
      </w:pPr>
      <w:r>
        <w:rPr>
          <w:rFonts w:ascii="Times New Roman" w:cs="Times New Roman" w:eastAsia="Times New Roman" w:hAnsi="Times New Roman"/>
          <w:b/>
          <w:bCs/>
          <w:sz w:val="24"/>
          <w:szCs w:val="24"/>
        </w:rPr>
        <w:t xml:space="preserve">END</w:t>
      </w:r>
    </w:p>
    <w:p>
      <w:pPr>
        <w:keepNext/>
        <w:spacing w:after="0" w:before="120" w:line="360"/>
        <w:ind w:left="720"/>
        <w:jc w:val="left"/>
      </w:pPr>
      <w:r>
        <w:rPr>
          <w:rFonts w:ascii="Times New Roman" w:cs="Times New Roman" w:eastAsia="Times New Roman" w:hAnsi="Times New Roman"/>
          <w:b/>
          <w:bCs/>
          <w:i/>
          <w:iCs/>
          <w:color w:val="000000"/>
          <w:sz w:val="24"/>
          <w:szCs w:val="24"/>
        </w:rPr>
        <w:t xml:space="preserve">Post-processing</w:t>
      </w:r>
    </w:p>
    <w:p>
      <w:pPr>
        <w:spacing w:after="0" w:before="0" w:line="360"/>
        <w:ind w:left="0" w:firstLine="720"/>
        <w:jc w:val="both"/>
      </w:pPr>
      <w:r>
        <w:rPr>
          <w:rFonts w:ascii="Times New Roman" w:cs="Times New Roman" w:eastAsia="Times New Roman" w:hAnsi="Times New Roman"/>
          <w:sz w:val="24"/>
          <w:szCs w:val="24"/>
        </w:rPr>
        <w:t xml:space="preserve">The grown region is then cleaned (Soille, 2003). Hole filling seals enclosed cavities, such as the necrotic core of a ring-enhancing tumor, which growth cannot enter because it is darker than the enhancing rim. An opening with a disk of radius 1 pixel removes thin protrusions and one-pixel bridges through which the region may have reached adjacent tissue, unless it would empty the region. Finally, only the connected components that contain the seed are retained to give the final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w:t>
      </w:r>
    </w:p>
    <w:p>
      <w:pPr>
        <w:pStyle w:val="Heading4"/>
        <w:keepNext/>
        <w:spacing w:after="0" w:before="120" w:line="360"/>
        <w:ind w:left="720"/>
        <w:jc w:val="left"/>
      </w:pPr>
      <w:r>
        <w:rPr>
          <w:rFonts w:ascii="Times New Roman" w:cs="Times New Roman" w:eastAsia="Times New Roman" w:hAnsi="Times New Roman"/>
          <w:b/>
          <w:bCs/>
          <w:i w:val="false"/>
          <w:iCs w:val="false"/>
          <w:color w:val="000000"/>
          <w:sz w:val="24"/>
          <w:szCs w:val="24"/>
        </w:rPr>
        <w:t xml:space="preserve">Tools</w:t>
      </w:r>
    </w:p>
    <w:p>
      <w:pPr>
        <w:keepNext w:val="false"/>
        <w:spacing w:after="0" w:before="0" w:line="360"/>
        <w:ind w:left="720" w:firstLine="720"/>
        <w:jc w:val="both"/>
      </w:pPr>
      <w:r>
        <w:rPr>
          <w:rFonts w:ascii="Times New Roman" w:cs="Times New Roman" w:eastAsia="Times New Roman" w:hAnsi="Times New Roman"/>
          <w:sz w:val="24"/>
          <w:szCs w:val="24"/>
        </w:rPr>
        <w:t xml:space="preserve">The SSL is implemented with Python's standard-library binary heap, </w:t>
      </w:r>
      <w:r>
        <w:rPr>
          <w:rFonts w:ascii="Courier New" w:cs="Courier New" w:eastAsia="Courier New" w:hAnsi="Courier New"/>
          <w:sz w:val="20"/>
          <w:szCs w:val="20"/>
        </w:rPr>
        <w:t xml:space="preserve">heapq</w:t>
      </w:r>
      <w:r>
        <w:rPr>
          <w:rFonts w:ascii="Times New Roman" w:cs="Times New Roman" w:eastAsia="Times New Roman" w:hAnsi="Times New Roman"/>
          <w:sz w:val="24"/>
          <w:szCs w:val="24"/>
        </w:rPr>
        <w:t xml:space="preserve">, which retrieves the candidate with the smallest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 in logarithmic time (Python Software Foundation, n.d.). The Welford accumulators and the acceptance tests are implemented directly in Python (Welford, 1962). Hole filling and connected-component labeling use SciPy's ndimage module (Virtanen et al., 2020), and the opening uses scikit-image (van der Walt et al., 2014). The interface records, for every pass,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the number of pixels added, and the reason the pass stopped.</w:t>
      </w:r>
    </w:p>
    <w:p>
      <w:pPr>
        <w:pStyle w:val="Heading2"/>
        <w:keepNext/>
        <w:pageBreakBefore/>
        <w:spacing w:after="0" w:before="240" w:line="360"/>
        <w:jc w:val="left"/>
      </w:pPr>
      <w:r>
        <w:rPr>
          <w:rFonts w:ascii="Times New Roman" w:cs="Times New Roman" w:eastAsia="Times New Roman" w:hAnsi="Times New Roman"/>
          <w:b/>
          <w:bCs/>
          <w:i w:val="false"/>
          <w:iCs w:val="false"/>
          <w:color w:val="000000"/>
          <w:sz w:val="24"/>
          <w:szCs w:val="24"/>
        </w:rPr>
        <w:t xml:space="preserve">References Cited in This Chapter</w:t>
      </w:r>
    </w:p>
    <w:p>
      <w:pPr>
        <w:keepNext w:val="false"/>
        <w:spacing w:after="0" w:before="0" w:line="360"/>
        <w:ind w:left="720" w:firstLine="0"/>
        <w:jc w:val="both"/>
      </w:pPr>
      <w:r>
        <w:rPr>
          <w:rFonts w:ascii="Times New Roman" w:cs="Times New Roman" w:eastAsia="Times New Roman" w:hAnsi="Times New Roman"/>
          <w:sz w:val="24"/>
          <w:szCs w:val="24"/>
        </w:rPr>
        <w:t xml:space="preserve">The following works are cited in this revision and should be merged into the thesis reference list if they are not already included.</w:t>
      </w:r>
    </w:p>
    <w:p>
      <w:pPr>
        <w:spacing w:after="0" w:line="360"/>
        <w:ind w:left="720" w:hanging="720"/>
      </w:pPr>
      <w:r>
        <w:rPr>
          <w:rFonts w:ascii="Times New Roman" w:cs="Times New Roman" w:eastAsia="Times New Roman" w:hAnsi="Times New Roman"/>
          <w:sz w:val="24"/>
          <w:szCs w:val="24"/>
        </w:rPr>
        <w:t xml:space="preserve">Cochran, W. G. (1977). </w:t>
      </w:r>
      <w:r>
        <w:rPr>
          <w:rFonts w:ascii="Times New Roman" w:cs="Times New Roman" w:eastAsia="Times New Roman" w:hAnsi="Times New Roman"/>
          <w:i/>
          <w:iCs/>
          <w:sz w:val="24"/>
          <w:szCs w:val="24"/>
        </w:rPr>
        <w:t xml:space="preserve">Sampling techniques</w:t>
      </w:r>
      <w:r>
        <w:rPr>
          <w:rFonts w:ascii="Times New Roman" w:cs="Times New Roman" w:eastAsia="Times New Roman" w:hAnsi="Times New Roman"/>
          <w:sz w:val="24"/>
          <w:szCs w:val="24"/>
        </w:rPr>
        <w:t xml:space="preserve"> (3rd ed.). John Wiley &amp; Sons.</w:t>
      </w:r>
    </w:p>
    <w:p>
      <w:pPr>
        <w:spacing w:after="0" w:line="360"/>
        <w:ind w:left="720" w:hanging="720"/>
      </w:pPr>
      <w:r>
        <w:rPr>
          <w:rFonts w:ascii="Times New Roman" w:cs="Times New Roman" w:eastAsia="Times New Roman" w:hAnsi="Times New Roman"/>
          <w:sz w:val="24"/>
          <w:szCs w:val="24"/>
        </w:rPr>
        <w:t xml:space="preserve">Cramér, H. (1946). </w:t>
      </w:r>
      <w:r>
        <w:rPr>
          <w:rFonts w:ascii="Times New Roman" w:cs="Times New Roman" w:eastAsia="Times New Roman" w:hAnsi="Times New Roman"/>
          <w:i/>
          <w:iCs/>
          <w:sz w:val="24"/>
          <w:szCs w:val="24"/>
        </w:rPr>
        <w:t xml:space="preserve">Mathematical methods of statistics</w:t>
      </w:r>
      <w:r>
        <w:rPr>
          <w:rFonts w:ascii="Times New Roman" w:cs="Times New Roman" w:eastAsia="Times New Roman" w:hAnsi="Times New Roman"/>
          <w:sz w:val="24"/>
          <w:szCs w:val="24"/>
        </w:rPr>
        <w:t xml:space="preserve">. Princeton University Press.</w:t>
      </w:r>
    </w:p>
    <w:p>
      <w:pPr>
        <w:spacing w:after="0" w:line="360"/>
        <w:ind w:left="720" w:hanging="720"/>
      </w:pPr>
      <w:r>
        <w:rPr>
          <w:rFonts w:ascii="Times New Roman" w:cs="Times New Roman" w:eastAsia="Times New Roman" w:hAnsi="Times New Roman"/>
          <w:sz w:val="24"/>
          <w:szCs w:val="24"/>
        </w:rPr>
        <w:t xml:space="preserve">Donoho, D. L., &amp; Johnstone, I. M. (1994). Ideal spatial adaptation by wavelet shrinkage. </w:t>
      </w:r>
      <w:r>
        <w:rPr>
          <w:rFonts w:ascii="Times New Roman" w:cs="Times New Roman" w:eastAsia="Times New Roman" w:hAnsi="Times New Roman"/>
          <w:i/>
          <w:iCs/>
          <w:sz w:val="24"/>
          <w:szCs w:val="24"/>
        </w:rPr>
        <w:t xml:space="preserve">Biometrika, 81</w:t>
      </w:r>
      <w:r>
        <w:rPr>
          <w:rFonts w:ascii="Times New Roman" w:cs="Times New Roman" w:eastAsia="Times New Roman" w:hAnsi="Times New Roman"/>
          <w:sz w:val="24"/>
          <w:szCs w:val="24"/>
        </w:rPr>
        <w:t xml:space="preserve">(3), 425–455. https://doi.org/10.1093/biomet/81.3.425</w:t>
      </w:r>
    </w:p>
    <w:p>
      <w:pPr>
        <w:spacing w:after="0" w:line="360"/>
        <w:ind w:left="720" w:hanging="720"/>
      </w:pPr>
      <w:r>
        <w:rPr>
          <w:rFonts w:ascii="Times New Roman" w:cs="Times New Roman" w:eastAsia="Times New Roman" w:hAnsi="Times New Roman"/>
          <w:sz w:val="24"/>
          <w:szCs w:val="24"/>
        </w:rPr>
        <w:t xml:space="preserve">Friedman, M. (1937). The use of ranks to avoid the assumption of normality implicit in the analysis of variance. </w:t>
      </w:r>
      <w:r>
        <w:rPr>
          <w:rFonts w:ascii="Times New Roman" w:cs="Times New Roman" w:eastAsia="Times New Roman" w:hAnsi="Times New Roman"/>
          <w:i/>
          <w:iCs/>
          <w:sz w:val="24"/>
          <w:szCs w:val="24"/>
        </w:rPr>
        <w:t xml:space="preserve">Journal of the American Statistical Association, 32</w:t>
      </w:r>
      <w:r>
        <w:rPr>
          <w:rFonts w:ascii="Times New Roman" w:cs="Times New Roman" w:eastAsia="Times New Roman" w:hAnsi="Times New Roman"/>
          <w:sz w:val="24"/>
          <w:szCs w:val="24"/>
        </w:rPr>
        <w:t xml:space="preserve">(200), 675–701. https://doi.org/10.1080/01621459.1937.10503522</w:t>
      </w:r>
    </w:p>
    <w:p>
      <w:pPr>
        <w:spacing w:after="0" w:line="360"/>
        <w:ind w:left="720" w:hanging="720"/>
      </w:pPr>
      <w:r>
        <w:rPr>
          <w:rFonts w:ascii="Times New Roman" w:cs="Times New Roman" w:eastAsia="Times New Roman" w:hAnsi="Times New Roman"/>
          <w:sz w:val="24"/>
          <w:szCs w:val="24"/>
        </w:rPr>
        <w:t xml:space="preserve">Fritz, C. O., Morris, P. E., &amp; Richler, J. J. (2012). Effect size estimates: Current use, calculations, and interpretation. </w:t>
      </w:r>
      <w:r>
        <w:rPr>
          <w:rFonts w:ascii="Times New Roman" w:cs="Times New Roman" w:eastAsia="Times New Roman" w:hAnsi="Times New Roman"/>
          <w:i/>
          <w:iCs/>
          <w:sz w:val="24"/>
          <w:szCs w:val="24"/>
        </w:rPr>
        <w:t xml:space="preserve">Journal of Experimental Psychology: General, 141</w:t>
      </w:r>
      <w:r>
        <w:rPr>
          <w:rFonts w:ascii="Times New Roman" w:cs="Times New Roman" w:eastAsia="Times New Roman" w:hAnsi="Times New Roman"/>
          <w:sz w:val="24"/>
          <w:szCs w:val="24"/>
        </w:rPr>
        <w:t xml:space="preserve">(1), 2–18. https://doi.org/10.1037/a0024338</w:t>
      </w:r>
    </w:p>
    <w:p>
      <w:pPr>
        <w:spacing w:after="0" w:line="360"/>
        <w:ind w:left="720" w:hanging="720"/>
      </w:pPr>
      <w:r>
        <w:rPr>
          <w:rFonts w:ascii="Times New Roman" w:cs="Times New Roman" w:eastAsia="Times New Roman" w:hAnsi="Times New Roman"/>
          <w:sz w:val="24"/>
          <w:szCs w:val="24"/>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cs="Times New Roman" w:eastAsia="Times New Roman" w:hAnsi="Times New Roman"/>
          <w:i/>
          <w:iCs/>
          <w:sz w:val="24"/>
          <w:szCs w:val="24"/>
        </w:rPr>
        <w:t xml:space="preserve">Nature, 585</w:t>
      </w:r>
      <w:r>
        <w:rPr>
          <w:rFonts w:ascii="Times New Roman" w:cs="Times New Roman" w:eastAsia="Times New Roman" w:hAnsi="Times New Roman"/>
          <w:sz w:val="24"/>
          <w:szCs w:val="24"/>
        </w:rPr>
        <w:t xml:space="preserve">(7825), 357–362. https://doi.org/10.1038/s41586-020-2649-2</w:t>
      </w:r>
    </w:p>
    <w:p>
      <w:pPr>
        <w:spacing w:after="0" w:line="36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sz w:val="24"/>
          <w:szCs w:val="24"/>
        </w:rPr>
        <w:t xml:space="preserve">(2), 65–70.</w:t>
      </w:r>
    </w:p>
    <w:p>
      <w:pPr>
        <w:spacing w:after="0" w:line="360"/>
        <w:ind w:left="720" w:hanging="720"/>
      </w:pPr>
      <w:r>
        <w:rPr>
          <w:rFonts w:ascii="Times New Roman" w:cs="Times New Roman" w:eastAsia="Times New Roman" w:hAnsi="Times New Roman"/>
          <w:sz w:val="24"/>
          <w:szCs w:val="24"/>
        </w:rPr>
        <w:t xml:space="preserve">Huttenlocher, D. P., Klanderman, G. A., &amp; Rucklidge, W. J. (1993). Comparing images using the Hausdorff distance. </w:t>
      </w:r>
      <w:r>
        <w:rPr>
          <w:rFonts w:ascii="Times New Roman" w:cs="Times New Roman" w:eastAsia="Times New Roman" w:hAnsi="Times New Roman"/>
          <w:i/>
          <w:iCs/>
          <w:sz w:val="24"/>
          <w:szCs w:val="24"/>
        </w:rPr>
        <w:t xml:space="preserve">IEEE Transactions on Pattern Analysis and Machine Intelligence, 15</w:t>
      </w:r>
      <w:r>
        <w:rPr>
          <w:rFonts w:ascii="Times New Roman" w:cs="Times New Roman" w:eastAsia="Times New Roman" w:hAnsi="Times New Roman"/>
          <w:sz w:val="24"/>
          <w:szCs w:val="24"/>
        </w:rPr>
        <w:t xml:space="preserve">(9), 850–863. https://doi.org/10.1109/34.232073</w:t>
      </w:r>
    </w:p>
    <w:p>
      <w:pPr>
        <w:spacing w:after="0" w:line="360"/>
        <w:ind w:left="720" w:hanging="720"/>
      </w:pPr>
      <w:r>
        <w:rPr>
          <w:rFonts w:ascii="Times New Roman" w:cs="Times New Roman" w:eastAsia="Times New Roman" w:hAnsi="Times New Roman"/>
          <w:sz w:val="24"/>
          <w:szCs w:val="24"/>
        </w:rPr>
        <w:t xml:space="preserve">Kendall, M. G., &amp; Babington Smith, B. (1939). The problem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rankings. </w:t>
      </w:r>
      <w:r>
        <w:rPr>
          <w:rFonts w:ascii="Times New Roman" w:cs="Times New Roman" w:eastAsia="Times New Roman" w:hAnsi="Times New Roman"/>
          <w:i/>
          <w:iCs/>
          <w:sz w:val="24"/>
          <w:szCs w:val="24"/>
        </w:rPr>
        <w:t xml:space="preserve">The Annals of Mathematical Statistics, 10</w:t>
      </w:r>
      <w:r>
        <w:rPr>
          <w:rFonts w:ascii="Times New Roman" w:cs="Times New Roman" w:eastAsia="Times New Roman" w:hAnsi="Times New Roman"/>
          <w:sz w:val="24"/>
          <w:szCs w:val="24"/>
        </w:rPr>
        <w:t xml:space="preserve">(3), 275–287. https://doi.org/10.1214/aoms/1177732186</w:t>
      </w:r>
    </w:p>
    <w:p>
      <w:pPr>
        <w:spacing w:after="0" w:line="360"/>
        <w:ind w:left="720" w:hanging="720"/>
      </w:pPr>
      <w:r>
        <w:rPr>
          <w:rFonts w:ascii="Times New Roman" w:cs="Times New Roman" w:eastAsia="Times New Roman" w:hAnsi="Times New Roman"/>
          <w:sz w:val="24"/>
          <w:szCs w:val="24"/>
        </w:rPr>
        <w:t xml:space="preserve">Kerby, D. S. (2014). The simple difference formula: An approach to teaching nonparametric correlation. </w:t>
      </w:r>
      <w:r>
        <w:rPr>
          <w:rFonts w:ascii="Times New Roman" w:cs="Times New Roman" w:eastAsia="Times New Roman" w:hAnsi="Times New Roman"/>
          <w:i/>
          <w:iCs/>
          <w:sz w:val="24"/>
          <w:szCs w:val="24"/>
        </w:rPr>
        <w:t xml:space="preserve">Comprehensive Psychology, 3</w:t>
      </w:r>
      <w:r>
        <w:rPr>
          <w:rFonts w:ascii="Times New Roman" w:cs="Times New Roman" w:eastAsia="Times New Roman" w:hAnsi="Times New Roman"/>
          <w:sz w:val="24"/>
          <w:szCs w:val="24"/>
        </w:rPr>
        <w:t xml:space="preserve">, Article 11.IT.3.1. https://doi.org/10.2466/11.IT.3.1</w:t>
      </w:r>
    </w:p>
    <w:p>
      <w:pPr>
        <w:spacing w:after="0" w:line="360"/>
        <w:ind w:left="720" w:hanging="720"/>
      </w:pPr>
      <w:r>
        <w:rPr>
          <w:rFonts w:ascii="Times New Roman" w:cs="Times New Roman" w:eastAsia="Times New Roman" w:hAnsi="Times New Roman"/>
          <w:sz w:val="24"/>
          <w:szCs w:val="24"/>
        </w:rPr>
        <w:t xml:space="preserve">Kruskal, W. H., &amp; Wallis, W. A. (1952). Use of ranks in one-criterion variance analysis. </w:t>
      </w:r>
      <w:r>
        <w:rPr>
          <w:rFonts w:ascii="Times New Roman" w:cs="Times New Roman" w:eastAsia="Times New Roman" w:hAnsi="Times New Roman"/>
          <w:i/>
          <w:iCs/>
          <w:sz w:val="24"/>
          <w:szCs w:val="24"/>
        </w:rPr>
        <w:t xml:space="preserve">Journal of the American Statistical Association, 47</w:t>
      </w:r>
      <w:r>
        <w:rPr>
          <w:rFonts w:ascii="Times New Roman" w:cs="Times New Roman" w:eastAsia="Times New Roman" w:hAnsi="Times New Roman"/>
          <w:sz w:val="24"/>
          <w:szCs w:val="24"/>
        </w:rPr>
        <w:t xml:space="preserve">(260), 583–621. https://doi.org/10.1080/01621459.1952.10483441</w:t>
      </w:r>
    </w:p>
    <w:p>
      <w:pPr>
        <w:spacing w:after="0" w:line="360"/>
        <w:ind w:left="720" w:hanging="720"/>
      </w:pPr>
      <w:r>
        <w:rPr>
          <w:rFonts w:ascii="Times New Roman" w:cs="Times New Roman" w:eastAsia="Times New Roman" w:hAnsi="Times New Roman"/>
          <w:sz w:val="24"/>
          <w:szCs w:val="24"/>
        </w:rPr>
        <w:t xml:space="preserve">Kwan, R. K.-S., Evans, A. C., &amp; Pike, G. B. (1999). MRI simulation-based evaluation of image-processing and classification methods. </w:t>
      </w:r>
      <w:r>
        <w:rPr>
          <w:rFonts w:ascii="Times New Roman" w:cs="Times New Roman" w:eastAsia="Times New Roman" w:hAnsi="Times New Roman"/>
          <w:i/>
          <w:iCs/>
          <w:sz w:val="24"/>
          <w:szCs w:val="24"/>
        </w:rPr>
        <w:t xml:space="preserve">IEEE Transactions on Medical Imaging, 18</w:t>
      </w:r>
      <w:r>
        <w:rPr>
          <w:rFonts w:ascii="Times New Roman" w:cs="Times New Roman" w:eastAsia="Times New Roman" w:hAnsi="Times New Roman"/>
          <w:sz w:val="24"/>
          <w:szCs w:val="24"/>
        </w:rPr>
        <w:t xml:space="preserve">(11), 1085–1097. https://doi.org/10.1109/42.816072</w:t>
      </w:r>
    </w:p>
    <w:p>
      <w:pPr>
        <w:spacing w:after="0" w:line="360"/>
        <w:ind w:left="720" w:hanging="720"/>
      </w:pPr>
      <w:r>
        <w:rPr>
          <w:rFonts w:ascii="Times New Roman" w:cs="Times New Roman" w:eastAsia="Times New Roman" w:hAnsi="Times New Roman"/>
          <w:sz w:val="24"/>
          <w:szCs w:val="24"/>
        </w:rPr>
        <w:t xml:space="preserve">Leys, C., Ley, C., Klein, O., Bernard, P., &amp; Licata, L. (2013). Detecting outliers: Do not use standard deviation around the mean, use absolute deviation around the median. </w:t>
      </w:r>
      <w:r>
        <w:rPr>
          <w:rFonts w:ascii="Times New Roman" w:cs="Times New Roman" w:eastAsia="Times New Roman" w:hAnsi="Times New Roman"/>
          <w:i/>
          <w:iCs/>
          <w:sz w:val="24"/>
          <w:szCs w:val="24"/>
        </w:rPr>
        <w:t xml:space="preserve">Journal of Experimental Social Psychology, 49</w:t>
      </w:r>
      <w:r>
        <w:rPr>
          <w:rFonts w:ascii="Times New Roman" w:cs="Times New Roman" w:eastAsia="Times New Roman" w:hAnsi="Times New Roman"/>
          <w:sz w:val="24"/>
          <w:szCs w:val="24"/>
        </w:rPr>
        <w:t xml:space="preserve">(4), 764–766. https://doi.org/10.1016/j.jesp.2013.03.013</w:t>
      </w:r>
    </w:p>
    <w:p>
      <w:pPr>
        <w:spacing w:after="0" w:line="360"/>
        <w:ind w:left="720" w:hanging="720"/>
      </w:pPr>
      <w:r>
        <w:rPr>
          <w:rFonts w:ascii="Times New Roman" w:cs="Times New Roman" w:eastAsia="Times New Roman" w:hAnsi="Times New Roman"/>
          <w:sz w:val="24"/>
          <w:szCs w:val="24"/>
        </w:rPr>
        <w:t xml:space="preserve">Mann, H. B., &amp; Whitney, D. R. (1947). On a test of whether one of two random variables is stochastically larger than the other. </w:t>
      </w:r>
      <w:r>
        <w:rPr>
          <w:rFonts w:ascii="Times New Roman" w:cs="Times New Roman" w:eastAsia="Times New Roman" w:hAnsi="Times New Roman"/>
          <w:i/>
          <w:iCs/>
          <w:sz w:val="24"/>
          <w:szCs w:val="24"/>
        </w:rPr>
        <w:t xml:space="preserve">The Annals of Mathematical Statistics, 18</w:t>
      </w:r>
      <w:r>
        <w:rPr>
          <w:rFonts w:ascii="Times New Roman" w:cs="Times New Roman" w:eastAsia="Times New Roman" w:hAnsi="Times New Roman"/>
          <w:sz w:val="24"/>
          <w:szCs w:val="24"/>
        </w:rPr>
        <w:t xml:space="preserve">(1), 50–60. https://doi.org/10.1214/aoms/1177730491</w:t>
      </w:r>
    </w:p>
    <w:p>
      <w:pPr>
        <w:spacing w:after="0" w:line="360"/>
        <w:ind w:left="720" w:hanging="720"/>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0" w:line="360"/>
        <w:ind w:left="720" w:hanging="720"/>
      </w:pPr>
      <w:r>
        <w:rPr>
          <w:rFonts w:ascii="Times New Roman" w:cs="Times New Roman" w:eastAsia="Times New Roman" w:hAnsi="Times New Roman"/>
          <w:sz w:val="24"/>
          <w:szCs w:val="24"/>
        </w:rPr>
        <w:t xml:space="preserve">Rousseeuw, P. J., &amp; Croux, C. (1993). Alternatives to the median absolute deviation. </w:t>
      </w:r>
      <w:r>
        <w:rPr>
          <w:rFonts w:ascii="Times New Roman" w:cs="Times New Roman" w:eastAsia="Times New Roman" w:hAnsi="Times New Roman"/>
          <w:i/>
          <w:iCs/>
          <w:sz w:val="24"/>
          <w:szCs w:val="24"/>
        </w:rPr>
        <w:t xml:space="preserve">Journal of the American Statistical Association, 88</w:t>
      </w:r>
      <w:r>
        <w:rPr>
          <w:rFonts w:ascii="Times New Roman" w:cs="Times New Roman" w:eastAsia="Times New Roman" w:hAnsi="Times New Roman"/>
          <w:sz w:val="24"/>
          <w:szCs w:val="24"/>
        </w:rPr>
        <w:t xml:space="preserve">(424), 1273–1283. https://doi.org/10.1080/01621459.1993.10476408</w:t>
      </w:r>
    </w:p>
    <w:p>
      <w:pPr>
        <w:spacing w:after="0" w:line="360"/>
        <w:ind w:left="720" w:hanging="720"/>
      </w:pPr>
      <w:r>
        <w:rPr>
          <w:rFonts w:ascii="Times New Roman" w:cs="Times New Roman" w:eastAsia="Times New Roman" w:hAnsi="Times New Roman"/>
          <w:sz w:val="24"/>
          <w:szCs w:val="24"/>
        </w:rPr>
        <w:t xml:space="preserve">Shapiro, S. S., &amp; Wilk, M. B. (1965). An analysis of variance test for normality (complete samples). </w:t>
      </w:r>
      <w:r>
        <w:rPr>
          <w:rFonts w:ascii="Times New Roman" w:cs="Times New Roman" w:eastAsia="Times New Roman" w:hAnsi="Times New Roman"/>
          <w:i/>
          <w:iCs/>
          <w:sz w:val="24"/>
          <w:szCs w:val="24"/>
        </w:rPr>
        <w:t xml:space="preserve">Biometrika, 52</w:t>
      </w:r>
      <w:r>
        <w:rPr>
          <w:rFonts w:ascii="Times New Roman" w:cs="Times New Roman" w:eastAsia="Times New Roman" w:hAnsi="Times New Roman"/>
          <w:sz w:val="24"/>
          <w:szCs w:val="24"/>
        </w:rPr>
        <w:t xml:space="preserve">(3–4), 591–611. https://doi.org/10.1093/biomet/52.3-4.591</w:t>
      </w:r>
    </w:p>
    <w:p>
      <w:pPr>
        <w:spacing w:after="0" w:line="360"/>
        <w:ind w:left="720" w:hanging="720"/>
      </w:pPr>
      <w:r>
        <w:rPr>
          <w:rFonts w:ascii="Times New Roman" w:cs="Times New Roman" w:eastAsia="Times New Roman" w:hAnsi="Times New Roman"/>
          <w:sz w:val="24"/>
          <w:szCs w:val="24"/>
        </w:rPr>
        <w:t xml:space="preserve">Tomczak, M., &amp; Tomczak, E. (2014). The need to report effect size estimates revisited: An overview of some recommended measures of effect size. </w:t>
      </w:r>
      <w:r>
        <w:rPr>
          <w:rFonts w:ascii="Times New Roman" w:cs="Times New Roman" w:eastAsia="Times New Roman" w:hAnsi="Times New Roman"/>
          <w:i/>
          <w:iCs/>
          <w:sz w:val="24"/>
          <w:szCs w:val="24"/>
        </w:rPr>
        <w:t xml:space="preserve">Trends in Sport Sciences, 21</w:t>
      </w:r>
      <w:r>
        <w:rPr>
          <w:rFonts w:ascii="Times New Roman" w:cs="Times New Roman" w:eastAsia="Times New Roman" w:hAnsi="Times New Roman"/>
          <w:sz w:val="24"/>
          <w:szCs w:val="24"/>
        </w:rPr>
        <w:t xml:space="preserve">(1), 19–25.</w:t>
      </w:r>
    </w:p>
    <w:p>
      <w:pPr>
        <w:spacing w:after="0" w:line="360"/>
        <w:ind w:left="720" w:hanging="720"/>
      </w:pPr>
      <w:r>
        <w:rPr>
          <w:rFonts w:ascii="Times New Roman" w:cs="Times New Roman" w:eastAsia="Times New Roman" w:hAnsi="Times New Roman"/>
          <w:sz w:val="24"/>
          <w:szCs w:val="24"/>
        </w:rPr>
        <w:t xml:space="preserve">van der Walt, S., Schönberger, J. L., Nunez-Iglesias, J., Boulogne, F., Warner, J. D., Yager, N., Gouillart, E., Yu, T., &amp; the scikit-image contributors. (2014). scikit-image: Image processing in Python. </w:t>
      </w:r>
      <w:r>
        <w:rPr>
          <w:rFonts w:ascii="Times New Roman" w:cs="Times New Roman" w:eastAsia="Times New Roman" w:hAnsi="Times New Roman"/>
          <w:i/>
          <w:iCs/>
          <w:sz w:val="24"/>
          <w:szCs w:val="24"/>
        </w:rPr>
        <w:t xml:space="preserve">PeerJ, 2</w:t>
      </w:r>
      <w:r>
        <w:rPr>
          <w:rFonts w:ascii="Times New Roman" w:cs="Times New Roman" w:eastAsia="Times New Roman" w:hAnsi="Times New Roman"/>
          <w:sz w:val="24"/>
          <w:szCs w:val="24"/>
        </w:rPr>
        <w:t xml:space="preserve">, Article e453. https://doi.org/10.7717/peerj.453</w:t>
      </w:r>
    </w:p>
    <w:p>
      <w:pPr>
        <w:spacing w:after="0" w:line="360"/>
        <w:ind w:left="720" w:hanging="720"/>
      </w:pPr>
      <w:r>
        <w:rPr>
          <w:rFonts w:ascii="Times New Roman" w:cs="Times New Roman" w:eastAsia="Times New Roman" w:hAnsi="Times New Roman"/>
          <w:sz w:val="24"/>
          <w:szCs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cs="Times New Roman" w:eastAsia="Times New Roman" w:hAnsi="Times New Roman"/>
          <w:i/>
          <w:iCs/>
          <w:sz w:val="24"/>
          <w:szCs w:val="24"/>
        </w:rPr>
        <w:t xml:space="preserve">Nature Methods, 17</w:t>
      </w:r>
      <w:r>
        <w:rPr>
          <w:rFonts w:ascii="Times New Roman" w:cs="Times New Roman" w:eastAsia="Times New Roman" w:hAnsi="Times New Roman"/>
          <w:sz w:val="24"/>
          <w:szCs w:val="24"/>
        </w:rPr>
        <w:t xml:space="preserve">(3), 261–272. https://doi.org/10.1038/s41592-019-0686-2</w:t>
      </w:r>
    </w:p>
    <w:p>
      <w:pPr>
        <w:spacing w:after="0" w:line="360"/>
        <w:ind w:left="720" w:hanging="720"/>
      </w:pPr>
      <w:r>
        <w:rPr>
          <w:rFonts w:ascii="Times New Roman" w:cs="Times New Roman" w:eastAsia="Times New Roman" w:hAnsi="Times New Roman"/>
          <w:sz w:val="24"/>
          <w:szCs w:val="24"/>
        </w:rPr>
        <w:t xml:space="preserve">Welford, B. P. (1962). Note on a method for calculating corrected sums of squares and products. </w:t>
      </w:r>
      <w:r>
        <w:rPr>
          <w:rFonts w:ascii="Times New Roman" w:cs="Times New Roman" w:eastAsia="Times New Roman" w:hAnsi="Times New Roman"/>
          <w:i/>
          <w:iCs/>
          <w:sz w:val="24"/>
          <w:szCs w:val="24"/>
        </w:rPr>
        <w:t xml:space="preserve">Technometrics, 4</w:t>
      </w:r>
      <w:r>
        <w:rPr>
          <w:rFonts w:ascii="Times New Roman" w:cs="Times New Roman" w:eastAsia="Times New Roman" w:hAnsi="Times New Roman"/>
          <w:sz w:val="24"/>
          <w:szCs w:val="24"/>
        </w:rPr>
        <w:t xml:space="preserve">(3), 419–420. https://doi.org/10.1080/00401706.1962.10490022</w:t>
      </w:r>
    </w:p>
    <w:p>
      <w:pPr>
        <w:spacing w:after="0" w:line="360"/>
        <w:ind w:left="720" w:hanging="720"/>
      </w:pPr>
      <w:r>
        <w:rPr>
          <w:rFonts w:ascii="Times New Roman" w:cs="Times New Roman" w:eastAsia="Times New Roman" w:hAnsi="Times New Roman"/>
          <w:sz w:val="24"/>
          <w:szCs w:val="24"/>
        </w:rPr>
        <w:t xml:space="preserve">Wilcoxon, F. (1945). Individual comparisons by ranking methods. </w:t>
      </w:r>
      <w:r>
        <w:rPr>
          <w:rFonts w:ascii="Times New Roman" w:cs="Times New Roman" w:eastAsia="Times New Roman" w:hAnsi="Times New Roman"/>
          <w:i/>
          <w:iCs/>
          <w:sz w:val="24"/>
          <w:szCs w:val="24"/>
        </w:rPr>
        <w:t xml:space="preserve">Biometrics Bulletin, 1</w:t>
      </w:r>
      <w:r>
        <w:rPr>
          <w:rFonts w:ascii="Times New Roman" w:cs="Times New Roman" w:eastAsia="Times New Roman" w:hAnsi="Times New Roman"/>
          <w:sz w:val="24"/>
          <w:szCs w:val="24"/>
        </w:rPr>
        <w:t xml:space="preserve">(6), 80–83. https://doi.org/10.2307/3001968</w:t>
      </w:r>
    </w:p>
    <w:p>
      <w:pPr>
        <w:spacing w:after="0" w:line="360"/>
        <w:ind w:left="720" w:hanging="720"/>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Heading4">
    <w:name w:val="Heading 4"/>
    <w:basedOn w:val="Normal"/>
    <w:next w:val="Normal"/>
    <w:qFormat/>
    <w:pPr>
      <w:outlineLvl w:val="3"/>
    </w:pPr>
    <w:rPr>
      <w:rFonts w:ascii="Times New Roman" w:cs="Times New Roman" w:eastAsia="Times New Roman" w:hAnsi="Times New Roman"/>
      <w:b/>
      <w:bCs/>
      <w:i w:val="false"/>
      <w:iCs w:val="false"/>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4ccd57d63da1feffdadb45f716358ef80f11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cp:lastModifiedBy>Un-named</cp:lastModifiedBy>
  <cp:revision>1</cp:revision>
  <dcterms:created xsi:type="dcterms:W3CDTF">2026-10-08T08:31:56.295Z</dcterms:created>
  <dcterms:modified xsi:type="dcterms:W3CDTF">2026-10-08T08:31:56.296Z</dcterms:modified>
</cp:coreProperties>
</file>

<file path=docProps/custom.xml><?xml version="1.0" encoding="utf-8"?>
<Properties xmlns="http://schemas.openxmlformats.org/officeDocument/2006/custom-properties" xmlns:vt="http://schemas.openxmlformats.org/officeDocument/2006/docPropsVTypes"/>
</file>