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keepNext/>
        <w:spacing w:after="0" w:before="0" w:line="360"/>
        <w:jc w:val="center"/>
      </w:pPr>
      <w:r>
        <w:rPr>
          <w:rFonts w:ascii="Times New Roman" w:cs="Times New Roman" w:eastAsia="Times New Roman" w:hAnsi="Times New Roman"/>
          <w:b/>
          <w:bCs/>
          <w:color w:val="000000"/>
          <w:sz w:val="28"/>
          <w:szCs w:val="28"/>
        </w:rPr>
        <w:t xml:space="preserve">Chapter Five</w:t>
      </w:r>
    </w:p>
    <w:p>
      <w:pPr>
        <w:pStyle w:val="Heading1"/>
        <w:keepNext/>
        <w:spacing w:after="0" w:before="0" w:line="360"/>
        <w:jc w:val="center"/>
      </w:pPr>
      <w:r>
        <w:rPr>
          <w:rFonts w:ascii="Times New Roman" w:cs="Times New Roman" w:eastAsia="Times New Roman" w:hAnsi="Times New Roman"/>
          <w:b/>
          <w:bCs/>
          <w:color w:val="000000"/>
          <w:sz w:val="28"/>
          <w:szCs w:val="28"/>
        </w:rPr>
        <w:t xml:space="preserve">CONCLUSIONS AND RECOMMENDATIONS</w:t>
      </w:r>
    </w:p>
    <w:p>
      <w:pPr>
        <w:pStyle w:val="Heading2"/>
        <w:keepNext/>
        <w:spacing w:after="0" w:before="240" w:line="360"/>
        <w:jc w:val="left"/>
      </w:pPr>
      <w:r>
        <w:rPr>
          <w:rFonts w:ascii="Times New Roman" w:cs="Times New Roman" w:eastAsia="Times New Roman" w:hAnsi="Times New Roman"/>
          <w:b/>
          <w:bCs/>
          <w:color w:val="000000"/>
          <w:sz w:val="24"/>
          <w:szCs w:val="24"/>
        </w:rPr>
        <w:t xml:space="preserve">5.1 Conclusions</w:t>
      </w:r>
    </w:p>
    <w:p>
      <w:pPr>
        <w:spacing w:after="0" w:before="0" w:line="360"/>
        <w:ind w:firstLine="720"/>
        <w:jc w:val="both"/>
      </w:pPr>
      <w:r>
        <w:rPr>
          <w:rFonts w:ascii="Times New Roman" w:cs="Times New Roman" w:eastAsia="Times New Roman" w:hAnsi="Times New Roman"/>
          <w:i w:val="false"/>
          <w:iCs w:val="false"/>
          <w:sz w:val="24"/>
          <w:szCs w:val="24"/>
        </w:rPr>
        <w:t xml:space="preserve">This study enhanced the Seeded Region Growing algorithm of Adams and Bischof (1994) for the localization and delineation of brain tumors on two-dimensional contrast-enhanced T1-weighted MRI slices, with one enhancement for each specific objective, and evaluated it against the original algorithm on a stratified sample of 954 slices from the BRISC 2025 dataset. Based on the results in Chapter Four, the following conclusions are drawn.</w:t>
      </w:r>
    </w:p>
    <w:p>
      <w:pPr>
        <w:spacing w:after="0" w:before="0" w:line="360"/>
        <w:ind w:firstLine="720"/>
        <w:jc w:val="both"/>
      </w:pPr>
      <w:r>
        <w:rPr>
          <w:rFonts w:ascii="Times New Roman" w:cs="Times New Roman" w:eastAsia="Times New Roman" w:hAnsi="Times New Roman"/>
          <w:i w:val="false"/>
          <w:iCs w:val="false"/>
          <w:sz w:val="24"/>
          <w:szCs w:val="24"/>
        </w:rPr>
        <w:t xml:space="preserve">First, automatic seed selection through Multi-Level Otsu Thresholding with connected-component filtering removes the dependence of the result on the operator. When simulated operators clicked at different valid positions inside the same tumor, whether the enhanced algorithm succeeded depended on the click on half of the slices, whereas the automatic seed always produced the same result. The seed landed inside the tumor on 43.7% of slices, most reliably for meningioma (75.2%) and least for glioma (15.4%). Because seed placement decided the outcome, automatic seeding is dependable for well-circumscribed tumors, while the manual seeding option remains necessary for pituitary tumors and gliomas. Objective 1 is therefore met.</w:t>
      </w:r>
    </w:p>
    <w:p>
      <w:pPr>
        <w:spacing w:after="0" w:before="0" w:line="360"/>
        <w:ind w:firstLine="720"/>
        <w:jc w:val="both"/>
      </w:pPr>
      <w:r>
        <w:rPr>
          <w:rFonts w:ascii="Times New Roman" w:cs="Times New Roman" w:eastAsia="Times New Roman" w:hAnsi="Times New Roman"/>
          <w:i w:val="false"/>
          <w:iCs w:val="false"/>
          <w:sz w:val="24"/>
          <w:szCs w:val="24"/>
        </w:rPr>
        <w:t xml:space="preserve">Second, replacing the global-mean difference with a local difference measure computed in the log domain significantly reduced undersegmentation. With the seed placed inside the tumor, the enhanced algorithm recovered more than four times as much of the tumor as the original algorithm (mean recall of 0.416 against 0.092), and removing either the local comparison or the log transform significantly lowered recall, so both parts of the measure contribute. Its recall was also unaffected by a synthetic bias field. Objective 2 is therefore met.</w:t>
      </w:r>
    </w:p>
    <w:p>
      <w:pPr>
        <w:spacing w:after="0" w:before="0" w:line="360"/>
        <w:ind w:firstLine="720"/>
        <w:jc w:val="both"/>
      </w:pPr>
      <w:r>
        <w:rPr>
          <w:rFonts w:ascii="Times New Roman" w:cs="Times New Roman" w:eastAsia="Times New Roman" w:hAnsi="Times New Roman"/>
          <w:i w:val="false"/>
          <w:iCs w:val="false"/>
          <w:sz w:val="24"/>
          <w:szCs w:val="24"/>
        </w:rPr>
        <w:t xml:space="preserve">Third, the stopping criterion that adapts to the intensity variability of the growing region, supported with a global drift guard, significantly decreased boundary leakage. Without it, the region flooded the surrounding tissue on 97.5% of slices; with it, leakage fell to 14.4%, mean precision rose from 0.063 to 0.860, and no slice leaked with the criterion that had not also leaked without it. Objective 3 is therefore met.</w:t>
      </w:r>
    </w:p>
    <w:p>
      <w:pPr>
        <w:spacing w:after="0" w:before="0" w:line="360"/>
        <w:ind w:firstLine="720"/>
        <w:jc w:val="both"/>
      </w:pPr>
      <w:r>
        <w:rPr>
          <w:rFonts w:ascii="Times New Roman" w:cs="Times New Roman" w:eastAsia="Times New Roman" w:hAnsi="Times New Roman"/>
          <w:i w:val="false"/>
          <w:iCs w:val="false"/>
          <w:sz w:val="24"/>
          <w:szCs w:val="24"/>
        </w:rPr>
        <w:t xml:space="preserve">Taken together, the three enhancements are complementary: the local log-domain measure lets the region reach the tumor boundary, and the stopping criterion keeps it from crossing it. Combined, they more than doubled the mean Dice Similarity Coefficient of the original algorithm, from 0.148 to 0.319 under automatic seeding, and nearly halved the processing time per slice. Performance depended strongly on the tumor class. Meningioma was delineated reliably without any user input, whereas glioma, whose infiltrative margins offer no sharp intensity boundary, remains the practical limit of the method.</w:t>
      </w:r>
    </w:p>
    <w:p>
      <w:pPr>
        <w:spacing w:after="0" w:before="0" w:line="360"/>
        <w:ind w:firstLine="720"/>
        <w:jc w:val="both"/>
      </w:pPr>
      <w:r>
        <w:rPr>
          <w:rFonts w:ascii="Times New Roman" w:cs="Times New Roman" w:eastAsia="Times New Roman" w:hAnsi="Times New Roman"/>
          <w:i w:val="false"/>
          <w:iCs w:val="false"/>
          <w:sz w:val="24"/>
          <w:szCs w:val="24"/>
        </w:rPr>
        <w:t xml:space="preserve">These conclusions are subject to the following limitations. The system operates on two-dimensional slices and isolates the head rather than the brain. The planted and simulated operator seeds were placed in the tumor interior and represent careful operators, so seeds placed by real users may give lower scores. The synthetic bias field was a single smooth, linear field and does not reproduce every inhomogeneity found in clinical scans. Finally, the dataset contained only tumor-bearing slices, so the study evaluated the localization and delineation of a known tumor rather than the detection of its presence.</w:t>
      </w:r>
    </w:p>
    <w:p>
      <w:pPr>
        <w:pStyle w:val="Heading2"/>
        <w:keepNext/>
        <w:spacing w:after="0" w:before="240" w:line="360"/>
        <w:jc w:val="left"/>
      </w:pPr>
      <w:r>
        <w:rPr>
          <w:rFonts w:ascii="Times New Roman" w:cs="Times New Roman" w:eastAsia="Times New Roman" w:hAnsi="Times New Roman"/>
          <w:b/>
          <w:bCs/>
          <w:color w:val="000000"/>
          <w:sz w:val="24"/>
          <w:szCs w:val="24"/>
        </w:rPr>
        <w:t xml:space="preserve">5.2 Recommendations</w:t>
      </w:r>
    </w:p>
    <w:p>
      <w:pPr>
        <w:spacing w:after="0" w:before="0" w:line="360"/>
        <w:ind w:firstLine="720"/>
        <w:jc w:val="both"/>
      </w:pPr>
      <w:r>
        <w:rPr>
          <w:rFonts w:ascii="Times New Roman" w:cs="Times New Roman" w:eastAsia="Times New Roman" w:hAnsi="Times New Roman"/>
          <w:i w:val="false"/>
          <w:iCs w:val="false"/>
          <w:sz w:val="24"/>
          <w:szCs w:val="24"/>
        </w:rPr>
        <w:t xml:space="preserve">Based on these findings, the following recommendations are offered. The system may be used as an assistive tool that gives clinicians and annotators a reproducible starting contour, with automatic seeding for well-circumscribed tumors such as meningioma and the manual seeding mode for other tumor types. Because every stage of the method is interpretable, the contours it produces can be reviewed and refined by the user.</w:t>
      </w:r>
    </w:p>
    <w:p>
      <w:pPr>
        <w:spacing w:after="0" w:before="0" w:line="360"/>
        <w:ind w:firstLine="720"/>
        <w:jc w:val="both"/>
      </w:pPr>
      <w:r>
        <w:rPr>
          <w:rFonts w:ascii="Times New Roman" w:cs="Times New Roman" w:eastAsia="Times New Roman" w:hAnsi="Times New Roman"/>
          <w:i w:val="false"/>
          <w:iCs w:val="false"/>
          <w:sz w:val="24"/>
          <w:szCs w:val="24"/>
        </w:rPr>
        <w:t xml:space="preserve">Future work should first improve automatic seed selection, the stage that limited the fully automatic pipeline. Additional ranking cues, such as anatomical position and texture, may broaden the range of tumors that can be seeded automatically, and the system may present the top-ranked candidates to the operator for one-click confirmation.</w:t>
      </w:r>
    </w:p>
    <w:p>
      <w:pPr>
        <w:spacing w:after="0" w:before="0" w:line="360"/>
        <w:ind w:firstLine="720"/>
        <w:jc w:val="both"/>
      </w:pPr>
      <w:r>
        <w:rPr>
          <w:rFonts w:ascii="Times New Roman" w:cs="Times New Roman" w:eastAsia="Times New Roman" w:hAnsi="Times New Roman"/>
          <w:i w:val="false"/>
          <w:iCs w:val="false"/>
          <w:sz w:val="24"/>
          <w:szCs w:val="24"/>
        </w:rPr>
        <w:t xml:space="preserve">The growing procedure may also be extended. Because the seed size shifts the balance between recall and precision, the system may offer recall-priority and precision-priority settings. Multi-sequence input, such as T2-weighted and FLAIR images, may help with infiltrative tumors such as gliomas, and the method should be evaluated on clinical scans from different scanners, whose intensity inhomogeneity is more varied than the synthetic field used here. Finally, the method may be extended to three dimensions by carrying the seed and region statistics across neighboring slices, and its masks may serve as initial contours for learning-based segmentation.</w:t>
      </w:r>
    </w:p>
    <w:sectPr>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b/>
      <w:bCs/>
      <w:color w:val="000000"/>
      <w:sz w:val="28"/>
      <w:szCs w:val="28"/>
    </w:rPr>
  </w:style>
  <w:style w:type="paragraph" w:styleId="Heading2">
    <w:name w:val="Heading 2"/>
    <w:basedOn w:val="Normal"/>
    <w:next w:val="Normal"/>
    <w:qFormat/>
    <w:pPr>
      <w:outlineLvl w:val="1"/>
    </w:pPr>
    <w:rPr>
      <w:rFonts w:ascii="Times New Roman" w:cs="Times New Roman" w:eastAsia="Times New Roman" w:hAnsi="Times New Roman"/>
      <w:b/>
      <w:bCs/>
      <w:color w:val="000000"/>
      <w:sz w:val="24"/>
      <w:szCs w:val="24"/>
    </w:rPr>
  </w:style>
  <w:style w:type="paragraph" w:styleId="Heading3">
    <w:name w:val="Heading 3"/>
    <w:basedOn w:val="Normal"/>
    <w:next w:val="Normal"/>
    <w:qFormat/>
    <w:pPr>
      <w:outlineLvl w:val="2"/>
    </w:pPr>
    <w:rPr>
      <w:rFonts w:ascii="Times New Roman" w:cs="Times New Roman" w:eastAsia="Times New Roman" w:hAnsi="Times New Roman"/>
      <w:b/>
      <w:bCs/>
      <w:color w:val="000000"/>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2026-09-30T01:32:42.493Z</dcterms:created>
  <dcterms:modified xsi:type="dcterms:W3CDTF">2026-09-30T01:32:42.495Z</dcterms:modified>
</cp:coreProperties>
</file>

<file path=docProps/custom.xml><?xml version="1.0" encoding="utf-8"?>
<Properties xmlns="http://schemas.openxmlformats.org/officeDocument/2006/custom-properties" xmlns:vt="http://schemas.openxmlformats.org/officeDocument/2006/docPropsVTypes"/>
</file>