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 xml:space="preserve">отечественной экономики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76415397"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Развитие информационно-коммуникационных технологий</w:t>
      </w:r>
      <w:r w:rsidR="002174BB">
        <w:rPr>
          <w:rFonts w:ascii="Times New Roman" w:hAnsi="Times New Roman" w:cs="Times New Roman"/>
          <w:sz w:val="24"/>
          <w:szCs w:val="24"/>
        </w:rPr>
        <w:t xml:space="preserve"> (ИКТ)</w:t>
      </w:r>
      <w:r>
        <w:rPr>
          <w:rFonts w:ascii="Times New Roman" w:hAnsi="Times New Roman" w:cs="Times New Roman"/>
          <w:sz w:val="24"/>
          <w:szCs w:val="24"/>
        </w:rPr>
        <w:t xml:space="preserve">,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w:t>
      </w:r>
      <w:r w:rsidR="007E15DA">
        <w:rPr>
          <w:rFonts w:ascii="Times New Roman" w:hAnsi="Times New Roman" w:cs="Times New Roman"/>
          <w:sz w:val="24"/>
          <w:szCs w:val="24"/>
        </w:rPr>
        <w:t>е</w:t>
      </w:r>
      <w:r w:rsidR="00F2182C">
        <w:rPr>
          <w:rFonts w:ascii="Times New Roman" w:hAnsi="Times New Roman" w:cs="Times New Roman"/>
          <w:sz w:val="24"/>
          <w:szCs w:val="24"/>
        </w:rPr>
        <w:t xml:space="preserve"> методики оценки и анализа трансформации в цифровой формат протекающих в обществе и экономике процессов.</w:t>
      </w:r>
    </w:p>
    <w:p w14:paraId="5EE5BD22" w14:textId="5BC504AD"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w:t>
      </w:r>
      <w:r w:rsidR="00115B93">
        <w:rPr>
          <w:rFonts w:ascii="Times New Roman" w:eastAsia="Calibri" w:hAnsi="Times New Roman" w:cs="Times New Roman"/>
          <w:sz w:val="24"/>
          <w:szCs w:val="24"/>
        </w:rPr>
        <w:t xml:space="preserve">, по мнению </w:t>
      </w:r>
      <w:r w:rsidR="00746D40">
        <w:rPr>
          <w:rFonts w:ascii="Times New Roman" w:eastAsia="Calibri" w:hAnsi="Times New Roman" w:cs="Times New Roman"/>
          <w:sz w:val="24"/>
          <w:szCs w:val="24"/>
        </w:rPr>
        <w:t xml:space="preserve">ряда </w:t>
      </w:r>
      <w:r w:rsidR="00115B93">
        <w:rPr>
          <w:rFonts w:ascii="Times New Roman" w:eastAsia="Calibri" w:hAnsi="Times New Roman" w:cs="Times New Roman"/>
          <w:sz w:val="24"/>
          <w:szCs w:val="24"/>
        </w:rPr>
        <w:t>отечественных научных специалистов в этой области,</w:t>
      </w:r>
      <w:r w:rsidR="00423ECC">
        <w:rPr>
          <w:rFonts w:ascii="Times New Roman" w:eastAsia="Calibri" w:hAnsi="Times New Roman" w:cs="Times New Roman"/>
          <w:sz w:val="24"/>
          <w:szCs w:val="24"/>
        </w:rPr>
        <w:t xml:space="preserve">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0533F5">
        <w:rPr>
          <w:rFonts w:ascii="Times New Roman" w:eastAsia="Calibri" w:hAnsi="Times New Roman" w:cs="Times New Roman"/>
          <w:sz w:val="24"/>
          <w:szCs w:val="24"/>
        </w:rPr>
        <w:t>4; 15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7B43F225"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w:t>
      </w:r>
      <w:r w:rsidR="00451F4C">
        <w:rPr>
          <w:rFonts w:ascii="Times New Roman" w:hAnsi="Times New Roman" w:cs="Times New Roman"/>
          <w:sz w:val="24"/>
          <w:szCs w:val="24"/>
        </w:rPr>
        <w:t xml:space="preserve"> </w:t>
      </w:r>
      <w:r w:rsidR="00451F4C" w:rsidRPr="00451F4C">
        <w:rPr>
          <w:rFonts w:ascii="Times New Roman" w:hAnsi="Times New Roman" w:cs="Times New Roman"/>
          <w:sz w:val="24"/>
          <w:szCs w:val="24"/>
        </w:rPr>
        <w:t>[1,</w:t>
      </w:r>
      <w:r w:rsidR="00451F4C" w:rsidRPr="00690D1D">
        <w:rPr>
          <w:rFonts w:ascii="Times New Roman" w:hAnsi="Times New Roman" w:cs="Times New Roman"/>
          <w:sz w:val="24"/>
          <w:szCs w:val="24"/>
        </w:rPr>
        <w:t>3</w:t>
      </w:r>
      <w:r w:rsidR="00451F4C" w:rsidRPr="00451F4C">
        <w:rPr>
          <w:rFonts w:ascii="Times New Roman" w:hAnsi="Times New Roman" w:cs="Times New Roman"/>
          <w:sz w:val="24"/>
          <w:szCs w:val="24"/>
        </w:rPr>
        <w:t>]</w:t>
      </w:r>
      <w:r>
        <w:rPr>
          <w:rFonts w:ascii="Times New Roman" w:hAnsi="Times New Roman" w:cs="Times New Roman"/>
          <w:sz w:val="24"/>
          <w:szCs w:val="24"/>
        </w:rPr>
        <w:t xml:space="preserve">,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09899BF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w:t>
      </w:r>
      <w:r w:rsidR="00690D1D">
        <w:rPr>
          <w:rFonts w:ascii="Times New Roman" w:hAnsi="Times New Roman" w:cs="Times New Roman"/>
          <w:sz w:val="24"/>
          <w:szCs w:val="24"/>
        </w:rPr>
        <w:t xml:space="preserve">применение </w:t>
      </w:r>
      <w:r w:rsidR="003C060E">
        <w:rPr>
          <w:rFonts w:ascii="Times New Roman" w:hAnsi="Times New Roman" w:cs="Times New Roman"/>
          <w:sz w:val="24"/>
          <w:szCs w:val="24"/>
        </w:rPr>
        <w:t xml:space="preserve">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несопоставимые между собой</w:t>
      </w:r>
      <w:r w:rsidR="00397CF1">
        <w:rPr>
          <w:rFonts w:ascii="Times New Roman" w:hAnsi="Times New Roman" w:cs="Times New Roman"/>
          <w:sz w:val="24"/>
          <w:szCs w:val="24"/>
        </w:rPr>
        <w:t>,</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4F6EA599"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w:t>
      </w:r>
      <w:r w:rsidR="009228A1">
        <w:rPr>
          <w:rFonts w:ascii="Times New Roman" w:hAnsi="Times New Roman" w:cs="Times New Roman"/>
          <w:sz w:val="24"/>
          <w:szCs w:val="24"/>
        </w:rPr>
        <w:t>а</w:t>
      </w:r>
      <w:r w:rsidR="00B06AC8">
        <w:rPr>
          <w:rFonts w:ascii="Times New Roman" w:hAnsi="Times New Roman" w:cs="Times New Roman"/>
          <w:sz w:val="24"/>
          <w:szCs w:val="24"/>
        </w:rPr>
        <w:t xml:space="preserve">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w:t>
      </w:r>
      <w:r w:rsidR="00D46175">
        <w:rPr>
          <w:rFonts w:ascii="Times New Roman" w:hAnsi="Times New Roman" w:cs="Times New Roman"/>
          <w:sz w:val="24"/>
          <w:szCs w:val="24"/>
        </w:rPr>
        <w:t xml:space="preserve">что </w:t>
      </w:r>
      <w:r w:rsidR="00B013FF">
        <w:rPr>
          <w:rFonts w:ascii="Times New Roman" w:hAnsi="Times New Roman" w:cs="Times New Roman"/>
          <w:sz w:val="24"/>
          <w:szCs w:val="24"/>
        </w:rPr>
        <w:t>охватыва</w:t>
      </w:r>
      <w:r w:rsidR="00D46175">
        <w:rPr>
          <w:rFonts w:ascii="Times New Roman" w:hAnsi="Times New Roman" w:cs="Times New Roman"/>
          <w:sz w:val="24"/>
          <w:szCs w:val="24"/>
        </w:rPr>
        <w:t>ет</w:t>
      </w:r>
      <w:r w:rsidR="00B013FF">
        <w:rPr>
          <w:rFonts w:ascii="Times New Roman" w:hAnsi="Times New Roman" w:cs="Times New Roman"/>
          <w:sz w:val="24"/>
          <w:szCs w:val="24"/>
        </w:rPr>
        <w:t xml:space="preserve">,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 xml:space="preserve">и, но сам блок </w:t>
      </w:r>
      <w:r w:rsidR="00E658F1">
        <w:rPr>
          <w:rFonts w:ascii="Times New Roman" w:hAnsi="Times New Roman" w:cs="Times New Roman"/>
          <w:sz w:val="24"/>
          <w:szCs w:val="24"/>
        </w:rPr>
        <w:t xml:space="preserve">был </w:t>
      </w:r>
      <w:r w:rsidR="00A209B6">
        <w:rPr>
          <w:rFonts w:ascii="Times New Roman" w:hAnsi="Times New Roman" w:cs="Times New Roman"/>
          <w:sz w:val="24"/>
          <w:szCs w:val="24"/>
        </w:rPr>
        <w:t>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50EB2989"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6186CD76">
                <wp:extent cx="6145480" cy="3179445"/>
                <wp:effectExtent l="0" t="0" r="8255"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30674" y="40575"/>
                            <a:ext cx="6055430"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19694" y="152392"/>
                            <a:ext cx="5675843"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207817" y="1988128"/>
                            <a:ext cx="5675845"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83.9pt;height:250.35pt;mso-position-horizontal-relative:char;mso-position-vertical-relative:line" coordsize="61448,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48;height:31794;visibility:visible;mso-wrap-style:square" filled="t">
                  <v:fill o:detectmouseclick="t"/>
                  <v:path o:connecttype="none"/>
                </v:shape>
                <v:rect id="Прямоугольник 7" o:spid="_x0000_s1028" style="position:absolute;left:306;top:405;width:6055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2196;top:1523;width:56759;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2078;top:19881;width:5675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68A55EA9" w14:textId="77777777" w:rsidR="009F6468" w:rsidRDefault="009F6468" w:rsidP="00097601">
      <w:pPr>
        <w:spacing w:line="240" w:lineRule="auto"/>
        <w:contextualSpacing/>
        <w:jc w:val="both"/>
        <w:rPr>
          <w:rFonts w:ascii="Times New Roman" w:hAnsi="Times New Roman" w:cs="Times New Roman"/>
          <w:sz w:val="24"/>
          <w:szCs w:val="24"/>
        </w:rPr>
      </w:pPr>
    </w:p>
    <w:p w14:paraId="7C107B2C" w14:textId="778A3699" w:rsidR="00707887" w:rsidRDefault="002C7740" w:rsidP="009F6468">
      <w:pPr>
        <w:spacing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3BA7F46B"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 xml:space="preserve">построить ряд статистических таблиц. Эти таблицы </w:t>
      </w:r>
      <w:r w:rsidR="009F0F8A">
        <w:rPr>
          <w:rFonts w:ascii="Times New Roman" w:hAnsi="Times New Roman" w:cs="Times New Roman"/>
          <w:sz w:val="24"/>
          <w:szCs w:val="24"/>
        </w:rPr>
        <w:t xml:space="preserve">(Таблицы 1 – 4) </w:t>
      </w:r>
      <w:r w:rsidR="0005105D">
        <w:rPr>
          <w:rFonts w:ascii="Times New Roman" w:hAnsi="Times New Roman" w:cs="Times New Roman"/>
          <w:sz w:val="24"/>
          <w:szCs w:val="24"/>
        </w:rPr>
        <w:t>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w:t>
      </w:r>
      <w:r w:rsidR="00E92DA1">
        <w:rPr>
          <w:rFonts w:ascii="Times New Roman" w:hAnsi="Times New Roman" w:cs="Times New Roman"/>
          <w:sz w:val="24"/>
          <w:szCs w:val="24"/>
        </w:rPr>
        <w:t xml:space="preserve"> индикаторов по выделенным направлениям оценки процесса цифровой трансформации</w:t>
      </w:r>
      <w:r w:rsidR="00DD2924">
        <w:rPr>
          <w:rFonts w:ascii="Times New Roman" w:hAnsi="Times New Roman" w:cs="Times New Roman"/>
          <w:sz w:val="24"/>
          <w:szCs w:val="24"/>
        </w:rPr>
        <w:t xml:space="preserve">, а также </w:t>
      </w:r>
      <w:r w:rsidR="00E92DA1">
        <w:rPr>
          <w:rFonts w:ascii="Times New Roman" w:hAnsi="Times New Roman" w:cs="Times New Roman"/>
          <w:sz w:val="24"/>
          <w:szCs w:val="24"/>
        </w:rPr>
        <w:t xml:space="preserve">их </w:t>
      </w:r>
      <w:r w:rsidR="00DD2924">
        <w:rPr>
          <w:rFonts w:ascii="Times New Roman" w:hAnsi="Times New Roman" w:cs="Times New Roman"/>
          <w:sz w:val="24"/>
          <w:szCs w:val="24"/>
        </w:rPr>
        <w:t>среднее и медиану</w:t>
      </w:r>
      <w:r w:rsidR="00E92DA1">
        <w:rPr>
          <w:rFonts w:ascii="Times New Roman" w:hAnsi="Times New Roman" w:cs="Times New Roman"/>
          <w:sz w:val="24"/>
          <w:szCs w:val="24"/>
        </w:rPr>
        <w:t xml:space="preserve"> – сравнение этих статистик позволяет оценить направление </w:t>
      </w:r>
      <w:r w:rsidR="005B2551">
        <w:rPr>
          <w:rFonts w:ascii="Times New Roman" w:hAnsi="Times New Roman" w:cs="Times New Roman"/>
          <w:sz w:val="24"/>
          <w:szCs w:val="24"/>
        </w:rPr>
        <w:t xml:space="preserve">и в некотором роде степень </w:t>
      </w:r>
      <w:r w:rsidR="00E92DA1">
        <w:rPr>
          <w:rFonts w:ascii="Times New Roman" w:hAnsi="Times New Roman" w:cs="Times New Roman"/>
          <w:sz w:val="24"/>
          <w:szCs w:val="24"/>
        </w:rPr>
        <w:t>асимметрии распределения совокупности (в предположении, что мы имеем дело с распределением, близким к нормальному, т. е. одномодальн</w:t>
      </w:r>
      <w:r w:rsidR="005B2551">
        <w:rPr>
          <w:rFonts w:ascii="Times New Roman" w:hAnsi="Times New Roman" w:cs="Times New Roman"/>
          <w:sz w:val="24"/>
          <w:szCs w:val="24"/>
        </w:rPr>
        <w:t>ы</w:t>
      </w:r>
      <w:r w:rsidR="00E92DA1">
        <w:rPr>
          <w:rFonts w:ascii="Times New Roman" w:hAnsi="Times New Roman" w:cs="Times New Roman"/>
          <w:sz w:val="24"/>
          <w:szCs w:val="24"/>
        </w:rPr>
        <w:t>м, симметричн</w:t>
      </w:r>
      <w:r w:rsidR="005B2551">
        <w:rPr>
          <w:rFonts w:ascii="Times New Roman" w:hAnsi="Times New Roman" w:cs="Times New Roman"/>
          <w:sz w:val="24"/>
          <w:szCs w:val="24"/>
        </w:rPr>
        <w:t>ы</w:t>
      </w:r>
      <w:r w:rsidR="00E92DA1">
        <w:rPr>
          <w:rFonts w:ascii="Times New Roman" w:hAnsi="Times New Roman" w:cs="Times New Roman"/>
          <w:sz w:val="24"/>
          <w:szCs w:val="24"/>
        </w:rPr>
        <w:t>м</w:t>
      </w:r>
      <w:r w:rsidR="00401A0A">
        <w:rPr>
          <w:rFonts w:ascii="Times New Roman" w:hAnsi="Times New Roman" w:cs="Times New Roman"/>
          <w:sz w:val="24"/>
          <w:szCs w:val="24"/>
        </w:rPr>
        <w:t xml:space="preserve"> и монотонно убывающим к концам</w:t>
      </w:r>
      <w:r w:rsidR="00E92DA1">
        <w:rPr>
          <w:rFonts w:ascii="Times New Roman" w:hAnsi="Times New Roman" w:cs="Times New Roman"/>
          <w:sz w:val="24"/>
          <w:szCs w:val="24"/>
        </w:rPr>
        <w:t>)</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w:t>
      </w:r>
      <w:r w:rsidR="004D3851">
        <w:rPr>
          <w:rFonts w:ascii="Times New Roman" w:hAnsi="Times New Roman" w:cs="Times New Roman"/>
          <w:sz w:val="24"/>
          <w:szCs w:val="24"/>
        </w:rPr>
        <w:t>П</w:t>
      </w:r>
      <w:r w:rsidR="00DD2924">
        <w:rPr>
          <w:rFonts w:ascii="Times New Roman" w:hAnsi="Times New Roman" w:cs="Times New Roman"/>
          <w:sz w:val="24"/>
          <w:szCs w:val="24"/>
        </w:rPr>
        <w:t xml:space="preserve">ри его значении, превышающем 33 процента, </w:t>
      </w:r>
      <w:r w:rsidR="00267F43">
        <w:rPr>
          <w:rFonts w:ascii="Times New Roman" w:hAnsi="Times New Roman" w:cs="Times New Roman"/>
          <w:sz w:val="24"/>
          <w:szCs w:val="24"/>
        </w:rPr>
        <w:t xml:space="preserve">как известно, </w:t>
      </w:r>
      <w:r w:rsidR="00DD2924">
        <w:rPr>
          <w:rFonts w:ascii="Times New Roman" w:hAnsi="Times New Roman" w:cs="Times New Roman"/>
          <w:sz w:val="24"/>
          <w:szCs w:val="24"/>
        </w:rPr>
        <w:t>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w:t>
      </w:r>
      <w:r w:rsidR="00BE4E53">
        <w:rPr>
          <w:rFonts w:ascii="Times New Roman" w:hAnsi="Times New Roman" w:cs="Times New Roman"/>
          <w:sz w:val="24"/>
          <w:szCs w:val="24"/>
        </w:rPr>
        <w:t>е</w:t>
      </w:r>
      <w:r w:rsidR="00DD2924">
        <w:rPr>
          <w:rFonts w:ascii="Times New Roman" w:hAnsi="Times New Roman" w:cs="Times New Roman"/>
          <w:sz w:val="24"/>
          <w:szCs w:val="24"/>
        </w:rPr>
        <w:t xml:space="preserve"> </w:t>
      </w:r>
      <w:r w:rsidR="00BE4E53">
        <w:rPr>
          <w:rFonts w:ascii="Times New Roman" w:hAnsi="Times New Roman" w:cs="Times New Roman"/>
          <w:sz w:val="24"/>
          <w:szCs w:val="24"/>
        </w:rPr>
        <w:t>надо с осторожностью</w:t>
      </w:r>
      <w:r w:rsidR="00DD2924">
        <w:rPr>
          <w:rFonts w:ascii="Times New Roman" w:hAnsi="Times New Roman" w:cs="Times New Roman"/>
          <w:sz w:val="24"/>
          <w:szCs w:val="24"/>
        </w:rPr>
        <w:t>.</w:t>
      </w:r>
    </w:p>
    <w:p w14:paraId="78D5C364" w14:textId="201AD42C" w:rsidR="00BF3F7E" w:rsidRDefault="00D6261C" w:rsidP="00E12B44">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Как свидетельствуют результаты расчетов, </w:t>
      </w:r>
      <w:r w:rsidR="00916DDA">
        <w:rPr>
          <w:rFonts w:ascii="Times New Roman" w:hAnsi="Times New Roman" w:cs="Times New Roman"/>
          <w:sz w:val="24"/>
          <w:szCs w:val="24"/>
        </w:rPr>
        <w:t xml:space="preserve">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w:t>
      </w:r>
      <w:r w:rsidR="00E12B44">
        <w:rPr>
          <w:rFonts w:ascii="Times New Roman" w:hAnsi="Times New Roman" w:cs="Times New Roman"/>
          <w:sz w:val="24"/>
          <w:szCs w:val="24"/>
        </w:rPr>
        <w:t xml:space="preserve">Самой </w:t>
      </w:r>
      <w:r w:rsidR="00E12B44">
        <w:rPr>
          <w:rFonts w:ascii="Times New Roman" w:hAnsi="Times New Roman" w:cs="Times New Roman"/>
          <w:sz w:val="24"/>
          <w:szCs w:val="24"/>
        </w:rPr>
        <w:lastRenderedPageBreak/>
        <w:t xml:space="preserve">неоднородной группой – вне зависимости от того, включена ли в </w:t>
      </w:r>
      <w:r w:rsidR="00755192">
        <w:rPr>
          <w:rFonts w:ascii="Times New Roman" w:hAnsi="Times New Roman" w:cs="Times New Roman"/>
          <w:sz w:val="24"/>
          <w:szCs w:val="24"/>
        </w:rPr>
        <w:t xml:space="preserve">эту </w:t>
      </w:r>
      <w:r w:rsidR="00E12B44">
        <w:rPr>
          <w:rFonts w:ascii="Times New Roman" w:hAnsi="Times New Roman" w:cs="Times New Roman"/>
          <w:sz w:val="24"/>
          <w:szCs w:val="24"/>
        </w:rPr>
        <w:t>совокупность «профильная» отрасль (деятельность в области информации и связи) или нет – являются показатели наличия и квалификации специалистов (Таблица 3). Напротив, самой однородной – группа индикаторов использования индикаторов средств защиты информации</w:t>
      </w:r>
      <w:r w:rsidR="00D23E61">
        <w:rPr>
          <w:rFonts w:ascii="Times New Roman" w:hAnsi="Times New Roman" w:cs="Times New Roman"/>
          <w:sz w:val="24"/>
          <w:szCs w:val="24"/>
        </w:rPr>
        <w:t xml:space="preserve"> (Таблица 4)</w:t>
      </w:r>
      <w:r w:rsidR="00E12B44">
        <w:rPr>
          <w:rFonts w:ascii="Times New Roman" w:hAnsi="Times New Roman" w:cs="Times New Roman"/>
          <w:sz w:val="24"/>
          <w:szCs w:val="24"/>
        </w:rPr>
        <w:t>.</w:t>
      </w:r>
    </w:p>
    <w:p w14:paraId="5EF276FF" w14:textId="12B7E7B4" w:rsidR="00BF3F7E" w:rsidRDefault="00FE7C9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(Таблица 1) неоднородность в разрезе отраслей отмечена для показателей использования персональных компьютеров и мобильного интернета, во втором (Таблица 2) – для показател</w:t>
      </w:r>
      <w:r w:rsidR="00FA7CB8">
        <w:rPr>
          <w:rFonts w:ascii="Times New Roman" w:hAnsi="Times New Roman" w:cs="Times New Roman"/>
          <w:sz w:val="24"/>
          <w:szCs w:val="24"/>
        </w:rPr>
        <w:t>я</w:t>
      </w:r>
      <w:r>
        <w:rPr>
          <w:rFonts w:ascii="Times New Roman" w:hAnsi="Times New Roman" w:cs="Times New Roman"/>
          <w:sz w:val="24"/>
          <w:szCs w:val="24"/>
        </w:rPr>
        <w:t xml:space="preserve"> использования обучающих программ.</w:t>
      </w:r>
    </w:p>
    <w:p w14:paraId="2AD015BE" w14:textId="477B262E" w:rsidR="00BF3F7E" w:rsidRDefault="00941413"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 специалистов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возможно</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 xml:space="preserve">следует напомнить, </w:t>
      </w:r>
      <w:r w:rsidR="00305731">
        <w:rPr>
          <w:rFonts w:ascii="Times New Roman" w:hAnsi="Times New Roman" w:cs="Times New Roman"/>
          <w:sz w:val="24"/>
          <w:szCs w:val="24"/>
        </w:rPr>
        <w:t>что медиана разбивает совокупность на две равные части, одна из которых характеризуется значениями признака не выше медианного, а другая – не ниже)</w:t>
      </w:r>
      <w:r>
        <w:rPr>
          <w:rFonts w:ascii="Times New Roman" w:hAnsi="Times New Roman" w:cs="Times New Roman"/>
          <w:sz w:val="24"/>
          <w:szCs w:val="24"/>
        </w:rPr>
        <w:t>.</w:t>
      </w:r>
    </w:p>
    <w:p w14:paraId="4FADCEA2" w14:textId="4083A2F5" w:rsidR="008C2F36" w:rsidRDefault="00431E5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w:t>
      </w:r>
      <w:r w:rsidR="00EC46AB">
        <w:rPr>
          <w:rFonts w:ascii="Times New Roman" w:hAnsi="Times New Roman" w:cs="Times New Roman"/>
          <w:sz w:val="24"/>
          <w:szCs w:val="24"/>
        </w:rPr>
        <w:t>видо</w:t>
      </w:r>
      <w:r w:rsidR="00462545">
        <w:rPr>
          <w:rFonts w:ascii="Times New Roman" w:hAnsi="Times New Roman" w:cs="Times New Roman"/>
          <w:sz w:val="24"/>
          <w:szCs w:val="24"/>
        </w:rPr>
        <w:t>в</w:t>
      </w:r>
      <w:r w:rsidR="00EC46AB">
        <w:rPr>
          <w:rFonts w:ascii="Times New Roman" w:hAnsi="Times New Roman" w:cs="Times New Roman"/>
          <w:sz w:val="24"/>
          <w:szCs w:val="24"/>
        </w:rPr>
        <w:t xml:space="preserve"> экономической деятельности</w:t>
      </w:r>
      <w:r>
        <w:rPr>
          <w:rFonts w:ascii="Times New Roman" w:hAnsi="Times New Roman" w:cs="Times New Roman"/>
          <w:sz w:val="24"/>
          <w:szCs w:val="24"/>
        </w:rPr>
        <w:t xml:space="preserve"> есть такие из них, что обладают наиболее высокими, близкими к своему верхнему пределу, значениями: </w:t>
      </w:r>
      <w:r w:rsidR="0090571A">
        <w:rPr>
          <w:rFonts w:ascii="Times New Roman" w:hAnsi="Times New Roman" w:cs="Times New Roman"/>
          <w:sz w:val="24"/>
          <w:szCs w:val="24"/>
        </w:rPr>
        <w:t xml:space="preserve">например, </w:t>
      </w:r>
      <w:r>
        <w:rPr>
          <w:rFonts w:ascii="Times New Roman" w:hAnsi="Times New Roman" w:cs="Times New Roman"/>
          <w:sz w:val="24"/>
          <w:szCs w:val="24"/>
        </w:rPr>
        <w:t xml:space="preserve">индикаторы обеспеченности персональными компьютерами (86,5 процента) и фиксированным доступом в интернет (96,0 процента), </w:t>
      </w:r>
      <w:r w:rsidR="00B72E17">
        <w:rPr>
          <w:rFonts w:ascii="Times New Roman" w:hAnsi="Times New Roman" w:cs="Times New Roman"/>
          <w:sz w:val="24"/>
          <w:szCs w:val="24"/>
        </w:rPr>
        <w:t xml:space="preserve">в том числе широкополосным </w:t>
      </w:r>
      <w:r w:rsidR="00313334">
        <w:rPr>
          <w:rFonts w:ascii="Times New Roman" w:hAnsi="Times New Roman" w:cs="Times New Roman"/>
          <w:sz w:val="24"/>
          <w:szCs w:val="24"/>
        </w:rPr>
        <w:t xml:space="preserve">доступом </w:t>
      </w:r>
      <w:r w:rsidR="00B72E17">
        <w:rPr>
          <w:rFonts w:ascii="Times New Roman" w:hAnsi="Times New Roman" w:cs="Times New Roman"/>
          <w:sz w:val="24"/>
          <w:szCs w:val="24"/>
        </w:rPr>
        <w:t>(93,8 процента)</w:t>
      </w:r>
      <w:r w:rsidR="005A48BA">
        <w:rPr>
          <w:rFonts w:ascii="Times New Roman" w:hAnsi="Times New Roman" w:cs="Times New Roman"/>
          <w:sz w:val="24"/>
          <w:szCs w:val="24"/>
        </w:rPr>
        <w:t>,</w:t>
      </w:r>
      <w:r w:rsidR="00A210E9">
        <w:rPr>
          <w:rFonts w:ascii="Times New Roman" w:hAnsi="Times New Roman" w:cs="Times New Roman"/>
          <w:sz w:val="24"/>
          <w:szCs w:val="24"/>
        </w:rPr>
        <w:t xml:space="preserve"> и</w:t>
      </w:r>
      <w:r w:rsidR="00FE6453">
        <w:rPr>
          <w:rFonts w:ascii="Times New Roman" w:hAnsi="Times New Roman" w:cs="Times New Roman"/>
          <w:sz w:val="24"/>
          <w:szCs w:val="24"/>
        </w:rPr>
        <w:t xml:space="preserve"> </w:t>
      </w:r>
      <w:r>
        <w:rPr>
          <w:rFonts w:ascii="Times New Roman" w:hAnsi="Times New Roman" w:cs="Times New Roman"/>
          <w:sz w:val="24"/>
          <w:szCs w:val="24"/>
        </w:rPr>
        <w:t>использовани</w:t>
      </w:r>
      <w:r w:rsidR="00057090">
        <w:rPr>
          <w:rFonts w:ascii="Times New Roman" w:hAnsi="Times New Roman" w:cs="Times New Roman"/>
          <w:sz w:val="24"/>
          <w:szCs w:val="24"/>
        </w:rPr>
        <w:t>я</w:t>
      </w:r>
      <w:r>
        <w:rPr>
          <w:rFonts w:ascii="Times New Roman" w:hAnsi="Times New Roman" w:cs="Times New Roman"/>
          <w:sz w:val="24"/>
          <w:szCs w:val="24"/>
        </w:rPr>
        <w:t xml:space="preserve"> средств электронной цифровой подписи (92,3 процента).</w:t>
      </w:r>
    </w:p>
    <w:p w14:paraId="0BACAB99" w14:textId="77777777" w:rsidR="00431E5F" w:rsidRPr="007E15DA" w:rsidRDefault="00431E5F" w:rsidP="00097601">
      <w:pPr>
        <w:spacing w:line="360" w:lineRule="auto"/>
        <w:ind w:firstLine="284"/>
        <w:contextualSpacing/>
        <w:jc w:val="both"/>
        <w:rPr>
          <w:rFonts w:ascii="Times New Roman" w:hAnsi="Times New Roman" w:cs="Times New Roman"/>
          <w:sz w:val="24"/>
          <w:szCs w:val="24"/>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25" type="#_x0000_t75" style="width:14.05pt;height:15.45pt" o:ole="">
                  <v:imagedata r:id="rId8" o:title=""/>
                </v:shape>
                <o:OLEObject Type="Embed" ProgID="Equation.3" ShapeID="_x0000_i1025" DrawAspect="Content" ObjectID="_1731736814"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6BA11D45" w:rsidR="00BF3F7E" w:rsidRPr="00D90958" w:rsidRDefault="009B76B1" w:rsidP="00097601">
            <w:pPr>
              <w:contextualSpacing/>
              <w:jc w:val="both"/>
              <w:rPr>
                <w:sz w:val="24"/>
                <w:szCs w:val="24"/>
                <w:lang w:val="en-US"/>
              </w:rPr>
            </w:pPr>
            <w:r>
              <w:rPr>
                <w:sz w:val="24"/>
                <w:szCs w:val="24"/>
              </w:rPr>
              <w:t>П</w:t>
            </w:r>
            <w:r w:rsidR="00BF3F7E"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EB55C35" w:rsidR="00BF3F7E" w:rsidRPr="00D90958" w:rsidRDefault="009B76B1" w:rsidP="00097601">
            <w:pPr>
              <w:contextualSpacing/>
              <w:jc w:val="both"/>
              <w:rPr>
                <w:sz w:val="24"/>
                <w:szCs w:val="24"/>
                <w:lang w:val="en-US"/>
              </w:rPr>
            </w:pPr>
            <w:r>
              <w:rPr>
                <w:sz w:val="24"/>
                <w:szCs w:val="24"/>
              </w:rPr>
              <w:t>С</w:t>
            </w:r>
            <w:r w:rsidR="00BF3F7E">
              <w:rPr>
                <w:sz w:val="24"/>
                <w:szCs w:val="24"/>
              </w:rPr>
              <w:t>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1471F06D" w:rsidR="00BF3F7E" w:rsidRPr="00D90958" w:rsidRDefault="009B76B1" w:rsidP="00097601">
            <w:pPr>
              <w:contextualSpacing/>
              <w:jc w:val="both"/>
              <w:rPr>
                <w:sz w:val="24"/>
                <w:szCs w:val="24"/>
                <w:lang w:val="en-US"/>
              </w:rPr>
            </w:pPr>
            <w:r>
              <w:rPr>
                <w:sz w:val="24"/>
                <w:szCs w:val="24"/>
              </w:rPr>
              <w:t>Л</w:t>
            </w:r>
            <w:r w:rsidR="00BF3F7E">
              <w:rPr>
                <w:sz w:val="24"/>
                <w:szCs w:val="24"/>
              </w:rPr>
              <w:t>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01F5E44A" w:rsidR="00BF3F7E" w:rsidRPr="00D90958" w:rsidRDefault="00BF3F7E" w:rsidP="00097601">
            <w:pPr>
              <w:contextualSpacing/>
              <w:jc w:val="both"/>
              <w:rPr>
                <w:sz w:val="24"/>
                <w:szCs w:val="24"/>
                <w:lang w:val="en-US"/>
              </w:rPr>
            </w:pPr>
            <w:r>
              <w:rPr>
                <w:sz w:val="24"/>
                <w:szCs w:val="24"/>
              </w:rPr>
              <w:t>«</w:t>
            </w:r>
            <w:r w:rsidR="009B76B1">
              <w:rPr>
                <w:sz w:val="24"/>
                <w:szCs w:val="24"/>
              </w:rPr>
              <w:t>О</w:t>
            </w:r>
            <w:r>
              <w:rPr>
                <w:sz w:val="24"/>
                <w:szCs w:val="24"/>
              </w:rPr>
              <w:t>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2BFC2BA1" w:rsidR="00BF3F7E" w:rsidRPr="00D90958" w:rsidRDefault="009B76B1" w:rsidP="00097601">
            <w:pPr>
              <w:contextualSpacing/>
              <w:jc w:val="both"/>
              <w:rPr>
                <w:sz w:val="24"/>
                <w:szCs w:val="24"/>
              </w:rPr>
            </w:pPr>
            <w:r>
              <w:rPr>
                <w:sz w:val="24"/>
                <w:szCs w:val="24"/>
              </w:rPr>
              <w:t>Ф</w:t>
            </w:r>
            <w:r w:rsidR="00BF3F7E">
              <w:rPr>
                <w:sz w:val="24"/>
                <w:szCs w:val="24"/>
              </w:rPr>
              <w:t>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6FC2E355" w:rsidR="00BF3F7E" w:rsidRPr="00D90958" w:rsidRDefault="009B76B1" w:rsidP="00097601">
            <w:pPr>
              <w:ind w:right="-108"/>
              <w:contextualSpacing/>
              <w:jc w:val="both"/>
              <w:rPr>
                <w:sz w:val="24"/>
                <w:szCs w:val="24"/>
              </w:rPr>
            </w:pPr>
            <w:r>
              <w:rPr>
                <w:sz w:val="24"/>
                <w:szCs w:val="24"/>
              </w:rPr>
              <w:t>М</w:t>
            </w:r>
            <w:r w:rsidR="00BF3F7E">
              <w:rPr>
                <w:sz w:val="24"/>
                <w:szCs w:val="24"/>
              </w:rPr>
              <w:t>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44521888" w:rsidR="00BF3F7E" w:rsidRPr="00D90958" w:rsidRDefault="009B76B1" w:rsidP="00097601">
            <w:pPr>
              <w:contextualSpacing/>
              <w:jc w:val="both"/>
              <w:rPr>
                <w:sz w:val="24"/>
                <w:szCs w:val="24"/>
              </w:rPr>
            </w:pPr>
            <w:r>
              <w:rPr>
                <w:sz w:val="24"/>
                <w:szCs w:val="24"/>
              </w:rPr>
              <w:t>Ш</w:t>
            </w:r>
            <w:r w:rsidR="00BF3F7E">
              <w:rPr>
                <w:sz w:val="24"/>
                <w:szCs w:val="24"/>
              </w:rPr>
              <w:t>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0BFAF65E" w:rsidR="00BF3F7E" w:rsidRPr="00D90958" w:rsidRDefault="009B76B1" w:rsidP="00097601">
            <w:pPr>
              <w:contextualSpacing/>
              <w:jc w:val="both"/>
              <w:rPr>
                <w:sz w:val="24"/>
                <w:szCs w:val="24"/>
              </w:rPr>
            </w:pPr>
            <w:r>
              <w:rPr>
                <w:sz w:val="24"/>
                <w:szCs w:val="24"/>
              </w:rPr>
              <w:t>В</w:t>
            </w:r>
            <w:r w:rsidR="00BF3F7E">
              <w:rPr>
                <w:sz w:val="24"/>
                <w:szCs w:val="24"/>
              </w:rPr>
              <w:t>еб-</w:t>
            </w:r>
            <w:r w:rsidR="00BF3F7E" w:rsidRPr="0061364A">
              <w:rPr>
                <w:sz w:val="24"/>
                <w:szCs w:val="24"/>
              </w:rPr>
              <w:t xml:space="preserve">сайт в сети </w:t>
            </w:r>
            <w:r w:rsidR="00BF3F7E">
              <w:rPr>
                <w:sz w:val="24"/>
                <w:szCs w:val="24"/>
              </w:rPr>
              <w:t>и</w:t>
            </w:r>
            <w:r w:rsidR="00BF3F7E"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25342FC2" w:rsidR="00BF3F7E" w:rsidRPr="00D90958" w:rsidRDefault="009B76B1" w:rsidP="00097601">
            <w:pPr>
              <w:contextualSpacing/>
              <w:rPr>
                <w:sz w:val="24"/>
                <w:szCs w:val="24"/>
              </w:rPr>
            </w:pPr>
            <w:r>
              <w:rPr>
                <w:sz w:val="24"/>
                <w:szCs w:val="24"/>
              </w:rPr>
              <w:t>Э</w:t>
            </w:r>
            <w:r w:rsidR="00BF3F7E">
              <w:rPr>
                <w:sz w:val="24"/>
                <w:szCs w:val="24"/>
              </w:rPr>
              <w:t>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4.05pt;height:15.45pt" o:ole="">
                  <v:imagedata r:id="rId8" o:title=""/>
                </v:shape>
                <o:OLEObject Type="Embed" ProgID="Equation.3" ShapeID="_x0000_i1026" DrawAspect="Content" ObjectID="_1731736815"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49C38F31" w:rsidR="0074577A" w:rsidRPr="0061364A" w:rsidRDefault="009B76B1" w:rsidP="00097601">
            <w:pPr>
              <w:contextualSpacing/>
              <w:rPr>
                <w:sz w:val="24"/>
                <w:szCs w:val="24"/>
              </w:rPr>
            </w:pPr>
            <w:r>
              <w:rPr>
                <w:sz w:val="24"/>
                <w:szCs w:val="24"/>
              </w:rPr>
              <w:t>О</w:t>
            </w:r>
            <w:r w:rsidR="0074577A">
              <w:rPr>
                <w:sz w:val="24"/>
                <w:szCs w:val="24"/>
              </w:rPr>
              <w:t>существлени</w:t>
            </w:r>
            <w:r>
              <w:rPr>
                <w:sz w:val="24"/>
                <w:szCs w:val="24"/>
              </w:rPr>
              <w:t>е</w:t>
            </w:r>
            <w:r w:rsidR="0074577A">
              <w:rPr>
                <w:sz w:val="24"/>
                <w:szCs w:val="24"/>
              </w:rPr>
              <w:t xml:space="preserve">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0F25B1E3" w:rsidR="0074577A" w:rsidRPr="0061364A" w:rsidRDefault="009B76B1" w:rsidP="00097601">
            <w:pPr>
              <w:contextualSpacing/>
              <w:rPr>
                <w:sz w:val="24"/>
                <w:szCs w:val="24"/>
              </w:rPr>
            </w:pPr>
            <w:r>
              <w:rPr>
                <w:sz w:val="24"/>
                <w:szCs w:val="24"/>
              </w:rPr>
              <w:t>Р</w:t>
            </w:r>
            <w:r w:rsidR="0074577A">
              <w:rPr>
                <w:sz w:val="24"/>
                <w:szCs w:val="24"/>
              </w:rPr>
              <w:t>ешени</w:t>
            </w:r>
            <w:r>
              <w:rPr>
                <w:sz w:val="24"/>
                <w:szCs w:val="24"/>
              </w:rPr>
              <w:t>е</w:t>
            </w:r>
            <w:r w:rsidR="0074577A">
              <w:rPr>
                <w:sz w:val="24"/>
                <w:szCs w:val="24"/>
              </w:rPr>
              <w:t xml:space="preserve">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21638742" w:rsidR="0074577A" w:rsidRPr="0061364A" w:rsidRDefault="009B76B1" w:rsidP="00097601">
            <w:pPr>
              <w:contextualSpacing/>
              <w:rPr>
                <w:sz w:val="24"/>
                <w:szCs w:val="24"/>
              </w:rPr>
            </w:pPr>
            <w:r>
              <w:rPr>
                <w:sz w:val="24"/>
                <w:szCs w:val="24"/>
              </w:rPr>
              <w:t>П</w:t>
            </w:r>
            <w:r w:rsidR="0074577A">
              <w:rPr>
                <w:sz w:val="24"/>
                <w:szCs w:val="24"/>
              </w:rPr>
              <w:t>редоставлени</w:t>
            </w:r>
            <w:r>
              <w:rPr>
                <w:sz w:val="24"/>
                <w:szCs w:val="24"/>
              </w:rPr>
              <w:t>е</w:t>
            </w:r>
            <w:r w:rsidR="0074577A">
              <w:rPr>
                <w:sz w:val="24"/>
                <w:szCs w:val="24"/>
              </w:rPr>
              <w:t xml:space="preserve">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0B5278B1" w:rsidR="0074577A" w:rsidRPr="0061364A" w:rsidRDefault="00437A95" w:rsidP="00097601">
            <w:pPr>
              <w:ind w:right="-108"/>
              <w:contextualSpacing/>
              <w:rPr>
                <w:sz w:val="24"/>
                <w:szCs w:val="24"/>
              </w:rPr>
            </w:pPr>
            <w:r>
              <w:rPr>
                <w:sz w:val="24"/>
                <w:szCs w:val="24"/>
              </w:rPr>
              <w:t>О</w:t>
            </w:r>
            <w:r w:rsidR="0074577A">
              <w:rPr>
                <w:sz w:val="24"/>
                <w:szCs w:val="24"/>
              </w:rPr>
              <w:t>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647ACAA0"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5BC3BBC" w14:textId="77777777" w:rsidR="00370736" w:rsidRPr="000F1B8B"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4.05pt;height:15.45pt" o:ole="">
                  <v:imagedata r:id="rId8" o:title=""/>
                </v:shape>
                <o:OLEObject Type="Embed" ProgID="Equation.3" ShapeID="_x0000_i1027" DrawAspect="Content" ObjectID="_1731736816"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032A528C" w:rsidR="003F0AEB" w:rsidRDefault="00184368" w:rsidP="00097601">
            <w:pPr>
              <w:pStyle w:val="a5"/>
              <w:contextualSpacing/>
              <w:jc w:val="center"/>
              <w:rPr>
                <w:sz w:val="24"/>
                <w:szCs w:val="24"/>
              </w:rPr>
            </w:pPr>
            <w:r>
              <w:rPr>
                <w:sz w:val="24"/>
                <w:szCs w:val="24"/>
              </w:rPr>
              <w:t>С</w:t>
            </w:r>
            <w:r w:rsidR="003F0AEB">
              <w:rPr>
                <w:sz w:val="24"/>
                <w:szCs w:val="24"/>
              </w:rPr>
              <w:t xml:space="preserve">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5D841D36" w:rsidR="00ED15CE" w:rsidRDefault="00184368" w:rsidP="00097601">
            <w:pPr>
              <w:pStyle w:val="a5"/>
              <w:contextualSpacing/>
              <w:rPr>
                <w:sz w:val="24"/>
                <w:szCs w:val="24"/>
              </w:rPr>
            </w:pPr>
            <w:r>
              <w:rPr>
                <w:sz w:val="24"/>
                <w:szCs w:val="24"/>
              </w:rPr>
              <w:t>С</w:t>
            </w:r>
            <w:r w:rsidR="00ED15CE">
              <w:rPr>
                <w:sz w:val="24"/>
                <w:szCs w:val="24"/>
              </w:rPr>
              <w:t>пециалистов, всего</w:t>
            </w:r>
          </w:p>
          <w:p w14:paraId="0DFA78F1" w14:textId="27586805" w:rsidR="00ED15CE" w:rsidRPr="00997EA9" w:rsidRDefault="00184368" w:rsidP="00097601">
            <w:pPr>
              <w:pStyle w:val="a5"/>
              <w:contextualSpacing/>
              <w:rPr>
                <w:sz w:val="24"/>
                <w:szCs w:val="24"/>
              </w:rPr>
            </w:pPr>
            <w:r>
              <w:rPr>
                <w:sz w:val="24"/>
                <w:szCs w:val="24"/>
              </w:rPr>
              <w:t>В</w:t>
            </w:r>
            <w:r w:rsidR="00ED15CE">
              <w:rPr>
                <w:sz w:val="24"/>
                <w:szCs w:val="24"/>
              </w:rPr>
              <w:t xml:space="preserve">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3032D2ED" w:rsidR="00ED15CE" w:rsidRPr="00997EA9" w:rsidRDefault="00184368" w:rsidP="00097601">
            <w:pPr>
              <w:pStyle w:val="a5"/>
              <w:contextualSpacing/>
              <w:rPr>
                <w:sz w:val="24"/>
                <w:szCs w:val="24"/>
              </w:rPr>
            </w:pPr>
            <w:r>
              <w:rPr>
                <w:sz w:val="24"/>
                <w:szCs w:val="24"/>
              </w:rPr>
              <w:t>В</w:t>
            </w:r>
            <w:r w:rsidR="00ED15CE">
              <w:rPr>
                <w:sz w:val="24"/>
                <w:szCs w:val="24"/>
              </w:rPr>
              <w:t>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33AF9D4D" w:rsidR="00ED15CE" w:rsidRPr="00997EA9" w:rsidRDefault="00184368" w:rsidP="00097601">
            <w:pPr>
              <w:pStyle w:val="a5"/>
              <w:contextualSpacing/>
              <w:rPr>
                <w:sz w:val="24"/>
                <w:szCs w:val="24"/>
              </w:rPr>
            </w:pPr>
            <w:r>
              <w:rPr>
                <w:sz w:val="24"/>
                <w:szCs w:val="24"/>
              </w:rPr>
              <w:t>С</w:t>
            </w:r>
            <w:r w:rsidR="00ED15CE">
              <w:rPr>
                <w:sz w:val="24"/>
                <w:szCs w:val="24"/>
              </w:rPr>
              <w:t>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4BAF79F8" w:rsidR="003F0AEB" w:rsidRDefault="00184368" w:rsidP="00097601">
            <w:pPr>
              <w:pStyle w:val="a5"/>
              <w:contextualSpacing/>
              <w:jc w:val="center"/>
              <w:rPr>
                <w:sz w:val="24"/>
                <w:szCs w:val="24"/>
              </w:rPr>
            </w:pPr>
            <w:r>
              <w:rPr>
                <w:sz w:val="24"/>
                <w:szCs w:val="24"/>
              </w:rPr>
              <w:t>Б</w:t>
            </w:r>
            <w:r w:rsidR="003F0AEB">
              <w:rPr>
                <w:sz w:val="24"/>
                <w:szCs w:val="24"/>
              </w:rPr>
              <w:t>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27256ECD" w:rsidR="003F0AEB" w:rsidRDefault="00184368" w:rsidP="00097601">
            <w:pPr>
              <w:pStyle w:val="a5"/>
              <w:contextualSpacing/>
              <w:rPr>
                <w:sz w:val="24"/>
                <w:szCs w:val="24"/>
              </w:rPr>
            </w:pPr>
            <w:r>
              <w:rPr>
                <w:sz w:val="24"/>
                <w:szCs w:val="24"/>
              </w:rPr>
              <w:t>С</w:t>
            </w:r>
            <w:r w:rsidR="003F0AEB">
              <w:rPr>
                <w:sz w:val="24"/>
                <w:szCs w:val="24"/>
              </w:rPr>
              <w:t>пециалистов, всего</w:t>
            </w:r>
          </w:p>
          <w:p w14:paraId="34ADF394" w14:textId="615AA06F" w:rsidR="003F0AEB" w:rsidRDefault="00184368" w:rsidP="00097601">
            <w:pPr>
              <w:pStyle w:val="a5"/>
              <w:contextualSpacing/>
              <w:rPr>
                <w:sz w:val="24"/>
                <w:szCs w:val="24"/>
              </w:rPr>
            </w:pPr>
            <w:r>
              <w:rPr>
                <w:sz w:val="24"/>
                <w:szCs w:val="24"/>
              </w:rPr>
              <w:t>В</w:t>
            </w:r>
            <w:r w:rsidR="003F0AEB">
              <w:rPr>
                <w:sz w:val="24"/>
                <w:szCs w:val="24"/>
              </w:rPr>
              <w:t xml:space="preserve">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0DBAE5F5" w:rsidR="003F0AEB" w:rsidRDefault="00184368" w:rsidP="00097601">
            <w:pPr>
              <w:pStyle w:val="a5"/>
              <w:contextualSpacing/>
              <w:rPr>
                <w:sz w:val="24"/>
                <w:szCs w:val="24"/>
              </w:rPr>
            </w:pPr>
            <w:r>
              <w:rPr>
                <w:sz w:val="24"/>
                <w:szCs w:val="24"/>
              </w:rPr>
              <w:t>В</w:t>
            </w:r>
            <w:r w:rsidR="003F0AEB">
              <w:rPr>
                <w:sz w:val="24"/>
                <w:szCs w:val="24"/>
              </w:rPr>
              <w:t>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729A2CF4" w:rsidR="003F0AEB" w:rsidRDefault="00184368" w:rsidP="00097601">
            <w:pPr>
              <w:pStyle w:val="a5"/>
              <w:contextualSpacing/>
              <w:rPr>
                <w:sz w:val="24"/>
                <w:szCs w:val="24"/>
              </w:rPr>
            </w:pPr>
            <w:r>
              <w:rPr>
                <w:sz w:val="24"/>
                <w:szCs w:val="24"/>
              </w:rPr>
              <w:t>С</w:t>
            </w:r>
            <w:r w:rsidR="003F0AEB">
              <w:rPr>
                <w:sz w:val="24"/>
                <w:szCs w:val="24"/>
              </w:rPr>
              <w:t>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314C6C72"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BE92063" w14:textId="77777777" w:rsidR="00370736"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4.05pt;height:15.45pt" o:ole="">
                  <v:imagedata r:id="rId8" o:title=""/>
                </v:shape>
                <o:OLEObject Type="Embed" ProgID="Equation.3" ShapeID="_x0000_i1028" DrawAspect="Content" ObjectID="_1731736817"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216699D6"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40C07501" w:rsidR="00356E92" w:rsidRPr="00997EA9" w:rsidRDefault="00AD654C" w:rsidP="00097601">
            <w:pPr>
              <w:pStyle w:val="a5"/>
              <w:contextualSpacing/>
              <w:rPr>
                <w:sz w:val="24"/>
                <w:szCs w:val="24"/>
              </w:rPr>
            </w:pPr>
            <w:r>
              <w:rPr>
                <w:sz w:val="24"/>
                <w:szCs w:val="24"/>
              </w:rPr>
              <w:t>Р</w:t>
            </w:r>
            <w:r w:rsidR="00356E92" w:rsidRPr="00997EA9">
              <w:rPr>
                <w:sz w:val="24"/>
                <w:szCs w:val="24"/>
              </w:rPr>
              <w:t>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3411B8D4" w:rsidR="00356E92" w:rsidRPr="00997EA9" w:rsidRDefault="00AD654C" w:rsidP="00097601">
            <w:pPr>
              <w:pStyle w:val="a5"/>
              <w:contextualSpacing/>
              <w:rPr>
                <w:sz w:val="24"/>
                <w:szCs w:val="24"/>
              </w:rPr>
            </w:pPr>
            <w:r>
              <w:rPr>
                <w:sz w:val="24"/>
                <w:szCs w:val="24"/>
              </w:rPr>
              <w:t>Т</w:t>
            </w:r>
            <w:r w:rsidR="00356E92" w:rsidRPr="00997EA9">
              <w:rPr>
                <w:sz w:val="24"/>
                <w:szCs w:val="24"/>
              </w:rPr>
              <w:t>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5864C38F" w:rsidR="00356E92" w:rsidRPr="00997EA9" w:rsidRDefault="00AD654C" w:rsidP="00097601">
            <w:pPr>
              <w:pStyle w:val="a5"/>
              <w:contextualSpacing/>
              <w:rPr>
                <w:sz w:val="24"/>
                <w:szCs w:val="24"/>
              </w:rPr>
            </w:pPr>
            <w:r>
              <w:rPr>
                <w:sz w:val="24"/>
                <w:szCs w:val="24"/>
              </w:rPr>
              <w:t>П</w:t>
            </w:r>
            <w:r w:rsidR="00356E92"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54CA023A"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5A381D6F" w:rsidR="00356E92" w:rsidRPr="00997EA9" w:rsidRDefault="00AD654C" w:rsidP="00097601">
            <w:pPr>
              <w:pStyle w:val="a5"/>
              <w:contextualSpacing/>
              <w:rPr>
                <w:sz w:val="24"/>
                <w:szCs w:val="24"/>
              </w:rPr>
            </w:pPr>
            <w:r>
              <w:rPr>
                <w:sz w:val="24"/>
                <w:szCs w:val="24"/>
              </w:rPr>
              <w:t>С</w:t>
            </w:r>
            <w:r w:rsidR="00356E92" w:rsidRPr="00997EA9">
              <w:rPr>
                <w:sz w:val="24"/>
                <w:szCs w:val="24"/>
              </w:rPr>
              <w:t>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7DD29150" w14:textId="3C240AA3" w:rsidR="0080127A" w:rsidRPr="00425D81" w:rsidRDefault="0080127A" w:rsidP="001B4461">
      <w:pPr>
        <w:spacing w:after="0" w:line="360" w:lineRule="auto"/>
        <w:ind w:firstLine="284"/>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w:t>
      </w:r>
      <w:r w:rsidR="004112CC">
        <w:rPr>
          <w:rFonts w:ascii="Times New Roman" w:eastAsia="Times New Roman" w:hAnsi="Times New Roman" w:cs="Times New Roman"/>
          <w:sz w:val="24"/>
          <w:szCs w:val="24"/>
          <w:lang w:eastAsia="ru-RU"/>
        </w:rPr>
        <w:t xml:space="preserve">приведенный ниже </w:t>
      </w:r>
      <w:r>
        <w:rPr>
          <w:rFonts w:ascii="Times New Roman" w:eastAsia="Times New Roman" w:hAnsi="Times New Roman" w:cs="Times New Roman"/>
          <w:sz w:val="24"/>
          <w:szCs w:val="24"/>
          <w:lang w:eastAsia="ru-RU"/>
        </w:rPr>
        <w:t>перечень отраслей по использованию сети Интернет для осуществления коммерческой деятельности (Таблица 5).</w:t>
      </w:r>
      <w:r w:rsidR="00425D81" w:rsidRPr="00425D81">
        <w:rPr>
          <w:rFonts w:ascii="Times New Roman" w:eastAsia="Times New Roman" w:hAnsi="Times New Roman" w:cs="Times New Roman"/>
          <w:sz w:val="24"/>
          <w:szCs w:val="24"/>
          <w:lang w:eastAsia="ru-RU"/>
        </w:rPr>
        <w:t xml:space="preserve"> </w:t>
      </w:r>
      <w:r w:rsidR="00425D81">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w:t>
      </w:r>
      <w:r w:rsidR="006B2B2F">
        <w:rPr>
          <w:rFonts w:ascii="Times New Roman" w:eastAsia="Times New Roman" w:hAnsi="Times New Roman" w:cs="Times New Roman"/>
          <w:sz w:val="24"/>
          <w:szCs w:val="24"/>
          <w:lang w:eastAsia="ru-RU"/>
        </w:rPr>
        <w:t xml:space="preserve"> (ф</w:t>
      </w:r>
      <w:r w:rsidR="00425D81">
        <w:rPr>
          <w:rFonts w:ascii="Times New Roman" w:eastAsia="Times New Roman" w:hAnsi="Times New Roman" w:cs="Times New Roman"/>
          <w:sz w:val="24"/>
          <w:szCs w:val="24"/>
          <w:lang w:eastAsia="ru-RU"/>
        </w:rPr>
        <w:t>актически же здесь присутствуют д</w:t>
      </w:r>
      <w:r w:rsidR="00967516">
        <w:rPr>
          <w:rFonts w:ascii="Times New Roman" w:eastAsia="Times New Roman" w:hAnsi="Times New Roman" w:cs="Times New Roman"/>
          <w:sz w:val="24"/>
          <w:szCs w:val="24"/>
          <w:lang w:eastAsia="ru-RU"/>
        </w:rPr>
        <w:t>ва</w:t>
      </w:r>
      <w:r w:rsidR="00425D81">
        <w:rPr>
          <w:rFonts w:ascii="Times New Roman" w:eastAsia="Times New Roman" w:hAnsi="Times New Roman" w:cs="Times New Roman"/>
          <w:sz w:val="24"/>
          <w:szCs w:val="24"/>
          <w:lang w:eastAsia="ru-RU"/>
        </w:rPr>
        <w:t xml:space="preserve"> показателя со схожими названиями, характеризующие</w:t>
      </w:r>
      <w:r w:rsidR="00967516">
        <w:rPr>
          <w:rFonts w:ascii="Times New Roman" w:eastAsia="Times New Roman" w:hAnsi="Times New Roman" w:cs="Times New Roman"/>
          <w:sz w:val="24"/>
          <w:szCs w:val="24"/>
          <w:lang w:eastAsia="ru-RU"/>
        </w:rPr>
        <w:t>, соответственно,</w:t>
      </w:r>
      <w:r w:rsidR="00425D81">
        <w:rPr>
          <w:rFonts w:ascii="Times New Roman" w:eastAsia="Times New Roman" w:hAnsi="Times New Roman" w:cs="Times New Roman"/>
          <w:sz w:val="24"/>
          <w:szCs w:val="24"/>
          <w:lang w:eastAsia="ru-RU"/>
        </w:rPr>
        <w:t xml:space="preserve"> два совершенно разных процесса</w:t>
      </w:r>
      <w:r w:rsidR="006B2B2F">
        <w:rPr>
          <w:rFonts w:ascii="Times New Roman" w:eastAsia="Times New Roman" w:hAnsi="Times New Roman" w:cs="Times New Roman"/>
          <w:sz w:val="24"/>
          <w:szCs w:val="24"/>
          <w:lang w:eastAsia="ru-RU"/>
        </w:rPr>
        <w:t>)</w:t>
      </w:r>
      <w:r w:rsidR="00425D81">
        <w:rPr>
          <w:rFonts w:ascii="Times New Roman" w:eastAsia="Times New Roman" w:hAnsi="Times New Roman" w:cs="Times New Roman"/>
          <w:sz w:val="24"/>
          <w:szCs w:val="24"/>
          <w:lang w:eastAsia="ru-RU"/>
        </w:rPr>
        <w:t>.</w:t>
      </w:r>
    </w:p>
    <w:p w14:paraId="404815A1" w14:textId="77777777" w:rsidR="001B4461" w:rsidRDefault="001B4461"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1B4461">
      <w:pPr>
        <w:spacing w:line="360" w:lineRule="auto"/>
        <w:ind w:firstLine="284"/>
        <w:contextualSpacing/>
        <w:jc w:val="both"/>
        <w:rPr>
          <w:rFonts w:ascii="Times New Roman" w:hAnsi="Times New Roman" w:cs="Times New Roman"/>
          <w:sz w:val="24"/>
          <w:szCs w:val="24"/>
        </w:rPr>
      </w:pPr>
    </w:p>
    <w:p w14:paraId="41A5010D" w14:textId="223B73E2" w:rsidR="000F1B8B" w:rsidRDefault="00B778D3" w:rsidP="003A2F12">
      <w:pPr>
        <w:spacing w:line="360" w:lineRule="auto"/>
        <w:ind w:firstLine="284"/>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lastRenderedPageBreak/>
        <w:t>П</w:t>
      </w:r>
      <w:r w:rsidR="009D1B4F">
        <w:rPr>
          <w:rFonts w:ascii="Times New Roman" w:hAnsi="Times New Roman" w:cs="Times New Roman"/>
          <w:sz w:val="24"/>
          <w:szCs w:val="24"/>
        </w:rPr>
        <w:t>роблему</w:t>
      </w:r>
      <w:r>
        <w:rPr>
          <w:rFonts w:ascii="Times New Roman" w:hAnsi="Times New Roman" w:cs="Times New Roman"/>
          <w:sz w:val="24"/>
          <w:szCs w:val="24"/>
        </w:rPr>
        <w:t xml:space="preserve"> получения сравнительно однородных групп из исходной совокупности на основании оценивания ее по нескольким признакам</w:t>
      </w:r>
      <w:r w:rsidR="009D1B4F">
        <w:rPr>
          <w:rFonts w:ascii="Times New Roman" w:hAnsi="Times New Roman" w:cs="Times New Roman"/>
          <w:sz w:val="24"/>
          <w:szCs w:val="24"/>
        </w:rPr>
        <w:t xml:space="preserve">, некоторым образом, возможно решить посредством </w:t>
      </w:r>
      <w:r>
        <w:rPr>
          <w:rFonts w:ascii="Times New Roman" w:hAnsi="Times New Roman" w:cs="Times New Roman"/>
          <w:sz w:val="24"/>
          <w:szCs w:val="24"/>
        </w:rPr>
        <w:t xml:space="preserve">применения </w:t>
      </w:r>
      <w:r w:rsidR="009D1B4F">
        <w:rPr>
          <w:rFonts w:ascii="Times New Roman" w:hAnsi="Times New Roman" w:cs="Times New Roman"/>
          <w:sz w:val="24"/>
          <w:szCs w:val="24"/>
        </w:rPr>
        <w:t>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(Рисунок 2).</w:t>
      </w:r>
      <w:r w:rsidR="00BA522E">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w:t>
      </w:r>
      <w:r w:rsidR="00B24152">
        <w:rPr>
          <w:rFonts w:ascii="Times New Roman" w:hAnsi="Times New Roman" w:cs="Times New Roman"/>
          <w:sz w:val="24"/>
          <w:szCs w:val="24"/>
        </w:rPr>
        <w:t xml:space="preserve">оценить, </w:t>
      </w:r>
      <w:r w:rsidR="00BA522E">
        <w:rPr>
          <w:rFonts w:ascii="Times New Roman" w:hAnsi="Times New Roman" w:cs="Times New Roman"/>
          <w:sz w:val="24"/>
          <w:szCs w:val="24"/>
        </w:rPr>
        <w:t xml:space="preserve">выразить, формализовать значение этой меры. Здесь в качестве меры был использован метод Уорда, дающий </w:t>
      </w:r>
      <w:r w:rsidR="00193A02">
        <w:rPr>
          <w:rFonts w:ascii="Times New Roman" w:hAnsi="Times New Roman" w:cs="Times New Roman"/>
          <w:sz w:val="24"/>
          <w:szCs w:val="24"/>
        </w:rPr>
        <w:t xml:space="preserve">небольшое количество </w:t>
      </w:r>
      <w:r w:rsidR="00BA522E">
        <w:rPr>
          <w:rFonts w:ascii="Times New Roman" w:hAnsi="Times New Roman" w:cs="Times New Roman"/>
          <w:sz w:val="24"/>
          <w:szCs w:val="24"/>
        </w:rPr>
        <w:t>достаточно равны</w:t>
      </w:r>
      <w:r w:rsidR="00193A02">
        <w:rPr>
          <w:rFonts w:ascii="Times New Roman" w:hAnsi="Times New Roman" w:cs="Times New Roman"/>
          <w:sz w:val="24"/>
          <w:szCs w:val="24"/>
        </w:rPr>
        <w:t>х</w:t>
      </w:r>
      <w:r w:rsidR="00BA522E">
        <w:rPr>
          <w:rFonts w:ascii="Times New Roman" w:hAnsi="Times New Roman" w:cs="Times New Roman"/>
          <w:sz w:val="24"/>
          <w:szCs w:val="24"/>
        </w:rPr>
        <w:t xml:space="preserve"> по размеру кластер</w:t>
      </w:r>
      <w:r w:rsidR="00193A02">
        <w:rPr>
          <w:rFonts w:ascii="Times New Roman" w:hAnsi="Times New Roman" w:cs="Times New Roman"/>
          <w:sz w:val="24"/>
          <w:szCs w:val="24"/>
        </w:rPr>
        <w:t>ов, что позволяет впоследствии достаточно легко их типизировать.</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Кроме того, была использована м</w:t>
      </w:r>
      <w:r w:rsidR="00BA522E">
        <w:rPr>
          <w:rFonts w:ascii="Times New Roman" w:hAnsi="Times New Roman" w:cs="Times New Roman"/>
          <w:sz w:val="24"/>
          <w:szCs w:val="24"/>
        </w:rPr>
        <w:t>етрик</w:t>
      </w:r>
      <w:r w:rsidR="00193A02">
        <w:rPr>
          <w:rFonts w:ascii="Times New Roman" w:hAnsi="Times New Roman" w:cs="Times New Roman"/>
          <w:sz w:val="24"/>
          <w:szCs w:val="24"/>
        </w:rPr>
        <w:t>а Минковского</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w:t>
      </w:r>
      <w:r w:rsidR="00BA522E">
        <w:rPr>
          <w:rFonts w:ascii="Times New Roman" w:hAnsi="Times New Roman" w:cs="Times New Roman"/>
          <w:sz w:val="24"/>
          <w:szCs w:val="24"/>
        </w:rPr>
        <w:t>т. н. расстояние городских кварталов</w:t>
      </w:r>
      <w:r w:rsidR="00193A02">
        <w:rPr>
          <w:rFonts w:ascii="Times New Roman" w:hAnsi="Times New Roman" w:cs="Times New Roman"/>
          <w:sz w:val="24"/>
          <w:szCs w:val="24"/>
        </w:rPr>
        <w:t>)</w:t>
      </w:r>
      <w:r w:rsidR="00A605FA">
        <w:rPr>
          <w:rFonts w:ascii="Times New Roman" w:hAnsi="Times New Roman" w:cs="Times New Roman"/>
          <w:sz w:val="24"/>
          <w:szCs w:val="24"/>
        </w:rPr>
        <w:t>, поскольку он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способн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нивелировать масштабы выражения признаков в разных единицах измерения</w:t>
      </w:r>
      <w:r w:rsidR="00BA522E">
        <w:rPr>
          <w:rFonts w:ascii="Times New Roman" w:hAnsi="Times New Roman" w:cs="Times New Roman"/>
          <w:sz w:val="24"/>
          <w:szCs w:val="24"/>
        </w:rPr>
        <w:t xml:space="preserve">. </w:t>
      </w:r>
      <w:r w:rsidR="003A2F12">
        <w:rPr>
          <w:rFonts w:ascii="Times New Roman" w:hAnsi="Times New Roman" w:cs="Times New Roman"/>
          <w:sz w:val="24"/>
          <w:szCs w:val="24"/>
        </w:rPr>
        <w:t>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45E07893" w14:textId="77777777" w:rsidR="000F1B8B" w:rsidRDefault="000F1B8B"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10113E6D" w14:textId="2760DFBA"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4A73A0C3" w14:textId="77777777" w:rsidR="009F6468" w:rsidRDefault="009F6468" w:rsidP="00097601">
      <w:pPr>
        <w:spacing w:line="240" w:lineRule="auto"/>
        <w:ind w:left="-142"/>
        <w:contextualSpacing/>
        <w:jc w:val="center"/>
        <w:rPr>
          <w:rFonts w:ascii="Times New Roman" w:hAnsi="Times New Roman" w:cs="Times New Roman"/>
          <w:sz w:val="24"/>
          <w:szCs w:val="24"/>
        </w:rPr>
      </w:pPr>
    </w:p>
    <w:p w14:paraId="50DCDBD6" w14:textId="5D9DA9AA" w:rsidR="00CB0F6C" w:rsidRPr="00FB6BBF" w:rsidRDefault="0025038A" w:rsidP="000976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078E516" w14:textId="26112300" w:rsidR="00877A43" w:rsidRDefault="00FB65F7"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Многомерные методы, в частности кластерны</w:t>
      </w:r>
      <w:r w:rsidR="00820263">
        <w:rPr>
          <w:rFonts w:ascii="Times New Roman" w:hAnsi="Times New Roman" w:cs="Times New Roman"/>
          <w:sz w:val="24"/>
          <w:szCs w:val="24"/>
        </w:rPr>
        <w:t>й</w:t>
      </w:r>
      <w:r>
        <w:rPr>
          <w:rFonts w:ascii="Times New Roman" w:hAnsi="Times New Roman" w:cs="Times New Roman"/>
          <w:sz w:val="24"/>
          <w:szCs w:val="24"/>
        </w:rPr>
        <w:t xml:space="preserve"> анализ, позволяют классифицировать единицы совокупности, </w:t>
      </w:r>
      <w:r w:rsidR="00820263">
        <w:rPr>
          <w:rFonts w:ascii="Times New Roman" w:hAnsi="Times New Roman" w:cs="Times New Roman"/>
          <w:sz w:val="24"/>
          <w:szCs w:val="24"/>
        </w:rPr>
        <w:t>однако</w:t>
      </w:r>
      <w:r>
        <w:rPr>
          <w:rFonts w:ascii="Times New Roman" w:hAnsi="Times New Roman" w:cs="Times New Roman"/>
          <w:sz w:val="24"/>
          <w:szCs w:val="24"/>
        </w:rPr>
        <w:t xml:space="preserve"> математический, абстрактный характер получаемых при этом статистик</w:t>
      </w:r>
      <w:r w:rsidR="00250C32">
        <w:rPr>
          <w:rFonts w:ascii="Times New Roman" w:hAnsi="Times New Roman" w:cs="Times New Roman"/>
          <w:sz w:val="24"/>
          <w:szCs w:val="24"/>
        </w:rPr>
        <w:t xml:space="preserve"> </w:t>
      </w:r>
      <w:r w:rsidR="008C6937">
        <w:rPr>
          <w:rFonts w:ascii="Times New Roman" w:hAnsi="Times New Roman" w:cs="Times New Roman"/>
          <w:sz w:val="24"/>
          <w:szCs w:val="24"/>
        </w:rPr>
        <w:t xml:space="preserve">весьма </w:t>
      </w:r>
      <w:r>
        <w:rPr>
          <w:rFonts w:ascii="Times New Roman" w:hAnsi="Times New Roman" w:cs="Times New Roman"/>
          <w:sz w:val="24"/>
          <w:szCs w:val="24"/>
        </w:rPr>
        <w:t>затрудняют их интерпретацию.</w:t>
      </w:r>
      <w:r w:rsidR="00257AFA">
        <w:rPr>
          <w:rFonts w:ascii="Times New Roman" w:hAnsi="Times New Roman" w:cs="Times New Roman"/>
          <w:sz w:val="24"/>
          <w:szCs w:val="24"/>
        </w:rPr>
        <w:t xml:space="preserve">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w:t>
      </w:r>
      <w:r w:rsidR="008D0F8B">
        <w:rPr>
          <w:rFonts w:ascii="Times New Roman" w:hAnsi="Times New Roman" w:cs="Times New Roman"/>
          <w:sz w:val="24"/>
          <w:szCs w:val="24"/>
        </w:rPr>
        <w:t>Существует немало примеро</w:t>
      </w:r>
      <w:r w:rsidR="00250C32">
        <w:rPr>
          <w:rFonts w:ascii="Times New Roman" w:hAnsi="Times New Roman" w:cs="Times New Roman"/>
          <w:sz w:val="24"/>
          <w:szCs w:val="24"/>
        </w:rPr>
        <w:t>в</w:t>
      </w:r>
      <w:r w:rsidR="008D0F8B">
        <w:rPr>
          <w:rFonts w:ascii="Times New Roman" w:hAnsi="Times New Roman" w:cs="Times New Roman"/>
          <w:sz w:val="24"/>
          <w:szCs w:val="24"/>
        </w:rPr>
        <w:t xml:space="preserve"> </w:t>
      </w:r>
      <w:r w:rsidR="00250C32">
        <w:rPr>
          <w:rFonts w:ascii="Times New Roman" w:hAnsi="Times New Roman" w:cs="Times New Roman"/>
          <w:sz w:val="24"/>
          <w:szCs w:val="24"/>
        </w:rPr>
        <w:t>подобных</w:t>
      </w:r>
      <w:r w:rsidR="008D0F8B">
        <w:rPr>
          <w:rFonts w:ascii="Times New Roman" w:hAnsi="Times New Roman" w:cs="Times New Roman"/>
          <w:sz w:val="24"/>
          <w:szCs w:val="24"/>
        </w:rPr>
        <w:t xml:space="preserve"> показателей, среди которых есть такие, что получили большую популярность (например, </w:t>
      </w:r>
      <w:r w:rsidR="008D0F8B">
        <w:rPr>
          <w:rFonts w:ascii="Times New Roman" w:hAnsi="Times New Roman" w:cs="Times New Roman"/>
          <w:sz w:val="24"/>
          <w:szCs w:val="24"/>
          <w:lang w:val="en-US"/>
        </w:rPr>
        <w:t>ICT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Development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Index</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IDI</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 xml:space="preserve">Индекс развития информационно-коммуникационных технологий, разработанный Международным союзом электросвязи), или же </w:t>
      </w:r>
      <w:r w:rsidR="00E9759B">
        <w:rPr>
          <w:rFonts w:ascii="Times New Roman" w:hAnsi="Times New Roman" w:cs="Times New Roman"/>
          <w:sz w:val="24"/>
          <w:szCs w:val="24"/>
        </w:rPr>
        <w:t xml:space="preserve">те, что </w:t>
      </w:r>
      <w:r w:rsidR="00877A43">
        <w:rPr>
          <w:rFonts w:ascii="Times New Roman" w:hAnsi="Times New Roman" w:cs="Times New Roman"/>
          <w:sz w:val="24"/>
          <w:szCs w:val="24"/>
        </w:rPr>
        <w:t>мало</w:t>
      </w:r>
      <w:r w:rsidR="008D0F8B">
        <w:rPr>
          <w:rFonts w:ascii="Times New Roman" w:hAnsi="Times New Roman" w:cs="Times New Roman"/>
          <w:sz w:val="24"/>
          <w:szCs w:val="24"/>
        </w:rPr>
        <w:t xml:space="preserve">известны (например, </w:t>
      </w:r>
      <w:r w:rsidR="008D0F8B" w:rsidRPr="008D0F8B">
        <w:rPr>
          <w:rFonts w:ascii="Times New Roman" w:hAnsi="Times New Roman" w:cs="Times New Roman"/>
          <w:sz w:val="24"/>
          <w:szCs w:val="24"/>
        </w:rPr>
        <w:t>[</w:t>
      </w:r>
      <w:r w:rsidR="008D0F8B">
        <w:rPr>
          <w:rFonts w:ascii="Times New Roman" w:hAnsi="Times New Roman" w:cs="Times New Roman"/>
          <w:sz w:val="24"/>
          <w:szCs w:val="24"/>
        </w:rPr>
        <w:t>2, 19</w:t>
      </w:r>
      <w:r w:rsidR="00E9759B">
        <w:rPr>
          <w:rFonts w:ascii="Times New Roman" w:hAnsi="Times New Roman" w:cs="Times New Roman"/>
          <w:sz w:val="24"/>
          <w:szCs w:val="24"/>
        </w:rPr>
        <w:t>–</w:t>
      </w:r>
      <w:r w:rsidR="008D0F8B">
        <w:rPr>
          <w:rFonts w:ascii="Times New Roman" w:hAnsi="Times New Roman" w:cs="Times New Roman"/>
          <w:sz w:val="24"/>
          <w:szCs w:val="24"/>
        </w:rPr>
        <w:t>26</w:t>
      </w:r>
      <w:r w:rsidR="008D0F8B" w:rsidRPr="008D0F8B">
        <w:rPr>
          <w:rFonts w:ascii="Times New Roman" w:hAnsi="Times New Roman" w:cs="Times New Roman"/>
          <w:sz w:val="24"/>
          <w:szCs w:val="24"/>
        </w:rPr>
        <w:t>]</w:t>
      </w:r>
      <w:r w:rsidR="008D0F8B">
        <w:rPr>
          <w:rFonts w:ascii="Times New Roman" w:hAnsi="Times New Roman" w:cs="Times New Roman"/>
          <w:sz w:val="24"/>
          <w:szCs w:val="24"/>
        </w:rPr>
        <w:t>).</w:t>
      </w:r>
      <w:r w:rsidR="00877A43">
        <w:rPr>
          <w:rFonts w:ascii="Times New Roman" w:hAnsi="Times New Roman" w:cs="Times New Roman"/>
          <w:sz w:val="24"/>
          <w:szCs w:val="24"/>
        </w:rPr>
        <w:t xml:space="preserve">  Попытка построения такого интегрального показателя</w:t>
      </w:r>
      <w:r w:rsidR="005F1242">
        <w:rPr>
          <w:rFonts w:ascii="Times New Roman" w:hAnsi="Times New Roman" w:cs="Times New Roman"/>
          <w:sz w:val="24"/>
          <w:szCs w:val="24"/>
        </w:rPr>
        <w:t xml:space="preserve"> (Таблица 6)</w:t>
      </w:r>
      <w:r w:rsidR="00877A43">
        <w:rPr>
          <w:rFonts w:ascii="Times New Roman" w:hAnsi="Times New Roman" w:cs="Times New Roman"/>
          <w:sz w:val="24"/>
          <w:szCs w:val="24"/>
        </w:rPr>
        <w:t xml:space="preserve"> </w:t>
      </w:r>
      <w:r w:rsidR="005F1242">
        <w:rPr>
          <w:rFonts w:ascii="Times New Roman" w:hAnsi="Times New Roman" w:cs="Times New Roman"/>
          <w:sz w:val="24"/>
          <w:szCs w:val="24"/>
        </w:rPr>
        <w:t>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w:t>
      </w:r>
      <w:r w:rsidR="007C4E80">
        <w:rPr>
          <w:rFonts w:ascii="Times New Roman" w:hAnsi="Times New Roman" w:cs="Times New Roman"/>
          <w:sz w:val="24"/>
          <w:szCs w:val="24"/>
        </w:rPr>
        <w:t>, значения не стандартизировались</w:t>
      </w:r>
      <w:r w:rsidR="005F1242">
        <w:rPr>
          <w:rFonts w:ascii="Times New Roman" w:hAnsi="Times New Roman" w:cs="Times New Roman"/>
          <w:sz w:val="24"/>
          <w:szCs w:val="24"/>
        </w:rPr>
        <w:t xml:space="preserve">). </w:t>
      </w: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C465F23"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46DF5CD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3F0A450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6C81188B"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w:t>
            </w:r>
            <w:r w:rsidR="001967E1">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64849AC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О</w:t>
            </w:r>
            <w:r w:rsidR="00F55B46"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7D27606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Р</w:t>
            </w:r>
            <w:r w:rsidR="00F55B46"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24AEA210"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485434C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19ADA60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2892A22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262E82" w:rsidRPr="00997EA9">
              <w:rPr>
                <w:rFonts w:ascii="Times New Roman" w:hAnsi="Times New Roman" w:cs="Times New Roman"/>
                <w:sz w:val="24"/>
                <w:szCs w:val="24"/>
              </w:rPr>
              <w:t>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282BCB8F"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П</w:t>
            </w:r>
            <w:r w:rsidR="00262E82"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41AE3B4" w14:textId="38AB6688" w:rsidR="00D77603" w:rsidRDefault="00D77603" w:rsidP="00097601">
      <w:pPr>
        <w:spacing w:line="360" w:lineRule="auto"/>
        <w:ind w:firstLine="284"/>
        <w:contextualSpacing/>
        <w:jc w:val="both"/>
        <w:rPr>
          <w:rFonts w:ascii="Times New Roman" w:hAnsi="Times New Roman" w:cs="Times New Roman"/>
          <w:sz w:val="24"/>
          <w:szCs w:val="24"/>
        </w:rPr>
      </w:pPr>
    </w:p>
    <w:p w14:paraId="22893E88" w14:textId="5CB64CF9" w:rsidR="009D1B4F" w:rsidRDefault="00C165B6"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Результаты расчета Интегрального показателя позволили построить типологическую группировку (Таблица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 (что, конечно, может быть объяснено субъективностью выбора границ группировочных интервалов).</w:t>
      </w:r>
      <w:r w:rsidR="00DA5F06">
        <w:rPr>
          <w:rFonts w:ascii="Times New Roman" w:hAnsi="Times New Roman" w:cs="Times New Roman"/>
          <w:sz w:val="24"/>
          <w:szCs w:val="24"/>
        </w:rPr>
        <w:t xml:space="preserve"> Весьма ожидаемо</w:t>
      </w:r>
      <w:r w:rsidR="00B606F0">
        <w:rPr>
          <w:rFonts w:ascii="Times New Roman" w:hAnsi="Times New Roman" w:cs="Times New Roman"/>
          <w:sz w:val="24"/>
          <w:szCs w:val="24"/>
        </w:rPr>
        <w:t>, что</w:t>
      </w:r>
      <w:r w:rsidR="00DA5F06">
        <w:rPr>
          <w:rFonts w:ascii="Times New Roman" w:hAnsi="Times New Roman" w:cs="Times New Roman"/>
          <w:sz w:val="24"/>
          <w:szCs w:val="24"/>
        </w:rPr>
        <w:t xml:space="preserve"> в лидерах этого ранжированного перечня оказалась отрасль информации и связи, </w:t>
      </w:r>
      <w:r w:rsidR="00AD037F">
        <w:rPr>
          <w:rFonts w:ascii="Times New Roman" w:hAnsi="Times New Roman" w:cs="Times New Roman"/>
          <w:sz w:val="24"/>
          <w:szCs w:val="24"/>
        </w:rPr>
        <w:t xml:space="preserve">а </w:t>
      </w:r>
      <w:r w:rsidR="00DA5F06">
        <w:rPr>
          <w:rFonts w:ascii="Times New Roman" w:hAnsi="Times New Roman" w:cs="Times New Roman"/>
          <w:sz w:val="24"/>
          <w:szCs w:val="24"/>
        </w:rPr>
        <w:t>в аутсайдерах – отрасль сельского хозяйства (значения их отдельных показателей приведены в Таблице 6).</w:t>
      </w:r>
      <w:r w:rsidR="00B606F0">
        <w:rPr>
          <w:rFonts w:ascii="Times New Roman" w:hAnsi="Times New Roman" w:cs="Times New Roman"/>
          <w:sz w:val="24"/>
          <w:szCs w:val="24"/>
        </w:rPr>
        <w:t xml:space="preserve"> </w:t>
      </w:r>
      <w:r w:rsidR="00284B31">
        <w:rPr>
          <w:rFonts w:ascii="Times New Roman" w:hAnsi="Times New Roman" w:cs="Times New Roman"/>
          <w:sz w:val="24"/>
          <w:szCs w:val="24"/>
        </w:rPr>
        <w:t>В целом по анализируемой совокупности прослеживается явная тенденция</w:t>
      </w:r>
      <w:r w:rsidR="005F3B52">
        <w:rPr>
          <w:rFonts w:ascii="Times New Roman" w:hAnsi="Times New Roman" w:cs="Times New Roman"/>
          <w:sz w:val="24"/>
          <w:szCs w:val="24"/>
        </w:rPr>
        <w:t xml:space="preserve"> или зависимость</w:t>
      </w:r>
      <w:r w:rsidR="00284B31">
        <w:rPr>
          <w:rFonts w:ascii="Times New Roman" w:hAnsi="Times New Roman" w:cs="Times New Roman"/>
          <w:sz w:val="24"/>
          <w:szCs w:val="24"/>
        </w:rPr>
        <w:t xml:space="preserve">: чем ближе отрасль к сфере материального производства, </w:t>
      </w:r>
      <w:r w:rsidR="00F95691">
        <w:rPr>
          <w:rFonts w:ascii="Times New Roman" w:hAnsi="Times New Roman" w:cs="Times New Roman"/>
          <w:sz w:val="24"/>
          <w:szCs w:val="24"/>
        </w:rPr>
        <w:t>т</w:t>
      </w:r>
      <w:r w:rsidR="00284B31">
        <w:rPr>
          <w:rFonts w:ascii="Times New Roman" w:hAnsi="Times New Roman" w:cs="Times New Roman"/>
          <w:sz w:val="24"/>
          <w:szCs w:val="24"/>
        </w:rPr>
        <w:t xml:space="preserve">ем ниже </w:t>
      </w:r>
      <w:r w:rsidR="00AF3649">
        <w:rPr>
          <w:rFonts w:ascii="Times New Roman" w:hAnsi="Times New Roman" w:cs="Times New Roman"/>
          <w:sz w:val="24"/>
          <w:szCs w:val="24"/>
        </w:rPr>
        <w:t>свойственное ей</w:t>
      </w:r>
      <w:r w:rsidR="00284B31">
        <w:rPr>
          <w:rFonts w:ascii="Times New Roman" w:hAnsi="Times New Roman" w:cs="Times New Roman"/>
          <w:sz w:val="24"/>
          <w:szCs w:val="24"/>
        </w:rPr>
        <w:t xml:space="preserve"> значение Интегрального показателя. </w:t>
      </w:r>
    </w:p>
    <w:p w14:paraId="67FF3CFD" w14:textId="77777777" w:rsidR="00284B31" w:rsidRDefault="00284B31"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BB0C302" w14:textId="24255190" w:rsidR="000C6A6A" w:rsidRDefault="003D43B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Необходимость постоянного статистического мониторинга процессов цифровой трансформации экономики обусловливается высоким уровнем их важности для страны и актуальности для научного сообщества. Отечественная статистика в определенной мере обеспечивает исследователей и статистическими данными, и методологией.</w:t>
      </w:r>
      <w:r w:rsidR="00AD7F69">
        <w:rPr>
          <w:rFonts w:ascii="Times New Roman" w:hAnsi="Times New Roman" w:cs="Times New Roman"/>
          <w:sz w:val="24"/>
          <w:szCs w:val="24"/>
        </w:rPr>
        <w:t xml:space="preserve"> Конечно же</w:t>
      </w:r>
      <w:r>
        <w:rPr>
          <w:rFonts w:ascii="Times New Roman" w:hAnsi="Times New Roman" w:cs="Times New Roman"/>
          <w:sz w:val="24"/>
          <w:szCs w:val="24"/>
        </w:rPr>
        <w:t>, обе эти составляющи</w:t>
      </w:r>
      <w:r w:rsidR="005506EE">
        <w:rPr>
          <w:rFonts w:ascii="Times New Roman" w:hAnsi="Times New Roman" w:cs="Times New Roman"/>
          <w:sz w:val="24"/>
          <w:szCs w:val="24"/>
        </w:rPr>
        <w:t>е</w:t>
      </w:r>
      <w:r>
        <w:rPr>
          <w:rFonts w:ascii="Times New Roman" w:hAnsi="Times New Roman" w:cs="Times New Roman"/>
          <w:sz w:val="24"/>
          <w:szCs w:val="24"/>
        </w:rPr>
        <w:t xml:space="preserve"> успеха научного исследования </w:t>
      </w:r>
      <w:r w:rsidR="00AD7F69">
        <w:rPr>
          <w:rFonts w:ascii="Times New Roman" w:hAnsi="Times New Roman" w:cs="Times New Roman"/>
          <w:sz w:val="24"/>
          <w:szCs w:val="24"/>
        </w:rPr>
        <w:t xml:space="preserve">являются результатом </w:t>
      </w:r>
      <w:r>
        <w:rPr>
          <w:rFonts w:ascii="Times New Roman" w:hAnsi="Times New Roman" w:cs="Times New Roman"/>
          <w:sz w:val="24"/>
          <w:szCs w:val="24"/>
        </w:rPr>
        <w:t xml:space="preserve">планомерной работы: в первом случае – в направлении повышения оперативности получения </w:t>
      </w:r>
      <w:r w:rsidR="006B51DA">
        <w:rPr>
          <w:rFonts w:ascii="Times New Roman" w:hAnsi="Times New Roman" w:cs="Times New Roman"/>
          <w:sz w:val="24"/>
          <w:szCs w:val="24"/>
        </w:rPr>
        <w:t xml:space="preserve">данных </w:t>
      </w:r>
      <w:r>
        <w:rPr>
          <w:rFonts w:ascii="Times New Roman" w:hAnsi="Times New Roman" w:cs="Times New Roman"/>
          <w:sz w:val="24"/>
          <w:szCs w:val="24"/>
        </w:rPr>
        <w:t xml:space="preserve">и публикации </w:t>
      </w:r>
      <w:r w:rsidR="006B51DA">
        <w:rPr>
          <w:rFonts w:ascii="Times New Roman" w:hAnsi="Times New Roman" w:cs="Times New Roman"/>
          <w:sz w:val="24"/>
          <w:szCs w:val="24"/>
        </w:rPr>
        <w:t xml:space="preserve">их </w:t>
      </w:r>
      <w:r>
        <w:rPr>
          <w:rFonts w:ascii="Times New Roman" w:hAnsi="Times New Roman" w:cs="Times New Roman"/>
          <w:sz w:val="24"/>
          <w:szCs w:val="24"/>
        </w:rPr>
        <w:t xml:space="preserve">в открытом доступе, во втором – </w:t>
      </w:r>
      <w:r w:rsidR="00A247BA">
        <w:rPr>
          <w:rFonts w:ascii="Times New Roman" w:hAnsi="Times New Roman" w:cs="Times New Roman"/>
          <w:sz w:val="24"/>
          <w:szCs w:val="24"/>
        </w:rPr>
        <w:t>в</w:t>
      </w:r>
      <w:r>
        <w:rPr>
          <w:rFonts w:ascii="Times New Roman" w:hAnsi="Times New Roman" w:cs="Times New Roman"/>
          <w:sz w:val="24"/>
          <w:szCs w:val="24"/>
        </w:rPr>
        <w:t xml:space="preserve"> </w:t>
      </w:r>
      <w:r w:rsidR="00BD319F">
        <w:rPr>
          <w:rFonts w:ascii="Times New Roman" w:hAnsi="Times New Roman" w:cs="Times New Roman"/>
          <w:sz w:val="24"/>
          <w:szCs w:val="24"/>
        </w:rPr>
        <w:t xml:space="preserve">качественном улучшении системы методов </w:t>
      </w:r>
      <w:r w:rsidR="00331656">
        <w:rPr>
          <w:rFonts w:ascii="Times New Roman" w:hAnsi="Times New Roman" w:cs="Times New Roman"/>
          <w:sz w:val="24"/>
          <w:szCs w:val="24"/>
        </w:rPr>
        <w:t>статистического обследования</w:t>
      </w:r>
      <w:r w:rsidR="00214CC7">
        <w:rPr>
          <w:rFonts w:ascii="Times New Roman" w:hAnsi="Times New Roman" w:cs="Times New Roman"/>
          <w:sz w:val="24"/>
          <w:szCs w:val="24"/>
        </w:rPr>
        <w:t xml:space="preserve"> </w:t>
      </w:r>
      <w:r w:rsidR="00BD319F">
        <w:rPr>
          <w:rFonts w:ascii="Times New Roman" w:hAnsi="Times New Roman" w:cs="Times New Roman"/>
          <w:sz w:val="24"/>
          <w:szCs w:val="24"/>
        </w:rPr>
        <w:t xml:space="preserve">таким образом, чтобы охватывать </w:t>
      </w:r>
      <w:r w:rsidR="00214CC7">
        <w:rPr>
          <w:rFonts w:ascii="Times New Roman" w:hAnsi="Times New Roman" w:cs="Times New Roman"/>
          <w:sz w:val="24"/>
          <w:szCs w:val="24"/>
        </w:rPr>
        <w:t>как можно</w:t>
      </w:r>
      <w:r w:rsidR="00BD319F">
        <w:rPr>
          <w:rFonts w:ascii="Times New Roman" w:hAnsi="Times New Roman" w:cs="Times New Roman"/>
          <w:sz w:val="24"/>
          <w:szCs w:val="24"/>
        </w:rPr>
        <w:t xml:space="preserve"> большее множество процессов</w:t>
      </w:r>
      <w:r w:rsidR="00331656">
        <w:rPr>
          <w:rFonts w:ascii="Times New Roman" w:hAnsi="Times New Roman" w:cs="Times New Roman"/>
          <w:sz w:val="24"/>
          <w:szCs w:val="24"/>
        </w:rPr>
        <w:t>, протекающих</w:t>
      </w:r>
      <w:r w:rsidR="00BD319F">
        <w:rPr>
          <w:rFonts w:ascii="Times New Roman" w:hAnsi="Times New Roman" w:cs="Times New Roman"/>
          <w:sz w:val="24"/>
          <w:szCs w:val="24"/>
        </w:rPr>
        <w:t xml:space="preserve"> в этой динамично развивающейся сфере.</w:t>
      </w:r>
    </w:p>
    <w:p w14:paraId="6AAF8918" w14:textId="27BAA1A0" w:rsidR="00CB0F6C" w:rsidRDefault="000C6A6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В целом, п</w:t>
      </w:r>
      <w:r w:rsidR="0004234E">
        <w:rPr>
          <w:rFonts w:ascii="Times New Roman" w:hAnsi="Times New Roman" w:cs="Times New Roman"/>
          <w:sz w:val="24"/>
          <w:szCs w:val="24"/>
        </w:rPr>
        <w:t>роведенный анализ, по мнению автора,</w:t>
      </w:r>
      <w:r w:rsidR="005506EE">
        <w:rPr>
          <w:rFonts w:ascii="Times New Roman" w:hAnsi="Times New Roman" w:cs="Times New Roman"/>
          <w:sz w:val="24"/>
          <w:szCs w:val="24"/>
        </w:rPr>
        <w:t xml:space="preserve"> достиг поставленных цели и задач</w:t>
      </w:r>
      <w:r w:rsidR="005136A5">
        <w:rPr>
          <w:rFonts w:ascii="Times New Roman" w:hAnsi="Times New Roman" w:cs="Times New Roman"/>
          <w:sz w:val="24"/>
          <w:szCs w:val="24"/>
        </w:rPr>
        <w:t>.</w:t>
      </w:r>
      <w:r w:rsidR="0004234E">
        <w:rPr>
          <w:rFonts w:ascii="Times New Roman" w:hAnsi="Times New Roman" w:cs="Times New Roman"/>
          <w:sz w:val="24"/>
          <w:szCs w:val="24"/>
        </w:rPr>
        <w:t xml:space="preserve"> </w:t>
      </w:r>
      <w:r w:rsidR="005136A5">
        <w:rPr>
          <w:rFonts w:ascii="Times New Roman" w:hAnsi="Times New Roman" w:cs="Times New Roman"/>
          <w:sz w:val="24"/>
          <w:szCs w:val="24"/>
        </w:rPr>
        <w:t>В частности, н</w:t>
      </w:r>
      <w:r w:rsidR="0004234E">
        <w:rPr>
          <w:rFonts w:ascii="Times New Roman" w:hAnsi="Times New Roman" w:cs="Times New Roman"/>
          <w:sz w:val="24"/>
          <w:szCs w:val="24"/>
        </w:rPr>
        <w:t xml:space="preserve">а основе научного подхода сформирована </w:t>
      </w:r>
      <w:r w:rsidR="00F43A73">
        <w:rPr>
          <w:rFonts w:ascii="Times New Roman" w:hAnsi="Times New Roman" w:cs="Times New Roman"/>
          <w:sz w:val="24"/>
          <w:szCs w:val="24"/>
        </w:rPr>
        <w:t>вполне приемлемая</w:t>
      </w:r>
      <w:r w:rsidR="0004234E">
        <w:rPr>
          <w:rFonts w:ascii="Times New Roman" w:hAnsi="Times New Roman" w:cs="Times New Roman"/>
          <w:sz w:val="24"/>
          <w:szCs w:val="24"/>
        </w:rPr>
        <w:t xml:space="preserve"> система статистических показателей, </w:t>
      </w:r>
      <w:r w:rsidR="00F43A73">
        <w:rPr>
          <w:rFonts w:ascii="Times New Roman" w:hAnsi="Times New Roman" w:cs="Times New Roman"/>
          <w:sz w:val="24"/>
          <w:szCs w:val="24"/>
        </w:rPr>
        <w:t xml:space="preserve">верно </w:t>
      </w:r>
      <w:r w:rsidR="0004234E">
        <w:rPr>
          <w:rFonts w:ascii="Times New Roman" w:hAnsi="Times New Roman" w:cs="Times New Roman"/>
          <w:sz w:val="24"/>
          <w:szCs w:val="24"/>
        </w:rPr>
        <w:t>выбраны методы их анализа, успешно осуществлена верификация уместности этих методов для изучения выбранной предметной области.</w:t>
      </w:r>
      <w:r w:rsidR="005136A5">
        <w:rPr>
          <w:rFonts w:ascii="Times New Roman" w:hAnsi="Times New Roman" w:cs="Times New Roman"/>
          <w:sz w:val="24"/>
          <w:szCs w:val="24"/>
        </w:rPr>
        <w:t xml:space="preserve"> В п</w:t>
      </w:r>
      <w:r w:rsidR="0025038A">
        <w:rPr>
          <w:rFonts w:ascii="Times New Roman" w:hAnsi="Times New Roman" w:cs="Times New Roman"/>
          <w:sz w:val="24"/>
          <w:szCs w:val="24"/>
        </w:rPr>
        <w:t>ерспектив</w:t>
      </w:r>
      <w:r w:rsidR="005136A5">
        <w:rPr>
          <w:rFonts w:ascii="Times New Roman" w:hAnsi="Times New Roman" w:cs="Times New Roman"/>
          <w:sz w:val="24"/>
          <w:szCs w:val="24"/>
        </w:rPr>
        <w:t>е подобный анализ может быть преобразован в методику проведения экспресс-исследований процессов цифровой трансформации в разрезе не только видов экономической деятельности, но и регионов страны.</w:t>
      </w: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76B188F5"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Информационное общество в Российской Федерации. 2020: статистический сборник [Электронный ресурс] / Федеральная служба государственной статистики; Нац. исслед.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2D5DC070" w14:textId="0A45F23B"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исслед. ун-т «Высшая школа экономики». – М.: НИУ ВШЭ, 2020. – 220с.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Нац. исслед. ун-т «Высшая школа экономики». — М. : Изд. дом Высшей школы экономики, 2021. — 239с.</w:t>
      </w:r>
    </w:p>
    <w:sectPr w:rsidR="00CB0F6C" w:rsidRPr="008C2F36" w:rsidSect="00B03BA3">
      <w:footerReference w:type="default" r:id="rId14"/>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5330" w14:textId="77777777" w:rsidR="006E4311" w:rsidRDefault="006E4311" w:rsidP="00B03BA3">
      <w:pPr>
        <w:spacing w:after="0" w:line="240" w:lineRule="auto"/>
      </w:pPr>
      <w:r>
        <w:separator/>
      </w:r>
    </w:p>
  </w:endnote>
  <w:endnote w:type="continuationSeparator" w:id="0">
    <w:p w14:paraId="5A67D340" w14:textId="77777777" w:rsidR="006E4311" w:rsidRDefault="006E4311"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599"/>
      <w:docPartObj>
        <w:docPartGallery w:val="Page Numbers (Bottom of Page)"/>
        <w:docPartUnique/>
      </w:docPartObj>
    </w:sdtPr>
    <w:sdtContent>
      <w:p w14:paraId="67A45EAE" w14:textId="274C99AB" w:rsidR="00B03BA3" w:rsidRDefault="00B03BA3">
        <w:pPr>
          <w:pStyle w:val="a8"/>
          <w:jc w:val="right"/>
        </w:pPr>
        <w:r>
          <w:fldChar w:fldCharType="begin"/>
        </w:r>
        <w:r>
          <w:instrText>PAGE   \* MERGEFORMAT</w:instrText>
        </w:r>
        <w:r>
          <w:fldChar w:fldCharType="separate"/>
        </w:r>
        <w:r>
          <w:t>2</w:t>
        </w:r>
        <w:r>
          <w:fldChar w:fldCharType="end"/>
        </w:r>
      </w:p>
    </w:sdtContent>
  </w:sdt>
  <w:p w14:paraId="603754E2" w14:textId="77777777" w:rsidR="00B03BA3" w:rsidRDefault="00B03B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9E00" w14:textId="77777777" w:rsidR="006E4311" w:rsidRDefault="006E4311" w:rsidP="00B03BA3">
      <w:pPr>
        <w:spacing w:after="0" w:line="240" w:lineRule="auto"/>
      </w:pPr>
      <w:r>
        <w:separator/>
      </w:r>
    </w:p>
  </w:footnote>
  <w:footnote w:type="continuationSeparator" w:id="0">
    <w:p w14:paraId="471F96BC" w14:textId="77777777" w:rsidR="006E4311" w:rsidRDefault="006E4311" w:rsidP="00B0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30227"/>
    <w:rsid w:val="0004001D"/>
    <w:rsid w:val="0004234E"/>
    <w:rsid w:val="00046AD5"/>
    <w:rsid w:val="0005105D"/>
    <w:rsid w:val="000533F5"/>
    <w:rsid w:val="00057090"/>
    <w:rsid w:val="00080345"/>
    <w:rsid w:val="0009412B"/>
    <w:rsid w:val="00096AB9"/>
    <w:rsid w:val="00097601"/>
    <w:rsid w:val="000B36CF"/>
    <w:rsid w:val="000B72A4"/>
    <w:rsid w:val="000B7EE9"/>
    <w:rsid w:val="000C6A6A"/>
    <w:rsid w:val="000D6F2A"/>
    <w:rsid w:val="000F1B8B"/>
    <w:rsid w:val="000F34B3"/>
    <w:rsid w:val="00103A1D"/>
    <w:rsid w:val="00115B93"/>
    <w:rsid w:val="001346E3"/>
    <w:rsid w:val="00180A0C"/>
    <w:rsid w:val="00182C48"/>
    <w:rsid w:val="00184368"/>
    <w:rsid w:val="0019133B"/>
    <w:rsid w:val="00193842"/>
    <w:rsid w:val="00193A02"/>
    <w:rsid w:val="001967E1"/>
    <w:rsid w:val="001B2D43"/>
    <w:rsid w:val="001B4461"/>
    <w:rsid w:val="001C3AD7"/>
    <w:rsid w:val="001E0A29"/>
    <w:rsid w:val="001F16BF"/>
    <w:rsid w:val="00214CC7"/>
    <w:rsid w:val="002174BB"/>
    <w:rsid w:val="00235ADF"/>
    <w:rsid w:val="0025038A"/>
    <w:rsid w:val="00250C32"/>
    <w:rsid w:val="00257AFA"/>
    <w:rsid w:val="00262E82"/>
    <w:rsid w:val="002666F2"/>
    <w:rsid w:val="00267F43"/>
    <w:rsid w:val="00271CEC"/>
    <w:rsid w:val="0027299A"/>
    <w:rsid w:val="00273DE5"/>
    <w:rsid w:val="00274D0D"/>
    <w:rsid w:val="00284B31"/>
    <w:rsid w:val="002A075E"/>
    <w:rsid w:val="002A35A2"/>
    <w:rsid w:val="002A3E39"/>
    <w:rsid w:val="002C0966"/>
    <w:rsid w:val="002C7740"/>
    <w:rsid w:val="002D794F"/>
    <w:rsid w:val="002E18B1"/>
    <w:rsid w:val="002F65AD"/>
    <w:rsid w:val="00305731"/>
    <w:rsid w:val="00313334"/>
    <w:rsid w:val="003133BD"/>
    <w:rsid w:val="0033147A"/>
    <w:rsid w:val="00331656"/>
    <w:rsid w:val="00337AEE"/>
    <w:rsid w:val="00351793"/>
    <w:rsid w:val="00355BB6"/>
    <w:rsid w:val="00356E92"/>
    <w:rsid w:val="003630D6"/>
    <w:rsid w:val="00363DB8"/>
    <w:rsid w:val="00364131"/>
    <w:rsid w:val="00370736"/>
    <w:rsid w:val="00372EB1"/>
    <w:rsid w:val="00382FED"/>
    <w:rsid w:val="00393C33"/>
    <w:rsid w:val="00397CF1"/>
    <w:rsid w:val="003A2F12"/>
    <w:rsid w:val="003C060E"/>
    <w:rsid w:val="003C110A"/>
    <w:rsid w:val="003C3168"/>
    <w:rsid w:val="003D43BF"/>
    <w:rsid w:val="003D70B4"/>
    <w:rsid w:val="003E7EFD"/>
    <w:rsid w:val="003F0AEB"/>
    <w:rsid w:val="00401A0A"/>
    <w:rsid w:val="004112CC"/>
    <w:rsid w:val="00423ECC"/>
    <w:rsid w:val="00425D81"/>
    <w:rsid w:val="00430247"/>
    <w:rsid w:val="00431E5F"/>
    <w:rsid w:val="00437A95"/>
    <w:rsid w:val="00451F4C"/>
    <w:rsid w:val="00462545"/>
    <w:rsid w:val="00466AA1"/>
    <w:rsid w:val="004713D0"/>
    <w:rsid w:val="00475033"/>
    <w:rsid w:val="00491CBB"/>
    <w:rsid w:val="004A3B30"/>
    <w:rsid w:val="004B1915"/>
    <w:rsid w:val="004C174C"/>
    <w:rsid w:val="004D0AA7"/>
    <w:rsid w:val="004D3851"/>
    <w:rsid w:val="004D40B9"/>
    <w:rsid w:val="004D4525"/>
    <w:rsid w:val="004E295E"/>
    <w:rsid w:val="005136A5"/>
    <w:rsid w:val="005373D9"/>
    <w:rsid w:val="00541D71"/>
    <w:rsid w:val="005506EE"/>
    <w:rsid w:val="00550F78"/>
    <w:rsid w:val="005618C5"/>
    <w:rsid w:val="00563ECE"/>
    <w:rsid w:val="005815B1"/>
    <w:rsid w:val="005822D6"/>
    <w:rsid w:val="005A48BA"/>
    <w:rsid w:val="005B2551"/>
    <w:rsid w:val="005C3759"/>
    <w:rsid w:val="005C3D0F"/>
    <w:rsid w:val="005C7542"/>
    <w:rsid w:val="005D1295"/>
    <w:rsid w:val="005D3A7C"/>
    <w:rsid w:val="005E17DD"/>
    <w:rsid w:val="005E608F"/>
    <w:rsid w:val="005F1242"/>
    <w:rsid w:val="005F2405"/>
    <w:rsid w:val="005F3B52"/>
    <w:rsid w:val="005F7664"/>
    <w:rsid w:val="006056C5"/>
    <w:rsid w:val="00611284"/>
    <w:rsid w:val="00622906"/>
    <w:rsid w:val="00634DAC"/>
    <w:rsid w:val="0066005C"/>
    <w:rsid w:val="00671840"/>
    <w:rsid w:val="00685045"/>
    <w:rsid w:val="00690206"/>
    <w:rsid w:val="00690D1D"/>
    <w:rsid w:val="006A128F"/>
    <w:rsid w:val="006A23B0"/>
    <w:rsid w:val="006A4497"/>
    <w:rsid w:val="006A552B"/>
    <w:rsid w:val="006B2B2F"/>
    <w:rsid w:val="006B3EB6"/>
    <w:rsid w:val="006B51DA"/>
    <w:rsid w:val="006E4311"/>
    <w:rsid w:val="00707887"/>
    <w:rsid w:val="0072083E"/>
    <w:rsid w:val="00726199"/>
    <w:rsid w:val="00731426"/>
    <w:rsid w:val="007351C5"/>
    <w:rsid w:val="00743C2C"/>
    <w:rsid w:val="0074577A"/>
    <w:rsid w:val="00746D40"/>
    <w:rsid w:val="00755192"/>
    <w:rsid w:val="00763FFE"/>
    <w:rsid w:val="00774B56"/>
    <w:rsid w:val="00774E19"/>
    <w:rsid w:val="007B716E"/>
    <w:rsid w:val="007C117E"/>
    <w:rsid w:val="007C4E80"/>
    <w:rsid w:val="007E15DA"/>
    <w:rsid w:val="007F1A06"/>
    <w:rsid w:val="00800353"/>
    <w:rsid w:val="0080127A"/>
    <w:rsid w:val="00817F12"/>
    <w:rsid w:val="00820263"/>
    <w:rsid w:val="008239E4"/>
    <w:rsid w:val="008257E2"/>
    <w:rsid w:val="00831C6F"/>
    <w:rsid w:val="00833094"/>
    <w:rsid w:val="008420E2"/>
    <w:rsid w:val="00877A43"/>
    <w:rsid w:val="0088396B"/>
    <w:rsid w:val="0089251E"/>
    <w:rsid w:val="008A2955"/>
    <w:rsid w:val="008A3DC7"/>
    <w:rsid w:val="008A521B"/>
    <w:rsid w:val="008B65D9"/>
    <w:rsid w:val="008C20E3"/>
    <w:rsid w:val="008C2BFD"/>
    <w:rsid w:val="008C2F36"/>
    <w:rsid w:val="008C6937"/>
    <w:rsid w:val="008D0F8B"/>
    <w:rsid w:val="008D47F4"/>
    <w:rsid w:val="008E0299"/>
    <w:rsid w:val="008E2B25"/>
    <w:rsid w:val="008E51EE"/>
    <w:rsid w:val="008F6A23"/>
    <w:rsid w:val="00900E08"/>
    <w:rsid w:val="0090571A"/>
    <w:rsid w:val="00907B57"/>
    <w:rsid w:val="009101AF"/>
    <w:rsid w:val="00916DDA"/>
    <w:rsid w:val="009228A1"/>
    <w:rsid w:val="009318CC"/>
    <w:rsid w:val="00940348"/>
    <w:rsid w:val="00941413"/>
    <w:rsid w:val="009461AF"/>
    <w:rsid w:val="00955A1D"/>
    <w:rsid w:val="00967516"/>
    <w:rsid w:val="00970BFD"/>
    <w:rsid w:val="00973A5C"/>
    <w:rsid w:val="00981B86"/>
    <w:rsid w:val="00997EA9"/>
    <w:rsid w:val="009B490C"/>
    <w:rsid w:val="009B76B1"/>
    <w:rsid w:val="009D1B4F"/>
    <w:rsid w:val="009D344C"/>
    <w:rsid w:val="009F0F8A"/>
    <w:rsid w:val="009F2C45"/>
    <w:rsid w:val="009F6468"/>
    <w:rsid w:val="00A209B6"/>
    <w:rsid w:val="00A210E9"/>
    <w:rsid w:val="00A2288F"/>
    <w:rsid w:val="00A247BA"/>
    <w:rsid w:val="00A31682"/>
    <w:rsid w:val="00A43DD2"/>
    <w:rsid w:val="00A44A33"/>
    <w:rsid w:val="00A605FA"/>
    <w:rsid w:val="00A639A3"/>
    <w:rsid w:val="00A7495C"/>
    <w:rsid w:val="00A86120"/>
    <w:rsid w:val="00A92A7C"/>
    <w:rsid w:val="00AA0217"/>
    <w:rsid w:val="00AB0D8A"/>
    <w:rsid w:val="00AC1A9D"/>
    <w:rsid w:val="00AC4CC5"/>
    <w:rsid w:val="00AD037F"/>
    <w:rsid w:val="00AD654C"/>
    <w:rsid w:val="00AD7F69"/>
    <w:rsid w:val="00AF3649"/>
    <w:rsid w:val="00B013FF"/>
    <w:rsid w:val="00B03BA3"/>
    <w:rsid w:val="00B06AC8"/>
    <w:rsid w:val="00B12A24"/>
    <w:rsid w:val="00B24152"/>
    <w:rsid w:val="00B44B03"/>
    <w:rsid w:val="00B5454F"/>
    <w:rsid w:val="00B606F0"/>
    <w:rsid w:val="00B72E17"/>
    <w:rsid w:val="00B778D3"/>
    <w:rsid w:val="00B813D4"/>
    <w:rsid w:val="00B81B01"/>
    <w:rsid w:val="00B867C5"/>
    <w:rsid w:val="00B87234"/>
    <w:rsid w:val="00BA2B40"/>
    <w:rsid w:val="00BA2BAE"/>
    <w:rsid w:val="00BA522E"/>
    <w:rsid w:val="00BD319F"/>
    <w:rsid w:val="00BE4E53"/>
    <w:rsid w:val="00BE79A1"/>
    <w:rsid w:val="00BF070C"/>
    <w:rsid w:val="00BF3F7E"/>
    <w:rsid w:val="00BF6F92"/>
    <w:rsid w:val="00BF7876"/>
    <w:rsid w:val="00BF7C1C"/>
    <w:rsid w:val="00C142F6"/>
    <w:rsid w:val="00C143BE"/>
    <w:rsid w:val="00C14A05"/>
    <w:rsid w:val="00C15884"/>
    <w:rsid w:val="00C15AD2"/>
    <w:rsid w:val="00C165B6"/>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3E61"/>
    <w:rsid w:val="00D25EFA"/>
    <w:rsid w:val="00D33917"/>
    <w:rsid w:val="00D41B97"/>
    <w:rsid w:val="00D46175"/>
    <w:rsid w:val="00D6261C"/>
    <w:rsid w:val="00D63CFC"/>
    <w:rsid w:val="00D75D30"/>
    <w:rsid w:val="00D77603"/>
    <w:rsid w:val="00D8033E"/>
    <w:rsid w:val="00D90958"/>
    <w:rsid w:val="00DA5F06"/>
    <w:rsid w:val="00DB135A"/>
    <w:rsid w:val="00DD1EB6"/>
    <w:rsid w:val="00DD2924"/>
    <w:rsid w:val="00DE1CF1"/>
    <w:rsid w:val="00DE37FC"/>
    <w:rsid w:val="00DE4F1C"/>
    <w:rsid w:val="00DF16CB"/>
    <w:rsid w:val="00DF31D9"/>
    <w:rsid w:val="00E05D58"/>
    <w:rsid w:val="00E12B44"/>
    <w:rsid w:val="00E658F1"/>
    <w:rsid w:val="00E71228"/>
    <w:rsid w:val="00E8208A"/>
    <w:rsid w:val="00E82442"/>
    <w:rsid w:val="00E8728B"/>
    <w:rsid w:val="00E9243A"/>
    <w:rsid w:val="00E92DA1"/>
    <w:rsid w:val="00E95F7F"/>
    <w:rsid w:val="00E9759B"/>
    <w:rsid w:val="00EA4369"/>
    <w:rsid w:val="00EB2BDF"/>
    <w:rsid w:val="00EB7557"/>
    <w:rsid w:val="00EC0255"/>
    <w:rsid w:val="00EC46AB"/>
    <w:rsid w:val="00ED15CE"/>
    <w:rsid w:val="00ED1DDD"/>
    <w:rsid w:val="00F2182C"/>
    <w:rsid w:val="00F37C51"/>
    <w:rsid w:val="00F43A73"/>
    <w:rsid w:val="00F478DC"/>
    <w:rsid w:val="00F55B46"/>
    <w:rsid w:val="00F577EC"/>
    <w:rsid w:val="00F64ED2"/>
    <w:rsid w:val="00F95691"/>
    <w:rsid w:val="00F95EAD"/>
    <w:rsid w:val="00FA7CB8"/>
    <w:rsid w:val="00FB6031"/>
    <w:rsid w:val="00FB65F7"/>
    <w:rsid w:val="00FB6BBF"/>
    <w:rsid w:val="00FD28FD"/>
    <w:rsid w:val="00FE5F52"/>
    <w:rsid w:val="00FE6453"/>
    <w:rsid w:val="00FE7C95"/>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10</Pages>
  <Words>3214</Words>
  <Characters>18326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303</cp:revision>
  <dcterms:created xsi:type="dcterms:W3CDTF">2022-11-17T04:31:00Z</dcterms:created>
  <dcterms:modified xsi:type="dcterms:W3CDTF">2022-12-05T05:12:00Z</dcterms:modified>
</cp:coreProperties>
</file>