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851C1F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 w:rsidRPr="00851C1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8128063" w14:textId="77777777" w:rsidR="00021116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3892"/>
      <w:bookmarkStart w:id="4" w:name="_Hlk122933191"/>
      <w:bookmarkStart w:id="5" w:name="_Hlk122934950"/>
      <w:r w:rsidR="003E11E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3"/>
      <w:bookmarkEnd w:id="4"/>
    </w:p>
    <w:bookmarkEnd w:id="5"/>
    <w:p w14:paraId="6464E6DC" w14:textId="77777777" w:rsidR="004C3C74" w:rsidRDefault="004C3C74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Безопасность применения цифровых технологий становится актуальным предметом исследований экономистов, социологов, статистиков. Цель данной статьи состоит в том, чтобы обозначить подходы к этому обобщенному понятию с позиций статистического исследования. В работе предложен подход к динамическому формированию системы статистических показателей путем включения в нее новых индикаторов по процессному принципу «субъект – мотив – объект – метод – последствия». Проведен а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нализ результатов тематического опроса компаний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показа</w:t>
      </w:r>
      <w:r>
        <w:rPr>
          <w:rFonts w:ascii="Times New Roman" w:hAnsi="Times New Roman" w:cs="Times New Roman"/>
          <w:i/>
          <w:iCs/>
          <w:sz w:val="28"/>
          <w:szCs w:val="28"/>
        </w:rPr>
        <w:t>вший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зависимость 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экономическ</w:t>
      </w:r>
      <w:r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эффективност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организаций-респондентов от их уверенности в способности противостоять угрозам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информационной безопасности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51F3B0" w14:textId="38564E67" w:rsidR="003E11EC" w:rsidRDefault="001542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B8">
        <w:rPr>
          <w:rFonts w:ascii="Times New Roman" w:hAnsi="Times New Roman" w:cs="Times New Roman"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>: информационные технологии, цифровые технологии, информационная безопасность, безопасность применения цифровых технологий, статистика информационных технологий, система статистических показателей</w:t>
      </w:r>
      <w:r w:rsidR="00DA6EF2">
        <w:rPr>
          <w:rFonts w:ascii="Times New Roman" w:hAnsi="Times New Roman" w:cs="Times New Roman"/>
          <w:sz w:val="28"/>
          <w:szCs w:val="28"/>
        </w:rPr>
        <w:t>, информационное общество, цифровая экономика</w:t>
      </w:r>
    </w:p>
    <w:p w14:paraId="620A8E9F" w14:textId="77777777" w:rsidR="004C3C74" w:rsidRDefault="004C3C7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3906B5D9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</w:t>
      </w:r>
      <w:r w:rsidR="00523CE3">
        <w:rPr>
          <w:rFonts w:ascii="Times New Roman" w:hAnsi="Times New Roman" w:cs="Times New Roman"/>
          <w:sz w:val="28"/>
          <w:szCs w:val="28"/>
        </w:rPr>
        <w:t>, ставит</w:t>
      </w:r>
      <w:r w:rsidR="00365616">
        <w:rPr>
          <w:rFonts w:ascii="Times New Roman" w:hAnsi="Times New Roman" w:cs="Times New Roman"/>
          <w:sz w:val="28"/>
          <w:szCs w:val="28"/>
        </w:rPr>
        <w:t>ь</w:t>
      </w:r>
      <w:r w:rsidR="00523CE3">
        <w:rPr>
          <w:rFonts w:ascii="Times New Roman" w:hAnsi="Times New Roman" w:cs="Times New Roman"/>
          <w:sz w:val="28"/>
          <w:szCs w:val="28"/>
        </w:rPr>
        <w:t xml:space="preserve"> под удар </w:t>
      </w:r>
      <w:r w:rsidR="00365616">
        <w:rPr>
          <w:rFonts w:ascii="Times New Roman" w:hAnsi="Times New Roman" w:cs="Times New Roman"/>
          <w:sz w:val="28"/>
          <w:szCs w:val="28"/>
        </w:rPr>
        <w:t>их</w:t>
      </w:r>
      <w:r w:rsidR="00B20233">
        <w:rPr>
          <w:rFonts w:ascii="Times New Roman" w:hAnsi="Times New Roman" w:cs="Times New Roman"/>
          <w:sz w:val="28"/>
          <w:szCs w:val="28"/>
        </w:rPr>
        <w:t xml:space="preserve"> </w:t>
      </w:r>
      <w:r w:rsidR="00523CE3">
        <w:rPr>
          <w:rFonts w:ascii="Times New Roman" w:hAnsi="Times New Roman" w:cs="Times New Roman"/>
          <w:sz w:val="28"/>
          <w:szCs w:val="28"/>
        </w:rPr>
        <w:t>информационную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499B8" w14:textId="2C81DA73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РФ, Федеральном законе «Об информации, информационных технологиях и о защите информации»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66DD382D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трансформировалась в безопасность цифровую, что вполне явно прослеживается в тематических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2E257F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3BD6048D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07FC5" w:rsidRPr="00907FC5">
        <w:rPr>
          <w:rFonts w:ascii="Times New Roman" w:hAnsi="Times New Roman" w:cs="Times New Roman"/>
          <w:sz w:val="24"/>
          <w:szCs w:val="24"/>
        </w:rPr>
        <w:t>1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13E305CB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деятельности, но не предлагают механизм практической реализации (в отличие, 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общества).</w:t>
      </w:r>
    </w:p>
    <w:p w14:paraId="233CEF6D" w14:textId="5679E7A6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2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</w:t>
      </w:r>
      <w:r w:rsidR="0083359C">
        <w:rPr>
          <w:rFonts w:ascii="Times New Roman" w:hAnsi="Times New Roman" w:cs="Times New Roman"/>
          <w:sz w:val="28"/>
          <w:szCs w:val="28"/>
        </w:rPr>
        <w:t xml:space="preserve">см. </w:t>
      </w:r>
      <w:r w:rsidR="00925D25">
        <w:rPr>
          <w:rFonts w:ascii="Times New Roman" w:hAnsi="Times New Roman" w:cs="Times New Roman"/>
          <w:sz w:val="28"/>
          <w:szCs w:val="28"/>
        </w:rPr>
        <w:t>табл</w:t>
      </w:r>
      <w:r w:rsidR="00E8289A">
        <w:rPr>
          <w:rFonts w:ascii="Times New Roman" w:hAnsi="Times New Roman" w:cs="Times New Roman"/>
          <w:sz w:val="28"/>
          <w:szCs w:val="28"/>
        </w:rPr>
        <w:t>иц</w:t>
      </w:r>
      <w:r w:rsidR="0083359C">
        <w:rPr>
          <w:rFonts w:ascii="Times New Roman" w:hAnsi="Times New Roman" w:cs="Times New Roman"/>
          <w:sz w:val="28"/>
          <w:szCs w:val="28"/>
        </w:rPr>
        <w:t>у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1727B741" w14:textId="77777777" w:rsidR="00523CE3" w:rsidRDefault="00523CE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52676E4C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3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1A9B444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30A16F34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4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документов, устанавливающих меры, практику или процедуры по обеспечению 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5pt;height:15.25pt" o:ole="">
                  <v:imagedata r:id="rId7" o:title=""/>
                </v:shape>
                <o:OLEObject Type="Embed" ProgID="Equation.3" ShapeID="_x0000_i1025" DrawAspect="Content" ObjectID="_1735052275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30FE4F3F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</w:t>
      </w:r>
      <w:r w:rsidR="003A7CA5">
        <w:rPr>
          <w:rFonts w:ascii="Times New Roman" w:hAnsi="Times New Roman" w:cs="Times New Roman"/>
          <w:sz w:val="28"/>
          <w:szCs w:val="28"/>
        </w:rPr>
        <w:lastRenderedPageBreak/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Министерством </w:t>
      </w:r>
      <w:r w:rsidR="003A7CA5">
        <w:rPr>
          <w:rFonts w:ascii="Times New Roman" w:hAnsi="Times New Roman" w:cs="Times New Roman"/>
          <w:sz w:val="28"/>
          <w:szCs w:val="28"/>
        </w:rPr>
        <w:t>цифрового</w:t>
      </w:r>
      <w:r w:rsidR="00A8022B">
        <w:rPr>
          <w:rFonts w:ascii="Times New Roman" w:hAnsi="Times New Roman" w:cs="Times New Roman"/>
          <w:sz w:val="28"/>
          <w:szCs w:val="28"/>
        </w:rPr>
        <w:t xml:space="preserve">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</w:t>
      </w:r>
      <w:r w:rsidR="00B17CD5" w:rsidRPr="00B17CD5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5</w:t>
      </w:r>
      <w:r w:rsidR="00B17CD5" w:rsidRPr="00B17CD5">
        <w:rPr>
          <w:rFonts w:ascii="Times New Roman" w:hAnsi="Times New Roman" w:cs="Times New Roman"/>
          <w:sz w:val="28"/>
          <w:szCs w:val="28"/>
        </w:rPr>
        <w:t xml:space="preserve">] </w:t>
      </w:r>
      <w:r w:rsidR="00A65ED5">
        <w:rPr>
          <w:rFonts w:ascii="Times New Roman" w:hAnsi="Times New Roman" w:cs="Times New Roman"/>
          <w:sz w:val="28"/>
          <w:szCs w:val="28"/>
        </w:rPr>
        <w:t>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65pt;height:15.25pt" o:ole="">
                  <v:imagedata r:id="rId7" o:title=""/>
                </v:shape>
                <o:OLEObject Type="Embed" ProgID="Equation.3" ShapeID="_x0000_i1026" DrawAspect="Content" ObjectID="_1735052276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65pt;height:15.25pt" o:ole="">
                  <v:imagedata r:id="rId7" o:title=""/>
                </v:shape>
                <o:OLEObject Type="Embed" ProgID="Equation.3" ShapeID="_x0000_i1027" DrawAspect="Content" ObjectID="_1735052277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7CCCA4AB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F87F91">
        <w:rPr>
          <w:rFonts w:ascii="Times New Roman" w:hAnsi="Times New Roman" w:cs="Times New Roman"/>
          <w:sz w:val="28"/>
          <w:szCs w:val="28"/>
        </w:rPr>
        <w:t>указывает на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816146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7E70AD85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6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7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418B6972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 xml:space="preserve">8, </w:t>
      </w:r>
      <w:r w:rsidR="00907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FC5" w:rsidRPr="00907FC5">
        <w:rPr>
          <w:rFonts w:ascii="Times New Roman" w:hAnsi="Times New Roman" w:cs="Times New Roman"/>
          <w:sz w:val="28"/>
          <w:szCs w:val="28"/>
        </w:rPr>
        <w:t>. 80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0A5098F9" w:rsidR="00A856F2" w:rsidRDefault="009222B3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92FF2" wp14:editId="38D4CAC8">
            <wp:extent cx="612013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2D06A03E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инцидентом информационной безопасности (ИБ)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9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9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7060A7F6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4D2B09" w:rsidRPr="004D2B09">
        <w:rPr>
          <w:rFonts w:ascii="Times New Roman" w:hAnsi="Times New Roman" w:cs="Times New Roman"/>
          <w:sz w:val="28"/>
          <w:szCs w:val="28"/>
        </w:rPr>
        <w:t>9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1A3CA650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83359C">
        <w:rPr>
          <w:rFonts w:ascii="Times New Roman" w:hAnsi="Times New Roman" w:cs="Times New Roman"/>
          <w:sz w:val="28"/>
          <w:szCs w:val="28"/>
        </w:rPr>
        <w:t>т</w:t>
      </w:r>
      <w:r w:rsidR="0031666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4A4F8A01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</w:t>
      </w:r>
      <w:r w:rsidR="006D745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1098991B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A51B55">
        <w:rPr>
          <w:rFonts w:ascii="Times New Roman" w:hAnsi="Times New Roman" w:cs="Times New Roman"/>
          <w:sz w:val="28"/>
          <w:szCs w:val="28"/>
        </w:rPr>
        <w:t>1</w:t>
      </w:r>
      <w:r w:rsidR="004D2B09" w:rsidRPr="004D2B09">
        <w:rPr>
          <w:rFonts w:ascii="Times New Roman" w:hAnsi="Times New Roman" w:cs="Times New Roman"/>
          <w:sz w:val="28"/>
          <w:szCs w:val="28"/>
        </w:rPr>
        <w:t>0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2DDA6054" w:rsidR="00177E79" w:rsidRDefault="00D62BB7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66F29" wp14:editId="12220754">
            <wp:extent cx="4965700" cy="3446313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66" cy="34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315C8DBC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1DD0CDE2" w14:textId="60F0213A" w:rsidR="00FD076B" w:rsidRPr="00B17CD5" w:rsidRDefault="00FD076B" w:rsidP="00FD7B17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CD5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Pr="00B17CD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804BE6" w:rsidRPr="00B17CD5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7541F985" w14:textId="036BF96C" w:rsidR="00F642E8" w:rsidRPr="006C53B8" w:rsidRDefault="00896398" w:rsidP="00B63F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3B8">
        <w:rPr>
          <w:rFonts w:ascii="Times New Roman" w:hAnsi="Times New Roman" w:cs="Times New Roman"/>
          <w:sz w:val="28"/>
          <w:szCs w:val="28"/>
        </w:rPr>
        <w:t xml:space="preserve"> </w:t>
      </w:r>
      <w:r w:rsidR="00F642E8" w:rsidRPr="006C53B8"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 w:rsidR="00F642E8" w:rsidRPr="006C53B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C2BC9" w:rsidRPr="006C53B8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</w:p>
    <w:p w14:paraId="6A9F9552" w14:textId="61DAF775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Брюс</w:t>
      </w:r>
      <w:r w:rsidR="008D15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П. 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C2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54A">
        <w:rPr>
          <w:rFonts w:ascii="Times New Roman" w:hAnsi="Times New Roman" w:cs="Times New Roman"/>
          <w:sz w:val="28"/>
          <w:szCs w:val="28"/>
        </w:rPr>
        <w:t xml:space="preserve">Пер. с англ. </w:t>
      </w:r>
      <w:r w:rsidR="008D154A" w:rsidRPr="008D154A">
        <w:rPr>
          <w:rFonts w:ascii="Times New Roman" w:hAnsi="Times New Roman" w:cs="Times New Roman"/>
          <w:sz w:val="28"/>
          <w:szCs w:val="28"/>
        </w:rPr>
        <w:t>/</w:t>
      </w:r>
      <w:r w:rsidR="008D154A">
        <w:rPr>
          <w:rFonts w:ascii="Times New Roman" w:hAnsi="Times New Roman" w:cs="Times New Roman"/>
          <w:sz w:val="28"/>
          <w:szCs w:val="28"/>
        </w:rPr>
        <w:t xml:space="preserve"> П. Брюс, Э. Брюс, П. </w:t>
      </w:r>
      <w:proofErr w:type="spellStart"/>
      <w:r w:rsidR="008D154A">
        <w:rPr>
          <w:rFonts w:ascii="Times New Roman" w:hAnsi="Times New Roman" w:cs="Times New Roman"/>
          <w:sz w:val="28"/>
          <w:szCs w:val="28"/>
        </w:rPr>
        <w:t>Гедек</w:t>
      </w:r>
      <w:proofErr w:type="spellEnd"/>
      <w:r w:rsidR="008D154A">
        <w:rPr>
          <w:rFonts w:ascii="Times New Roman" w:hAnsi="Times New Roman" w:cs="Times New Roman"/>
          <w:sz w:val="28"/>
          <w:szCs w:val="28"/>
        </w:rPr>
        <w:t xml:space="preserve">. – 2-е изд., перераб. и доп. – </w:t>
      </w:r>
      <w:r>
        <w:rPr>
          <w:rFonts w:ascii="Times New Roman" w:hAnsi="Times New Roman" w:cs="Times New Roman"/>
          <w:sz w:val="28"/>
          <w:szCs w:val="28"/>
        </w:rPr>
        <w:t>СПб.: БВХ-Петербург, 2021. –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5E34"/>
    <w:rsid w:val="00006E98"/>
    <w:rsid w:val="0000761C"/>
    <w:rsid w:val="00010D27"/>
    <w:rsid w:val="00010D99"/>
    <w:rsid w:val="00010DB9"/>
    <w:rsid w:val="0001261B"/>
    <w:rsid w:val="00015DE8"/>
    <w:rsid w:val="000210B6"/>
    <w:rsid w:val="00021116"/>
    <w:rsid w:val="000277A4"/>
    <w:rsid w:val="00030BCC"/>
    <w:rsid w:val="00030F5A"/>
    <w:rsid w:val="00032BCE"/>
    <w:rsid w:val="000332B9"/>
    <w:rsid w:val="0003495D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3F78"/>
    <w:rsid w:val="000876D4"/>
    <w:rsid w:val="000A1BD2"/>
    <w:rsid w:val="000A375A"/>
    <w:rsid w:val="000A3A6C"/>
    <w:rsid w:val="000B19AE"/>
    <w:rsid w:val="000B2E8B"/>
    <w:rsid w:val="000C23C8"/>
    <w:rsid w:val="000C4646"/>
    <w:rsid w:val="000C6096"/>
    <w:rsid w:val="000C6CD5"/>
    <w:rsid w:val="000D08F1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5FFB"/>
    <w:rsid w:val="0011630C"/>
    <w:rsid w:val="00116A86"/>
    <w:rsid w:val="00120F3D"/>
    <w:rsid w:val="0013086C"/>
    <w:rsid w:val="0013244A"/>
    <w:rsid w:val="00132B0D"/>
    <w:rsid w:val="00134A42"/>
    <w:rsid w:val="001374AD"/>
    <w:rsid w:val="001421A3"/>
    <w:rsid w:val="00146BD4"/>
    <w:rsid w:val="00151C92"/>
    <w:rsid w:val="001542B8"/>
    <w:rsid w:val="00154735"/>
    <w:rsid w:val="001556AB"/>
    <w:rsid w:val="00155A06"/>
    <w:rsid w:val="00156657"/>
    <w:rsid w:val="00156E0A"/>
    <w:rsid w:val="00161B89"/>
    <w:rsid w:val="00162790"/>
    <w:rsid w:val="00162FDE"/>
    <w:rsid w:val="00166775"/>
    <w:rsid w:val="00167510"/>
    <w:rsid w:val="00177E79"/>
    <w:rsid w:val="00184176"/>
    <w:rsid w:val="001911CE"/>
    <w:rsid w:val="0019187C"/>
    <w:rsid w:val="00191C0C"/>
    <w:rsid w:val="001959F3"/>
    <w:rsid w:val="001A1156"/>
    <w:rsid w:val="001A2AA7"/>
    <w:rsid w:val="001A4900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8E9"/>
    <w:rsid w:val="00205C6D"/>
    <w:rsid w:val="00210074"/>
    <w:rsid w:val="00211B7D"/>
    <w:rsid w:val="00212AFC"/>
    <w:rsid w:val="00213098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66B8"/>
    <w:rsid w:val="0028700A"/>
    <w:rsid w:val="0029001C"/>
    <w:rsid w:val="00290BF5"/>
    <w:rsid w:val="0029696D"/>
    <w:rsid w:val="002A0C77"/>
    <w:rsid w:val="002A1880"/>
    <w:rsid w:val="002A54F7"/>
    <w:rsid w:val="002A6EF9"/>
    <w:rsid w:val="002B0388"/>
    <w:rsid w:val="002B0D1D"/>
    <w:rsid w:val="002B53F2"/>
    <w:rsid w:val="002C7337"/>
    <w:rsid w:val="002E0D7B"/>
    <w:rsid w:val="002E257F"/>
    <w:rsid w:val="002E2F64"/>
    <w:rsid w:val="002F3EC4"/>
    <w:rsid w:val="002F7050"/>
    <w:rsid w:val="003008F4"/>
    <w:rsid w:val="00302DA2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089A"/>
    <w:rsid w:val="00352256"/>
    <w:rsid w:val="00354A9E"/>
    <w:rsid w:val="003577D1"/>
    <w:rsid w:val="00357F68"/>
    <w:rsid w:val="003627CF"/>
    <w:rsid w:val="003640AD"/>
    <w:rsid w:val="00365616"/>
    <w:rsid w:val="00371339"/>
    <w:rsid w:val="00371ECD"/>
    <w:rsid w:val="003738C2"/>
    <w:rsid w:val="0037397A"/>
    <w:rsid w:val="003803BF"/>
    <w:rsid w:val="00381DBC"/>
    <w:rsid w:val="003861D1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7CA5"/>
    <w:rsid w:val="003B2969"/>
    <w:rsid w:val="003B4AB1"/>
    <w:rsid w:val="003B6312"/>
    <w:rsid w:val="003B7A31"/>
    <w:rsid w:val="003C6B30"/>
    <w:rsid w:val="003C6BD8"/>
    <w:rsid w:val="003D2B1C"/>
    <w:rsid w:val="003D3306"/>
    <w:rsid w:val="003D46AE"/>
    <w:rsid w:val="003E11EC"/>
    <w:rsid w:val="003E1EEF"/>
    <w:rsid w:val="003E5E25"/>
    <w:rsid w:val="003F19FC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DD5"/>
    <w:rsid w:val="00480BBE"/>
    <w:rsid w:val="00485B5C"/>
    <w:rsid w:val="004879EA"/>
    <w:rsid w:val="004A2EDD"/>
    <w:rsid w:val="004A52FC"/>
    <w:rsid w:val="004A5FF4"/>
    <w:rsid w:val="004A7693"/>
    <w:rsid w:val="004B10F6"/>
    <w:rsid w:val="004B4F22"/>
    <w:rsid w:val="004B66BC"/>
    <w:rsid w:val="004B7805"/>
    <w:rsid w:val="004C3C74"/>
    <w:rsid w:val="004D2B09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F3A"/>
    <w:rsid w:val="00500D72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23CE3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91C45"/>
    <w:rsid w:val="00594273"/>
    <w:rsid w:val="005A0EBF"/>
    <w:rsid w:val="005A1CCA"/>
    <w:rsid w:val="005A6414"/>
    <w:rsid w:val="005B1AC0"/>
    <w:rsid w:val="005B4A29"/>
    <w:rsid w:val="005B6E15"/>
    <w:rsid w:val="005C1CCE"/>
    <w:rsid w:val="005C1F67"/>
    <w:rsid w:val="005C763B"/>
    <w:rsid w:val="005D3456"/>
    <w:rsid w:val="005D50AE"/>
    <w:rsid w:val="005E2993"/>
    <w:rsid w:val="005E5601"/>
    <w:rsid w:val="005E607E"/>
    <w:rsid w:val="005E61A7"/>
    <w:rsid w:val="005F33B8"/>
    <w:rsid w:val="005F5624"/>
    <w:rsid w:val="005F7896"/>
    <w:rsid w:val="00600306"/>
    <w:rsid w:val="006009AC"/>
    <w:rsid w:val="00625D47"/>
    <w:rsid w:val="00646729"/>
    <w:rsid w:val="00647113"/>
    <w:rsid w:val="006514F5"/>
    <w:rsid w:val="00652F58"/>
    <w:rsid w:val="00653766"/>
    <w:rsid w:val="00657E49"/>
    <w:rsid w:val="00661647"/>
    <w:rsid w:val="006627D4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97E5D"/>
    <w:rsid w:val="006A4B05"/>
    <w:rsid w:val="006A5A9A"/>
    <w:rsid w:val="006A76C4"/>
    <w:rsid w:val="006B5CE2"/>
    <w:rsid w:val="006C1E94"/>
    <w:rsid w:val="006C53B8"/>
    <w:rsid w:val="006C5AE0"/>
    <w:rsid w:val="006C668C"/>
    <w:rsid w:val="006D31D9"/>
    <w:rsid w:val="006D58A2"/>
    <w:rsid w:val="006D695B"/>
    <w:rsid w:val="006D6BE3"/>
    <w:rsid w:val="006D7454"/>
    <w:rsid w:val="006E0730"/>
    <w:rsid w:val="006E17EF"/>
    <w:rsid w:val="006E3449"/>
    <w:rsid w:val="006F1244"/>
    <w:rsid w:val="006F3279"/>
    <w:rsid w:val="006F6BBF"/>
    <w:rsid w:val="00705B0F"/>
    <w:rsid w:val="0071132A"/>
    <w:rsid w:val="0071157A"/>
    <w:rsid w:val="00711EA5"/>
    <w:rsid w:val="007147C3"/>
    <w:rsid w:val="00717A59"/>
    <w:rsid w:val="00725013"/>
    <w:rsid w:val="007252D4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64A3"/>
    <w:rsid w:val="007E65F0"/>
    <w:rsid w:val="007F433E"/>
    <w:rsid w:val="007F57D2"/>
    <w:rsid w:val="007F649C"/>
    <w:rsid w:val="00804BE6"/>
    <w:rsid w:val="0080528C"/>
    <w:rsid w:val="0080623C"/>
    <w:rsid w:val="00806893"/>
    <w:rsid w:val="00806CF5"/>
    <w:rsid w:val="00806D9A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3359C"/>
    <w:rsid w:val="00840261"/>
    <w:rsid w:val="00851C1F"/>
    <w:rsid w:val="00856DC3"/>
    <w:rsid w:val="00857D76"/>
    <w:rsid w:val="00860219"/>
    <w:rsid w:val="00862D1F"/>
    <w:rsid w:val="00862EC4"/>
    <w:rsid w:val="008652C7"/>
    <w:rsid w:val="008740E7"/>
    <w:rsid w:val="00875E83"/>
    <w:rsid w:val="008762D4"/>
    <w:rsid w:val="00877135"/>
    <w:rsid w:val="00882E98"/>
    <w:rsid w:val="00884EB0"/>
    <w:rsid w:val="008931E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07FC5"/>
    <w:rsid w:val="00910510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CD4"/>
    <w:rsid w:val="00960A12"/>
    <w:rsid w:val="00963B1A"/>
    <w:rsid w:val="00967311"/>
    <w:rsid w:val="00970F15"/>
    <w:rsid w:val="00973CA3"/>
    <w:rsid w:val="00984D24"/>
    <w:rsid w:val="00987DF0"/>
    <w:rsid w:val="009910D9"/>
    <w:rsid w:val="00991870"/>
    <w:rsid w:val="00992ADE"/>
    <w:rsid w:val="00997451"/>
    <w:rsid w:val="00997A64"/>
    <w:rsid w:val="009A10CC"/>
    <w:rsid w:val="009A2F2E"/>
    <w:rsid w:val="009B040B"/>
    <w:rsid w:val="009B3AAC"/>
    <w:rsid w:val="009B6A3E"/>
    <w:rsid w:val="009C1155"/>
    <w:rsid w:val="009C379C"/>
    <w:rsid w:val="009D13BE"/>
    <w:rsid w:val="009D1FFF"/>
    <w:rsid w:val="009D2FA1"/>
    <w:rsid w:val="009D3D8D"/>
    <w:rsid w:val="009D5A26"/>
    <w:rsid w:val="009D7178"/>
    <w:rsid w:val="009E179A"/>
    <w:rsid w:val="009F0BBD"/>
    <w:rsid w:val="009F0E46"/>
    <w:rsid w:val="009F59B8"/>
    <w:rsid w:val="00A10128"/>
    <w:rsid w:val="00A210CC"/>
    <w:rsid w:val="00A356DB"/>
    <w:rsid w:val="00A42B2D"/>
    <w:rsid w:val="00A450C7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08FD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17CD5"/>
    <w:rsid w:val="00B20233"/>
    <w:rsid w:val="00B216EC"/>
    <w:rsid w:val="00B24AA3"/>
    <w:rsid w:val="00B37232"/>
    <w:rsid w:val="00B40C59"/>
    <w:rsid w:val="00B41D46"/>
    <w:rsid w:val="00B45F7A"/>
    <w:rsid w:val="00B50AA7"/>
    <w:rsid w:val="00B51665"/>
    <w:rsid w:val="00B528C0"/>
    <w:rsid w:val="00B53982"/>
    <w:rsid w:val="00B61B33"/>
    <w:rsid w:val="00B659EA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48F"/>
    <w:rsid w:val="00B96BB9"/>
    <w:rsid w:val="00BA26D1"/>
    <w:rsid w:val="00BA6125"/>
    <w:rsid w:val="00BB2F22"/>
    <w:rsid w:val="00BB626C"/>
    <w:rsid w:val="00BC5D5F"/>
    <w:rsid w:val="00BD1E8D"/>
    <w:rsid w:val="00BD45F7"/>
    <w:rsid w:val="00BE08AE"/>
    <w:rsid w:val="00BE74FF"/>
    <w:rsid w:val="00BE753A"/>
    <w:rsid w:val="00BE7B36"/>
    <w:rsid w:val="00BF15F2"/>
    <w:rsid w:val="00BF2387"/>
    <w:rsid w:val="00BF5837"/>
    <w:rsid w:val="00C0004D"/>
    <w:rsid w:val="00C009D0"/>
    <w:rsid w:val="00C02BC6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4256"/>
    <w:rsid w:val="00C65710"/>
    <w:rsid w:val="00C660B7"/>
    <w:rsid w:val="00C73195"/>
    <w:rsid w:val="00C8165B"/>
    <w:rsid w:val="00C85D6C"/>
    <w:rsid w:val="00C90ECF"/>
    <w:rsid w:val="00C914F7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718DD"/>
    <w:rsid w:val="00D721F0"/>
    <w:rsid w:val="00D74C39"/>
    <w:rsid w:val="00D76312"/>
    <w:rsid w:val="00D77E68"/>
    <w:rsid w:val="00D80952"/>
    <w:rsid w:val="00D83412"/>
    <w:rsid w:val="00D86564"/>
    <w:rsid w:val="00D871FE"/>
    <w:rsid w:val="00D912CB"/>
    <w:rsid w:val="00D91C05"/>
    <w:rsid w:val="00D924FA"/>
    <w:rsid w:val="00D92D5F"/>
    <w:rsid w:val="00D93994"/>
    <w:rsid w:val="00DA0121"/>
    <w:rsid w:val="00DA2A0D"/>
    <w:rsid w:val="00DA4597"/>
    <w:rsid w:val="00DA467E"/>
    <w:rsid w:val="00DA6EF2"/>
    <w:rsid w:val="00DB7CFB"/>
    <w:rsid w:val="00DC1AD3"/>
    <w:rsid w:val="00DC2864"/>
    <w:rsid w:val="00DC4DF8"/>
    <w:rsid w:val="00DC6530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722B9"/>
    <w:rsid w:val="00E8289A"/>
    <w:rsid w:val="00E91A1D"/>
    <w:rsid w:val="00E92C96"/>
    <w:rsid w:val="00EA149F"/>
    <w:rsid w:val="00EA191D"/>
    <w:rsid w:val="00EA2EA7"/>
    <w:rsid w:val="00EA341F"/>
    <w:rsid w:val="00EA6CD2"/>
    <w:rsid w:val="00EC29D5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232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852"/>
    <w:rsid w:val="00F76DCE"/>
    <w:rsid w:val="00F7753C"/>
    <w:rsid w:val="00F832D9"/>
    <w:rsid w:val="00F83B7A"/>
    <w:rsid w:val="00F84B80"/>
    <w:rsid w:val="00F84D49"/>
    <w:rsid w:val="00F85194"/>
    <w:rsid w:val="00F87F91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81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18</Pages>
  <Words>4659</Words>
  <Characters>26558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672</cp:revision>
  <dcterms:created xsi:type="dcterms:W3CDTF">2022-12-19T05:35:00Z</dcterms:created>
  <dcterms:modified xsi:type="dcterms:W3CDTF">2023-01-12T14:11:00Z</dcterms:modified>
</cp:coreProperties>
</file>