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36AD2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 xml:space="preserve">Безопасность </w:t>
      </w:r>
      <w:r w:rsidR="0028700A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0F6B24D5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5DE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bookmarkStart w:id="3" w:name="_Hlk122933892"/>
      <w:bookmarkStart w:id="4" w:name="_Hlk122933191"/>
      <w:bookmarkStart w:id="5" w:name="_Hlk122934950"/>
      <w:r w:rsidR="001A4900" w:rsidRPr="00015DE8">
        <w:rPr>
          <w:rFonts w:ascii="Times New Roman" w:hAnsi="Times New Roman" w:cs="Times New Roman"/>
          <w:i/>
          <w:iCs/>
          <w:sz w:val="28"/>
          <w:szCs w:val="28"/>
        </w:rPr>
        <w:t>логичн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1A4900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 объединить это множество </w:t>
      </w:r>
      <w:r w:rsidR="006514F5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применения 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цифровых </w:t>
      </w:r>
      <w:r w:rsidR="00EA2EA7" w:rsidRPr="00015DE8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A2EA7" w:rsidRPr="00015DE8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1271">
        <w:rPr>
          <w:rFonts w:ascii="Times New Roman" w:hAnsi="Times New Roman" w:cs="Times New Roman"/>
          <w:i/>
          <w:iCs/>
          <w:sz w:val="28"/>
          <w:szCs w:val="28"/>
        </w:rPr>
        <w:t xml:space="preserve">из сферы корпоративной аналитики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5435C67F" w14:textId="13990A64" w:rsidR="00D721F0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6"/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7777777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3D46AE">
        <w:rPr>
          <w:rFonts w:ascii="Times New Roman" w:hAnsi="Times New Roman" w:cs="Times New Roman"/>
          <w:sz w:val="28"/>
          <w:szCs w:val="28"/>
        </w:rPr>
        <w:t>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15pt" o:ole="">
                  <v:imagedata r:id="rId7" o:title=""/>
                </v:shape>
                <o:OLEObject Type="Embed" ProgID="Equation.3" ShapeID="_x0000_i1025" DrawAspect="Content" ObjectID="_1734767810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036B81E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коллаборации </w:t>
      </w:r>
      <w:r w:rsidR="00A8022B">
        <w:rPr>
          <w:rFonts w:ascii="Times New Roman" w:hAnsi="Times New Roman" w:cs="Times New Roman"/>
          <w:sz w:val="28"/>
          <w:szCs w:val="28"/>
        </w:rPr>
        <w:lastRenderedPageBreak/>
        <w:t>с Министерством общественного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4pt;height:15pt" o:ole="">
                  <v:imagedata r:id="rId7" o:title=""/>
                </v:shape>
                <o:OLEObject Type="Embed" ProgID="Equation.3" ShapeID="_x0000_i1026" DrawAspect="Content" ObjectID="_1734767811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4pt;height:15pt" o:ole="">
                  <v:imagedata r:id="rId7" o:title=""/>
                </v:shape>
                <o:OLEObject Type="Embed" ProgID="Equation.3" ShapeID="_x0000_i1027" DrawAspect="Content" ObjectID="_1734767812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2E58CC69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предполагает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42686F87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логично будет </w:t>
      </w:r>
      <w:r w:rsidR="00416760" w:rsidRPr="00C2159D">
        <w:rPr>
          <w:rFonts w:ascii="Times New Roman" w:hAnsi="Times New Roman" w:cs="Times New Roman"/>
          <w:sz w:val="28"/>
          <w:szCs w:val="28"/>
        </w:rPr>
        <w:t>объедини</w:t>
      </w:r>
      <w:r w:rsidR="00416760">
        <w:rPr>
          <w:rFonts w:ascii="Times New Roman" w:hAnsi="Times New Roman" w:cs="Times New Roman"/>
          <w:sz w:val="28"/>
          <w:szCs w:val="28"/>
        </w:rPr>
        <w:t>ть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,</w:t>
      </w:r>
      <w:r w:rsidR="00D76312">
        <w:rPr>
          <w:rFonts w:ascii="Times New Roman" w:hAnsi="Times New Roman" w:cs="Times New Roman"/>
          <w:sz w:val="28"/>
          <w:szCs w:val="28"/>
        </w:rPr>
        <w:t xml:space="preserve"> используемых,</w:t>
      </w:r>
      <w:r w:rsidR="001F4498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D76312">
        <w:rPr>
          <w:rFonts w:ascii="Times New Roman" w:hAnsi="Times New Roman" w:cs="Times New Roman"/>
          <w:sz w:val="28"/>
          <w:szCs w:val="28"/>
        </w:rPr>
        <w:t>в</w:t>
      </w:r>
      <w:r w:rsidR="001F4498">
        <w:rPr>
          <w:rFonts w:ascii="Times New Roman" w:hAnsi="Times New Roman" w:cs="Times New Roman"/>
          <w:sz w:val="28"/>
          <w:szCs w:val="28"/>
        </w:rPr>
        <w:t xml:space="preserve"> сфер</w:t>
      </w:r>
      <w:r w:rsidR="00D76312">
        <w:rPr>
          <w:rFonts w:ascii="Times New Roman" w:hAnsi="Times New Roman" w:cs="Times New Roman"/>
          <w:sz w:val="28"/>
          <w:szCs w:val="28"/>
        </w:rPr>
        <w:t>е</w:t>
      </w:r>
      <w:r w:rsidR="001F4498">
        <w:rPr>
          <w:rFonts w:ascii="Times New Roman" w:hAnsi="Times New Roman" w:cs="Times New Roman"/>
          <w:sz w:val="28"/>
          <w:szCs w:val="28"/>
        </w:rPr>
        <w:t xml:space="preserve"> корпоративной аналитики.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51EFCAA0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Формирование 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  <w:r w:rsidR="003F4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>на основе лучших практик</w:t>
      </w:r>
    </w:p>
    <w:p w14:paraId="0885A3F9" w14:textId="77777777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13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EC3579">
        <w:rPr>
          <w:rFonts w:ascii="Times New Roman" w:hAnsi="Times New Roman" w:cs="Times New Roman"/>
          <w:sz w:val="28"/>
          <w:szCs w:val="28"/>
        </w:rPr>
        <w:t>14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01AC2A28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, например, в статье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3E1EEF">
        <w:rPr>
          <w:rFonts w:ascii="Times New Roman" w:hAnsi="Times New Roman" w:cs="Times New Roman"/>
          <w:sz w:val="28"/>
          <w:szCs w:val="28"/>
        </w:rPr>
        <w:t>15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3E1EEF">
        <w:rPr>
          <w:rFonts w:ascii="Times New Roman" w:hAnsi="Times New Roman" w:cs="Times New Roman"/>
          <w:sz w:val="28"/>
          <w:szCs w:val="28"/>
        </w:rPr>
        <w:t>,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 xml:space="preserve">, </w:t>
      </w:r>
      <w:r w:rsidR="00402D9A">
        <w:rPr>
          <w:rFonts w:ascii="Times New Roman" w:hAnsi="Times New Roman" w:cs="Times New Roman"/>
          <w:sz w:val="28"/>
          <w:szCs w:val="28"/>
        </w:rPr>
        <w:t>отображающи</w:t>
      </w:r>
      <w:r w:rsidR="00402D9A">
        <w:rPr>
          <w:rFonts w:ascii="Times New Roman" w:hAnsi="Times New Roman" w:cs="Times New Roman"/>
          <w:sz w:val="28"/>
          <w:szCs w:val="28"/>
        </w:rPr>
        <w:t xml:space="preserve">х </w:t>
      </w:r>
      <w:r w:rsidR="00402D9A">
        <w:rPr>
          <w:rFonts w:ascii="Times New Roman" w:hAnsi="Times New Roman" w:cs="Times New Roman"/>
          <w:sz w:val="28"/>
          <w:szCs w:val="28"/>
        </w:rPr>
        <w:t>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0A5098F9" w:rsidR="00A856F2" w:rsidRDefault="009222B3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92FF2" wp14:editId="38D4CAC8">
            <wp:extent cx="612013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77777777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пострадавших от злонамеренных действий неизвестных лиц в сфере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столкнувшихся с вымогательством средств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77777777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>Под и</w:t>
      </w:r>
      <w:r w:rsidR="00896398">
        <w:rPr>
          <w:rFonts w:ascii="Times New Roman" w:hAnsi="Times New Roman" w:cs="Times New Roman"/>
          <w:sz w:val="28"/>
          <w:szCs w:val="28"/>
        </w:rPr>
        <w:t>нцидент</w:t>
      </w:r>
      <w:r w:rsidR="00896398">
        <w:rPr>
          <w:rFonts w:ascii="Times New Roman" w:hAnsi="Times New Roman" w:cs="Times New Roman"/>
          <w:sz w:val="28"/>
          <w:szCs w:val="28"/>
        </w:rPr>
        <w:t>ом</w:t>
      </w:r>
      <w:r w:rsidR="00896398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 </w:t>
      </w:r>
      <w:r w:rsidR="00896398">
        <w:rPr>
          <w:rFonts w:ascii="Times New Roman" w:hAnsi="Times New Roman" w:cs="Times New Roman"/>
          <w:sz w:val="28"/>
          <w:szCs w:val="28"/>
        </w:rPr>
        <w:t xml:space="preserve">(ИБ), согласно </w:t>
      </w:r>
      <w:r w:rsidR="00896398" w:rsidRPr="00896398">
        <w:rPr>
          <w:rFonts w:ascii="Times New Roman" w:hAnsi="Times New Roman" w:cs="Times New Roman"/>
          <w:sz w:val="28"/>
          <w:szCs w:val="28"/>
        </w:rPr>
        <w:t>[</w:t>
      </w:r>
      <w:r w:rsidR="00896398">
        <w:rPr>
          <w:rFonts w:ascii="Times New Roman" w:hAnsi="Times New Roman" w:cs="Times New Roman"/>
          <w:sz w:val="28"/>
          <w:szCs w:val="28"/>
        </w:rPr>
        <w:t>16</w:t>
      </w:r>
      <w:r w:rsidR="00896398" w:rsidRPr="00896398">
        <w:rPr>
          <w:rFonts w:ascii="Times New Roman" w:hAnsi="Times New Roman" w:cs="Times New Roman"/>
          <w:sz w:val="28"/>
          <w:szCs w:val="28"/>
        </w:rPr>
        <w:t>]</w:t>
      </w:r>
      <w:r w:rsidR="00210074">
        <w:rPr>
          <w:rFonts w:ascii="Times New Roman" w:hAnsi="Times New Roman" w:cs="Times New Roman"/>
          <w:sz w:val="28"/>
          <w:szCs w:val="28"/>
        </w:rPr>
        <w:t>,</w:t>
      </w:r>
      <w:r w:rsidR="00896398">
        <w:rPr>
          <w:rFonts w:ascii="Times New Roman" w:hAnsi="Times New Roman" w:cs="Times New Roman"/>
          <w:sz w:val="28"/>
          <w:szCs w:val="28"/>
        </w:rPr>
        <w:t xml:space="preserve"> </w:t>
      </w:r>
      <w:r w:rsidR="00896398">
        <w:rPr>
          <w:rFonts w:ascii="Times New Roman" w:hAnsi="Times New Roman" w:cs="Times New Roman"/>
          <w:sz w:val="28"/>
          <w:szCs w:val="28"/>
        </w:rPr>
        <w:t xml:space="preserve">понимается </w:t>
      </w:r>
      <w:r w:rsidR="00896398">
        <w:rPr>
          <w:rFonts w:ascii="Times New Roman" w:hAnsi="Times New Roman" w:cs="Times New Roman"/>
          <w:sz w:val="28"/>
          <w:szCs w:val="28"/>
        </w:rPr>
        <w:t>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07A4903B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(информационная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7E0ECCBC" w:rsidR="00952A7C" w:rsidRPr="003F4306" w:rsidRDefault="003F4306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3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экономической эффективности в контексте безопасности </w:t>
      </w:r>
      <w:r w:rsidR="00D06029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применения </w:t>
      </w:r>
      <w:r w:rsidRPr="003F4306">
        <w:rPr>
          <w:rFonts w:ascii="Times New Roman" w:hAnsi="Times New Roman" w:cs="Times New Roman"/>
          <w:b/>
          <w:bCs/>
          <w:sz w:val="28"/>
          <w:szCs w:val="28"/>
        </w:rPr>
        <w:t>цифровых технологий</w:t>
      </w:r>
    </w:p>
    <w:p w14:paraId="0E6E90BA" w14:textId="42B2E7C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2CE2" w14:textId="0B30BC6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8C79B" w14:textId="36CE7FBE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76E39" w14:textId="4C40905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F7BA" w14:textId="3B4575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7085" w14:textId="5C659B3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717990F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90B3" w14:textId="39AB00C3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1B98" w14:textId="3FB47F7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BE68F" w14:textId="3418B10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B178E" w14:textId="05D3722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4FD" w14:textId="7E620C6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5F4" w14:textId="69197D35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5439B" w14:textId="235F539F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CB16" w14:textId="7AD6DA0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7A3AD" w14:textId="4BCEE902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DBE4D" w14:textId="7F0A823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9EEC4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186A" w14:textId="4887B6D6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выводы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402E4EC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12679" w14:textId="1A7DC54E" w:rsidR="007A647E" w:rsidRDefault="007A64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Г.И. Абдрахманова, С.А. Васильковский, К.О. Вишневский и др.; Нац. </w:t>
      </w:r>
      <w:r>
        <w:rPr>
          <w:rFonts w:ascii="Times New Roman" w:hAnsi="Times New Roman" w:cs="Times New Roman"/>
          <w:sz w:val="28"/>
          <w:szCs w:val="28"/>
        </w:rPr>
        <w:lastRenderedPageBreak/>
        <w:t>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4F0F9EC9" w:rsidR="00FD076B" w:rsidRDefault="00A42B2D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76B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="00FD07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4BE6" w:rsidRPr="00804BE6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25835EB4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p w14:paraId="3BD4DC02" w14:textId="66F262A0" w:rsidR="00896398" w:rsidRPr="00725013" w:rsidRDefault="0089639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013">
        <w:rPr>
          <w:rFonts w:ascii="Times New Roman" w:hAnsi="Times New Roman" w:cs="Times New Roman"/>
          <w:sz w:val="28"/>
          <w:szCs w:val="28"/>
        </w:rPr>
        <w:t xml:space="preserve"> </w:t>
      </w:r>
      <w:r w:rsidRPr="00725013">
        <w:rPr>
          <w:rFonts w:ascii="Times New Roman" w:hAnsi="Times New Roman" w:cs="Times New Roman"/>
          <w:sz w:val="28"/>
          <w:szCs w:val="28"/>
        </w:rPr>
        <w:t>ГОСТ Р ИСО/МЭК ТО 18044-2007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 «</w:t>
      </w:r>
      <w:r w:rsidR="00725013" w:rsidRPr="00725013">
        <w:rPr>
          <w:rFonts w:ascii="Times New Roman" w:hAnsi="Times New Roman" w:cs="Times New Roman"/>
          <w:sz w:val="28"/>
          <w:szCs w:val="28"/>
        </w:rPr>
        <w:t>Информационная технология. Методы и средства обеспечения безопасности</w:t>
      </w:r>
      <w:r w:rsidR="00725013">
        <w:rPr>
          <w:rFonts w:ascii="Times New Roman" w:hAnsi="Times New Roman" w:cs="Times New Roman"/>
          <w:sz w:val="28"/>
          <w:szCs w:val="28"/>
        </w:rPr>
        <w:t>. Менеджмент инцидентов информационной безопасности</w:t>
      </w:r>
      <w:r w:rsidR="00725013" w:rsidRPr="00725013">
        <w:rPr>
          <w:rFonts w:ascii="Times New Roman" w:hAnsi="Times New Roman" w:cs="Times New Roman"/>
          <w:sz w:val="28"/>
          <w:szCs w:val="28"/>
        </w:rPr>
        <w:t>»</w:t>
      </w:r>
      <w:r w:rsidR="00725013">
        <w:rPr>
          <w:rFonts w:ascii="Times New Roman" w:hAnsi="Times New Roman" w:cs="Times New Roman"/>
          <w:sz w:val="28"/>
          <w:szCs w:val="28"/>
        </w:rPr>
        <w:t xml:space="preserve">. </w:t>
      </w:r>
      <w:r w:rsidR="007250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: </w:t>
      </w:r>
      <w:r w:rsidR="00725013" w:rsidRPr="007250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25013" w:rsidRPr="00725013">
        <w:rPr>
          <w:rFonts w:ascii="Times New Roman" w:hAnsi="Times New Roman" w:cs="Times New Roman"/>
          <w:sz w:val="28"/>
          <w:szCs w:val="28"/>
        </w:rPr>
        <w:t>://</w:t>
      </w:r>
      <w:r w:rsidR="00725013" w:rsidRPr="00725013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725013" w:rsidRPr="00725013">
        <w:rPr>
          <w:rFonts w:ascii="Times New Roman" w:hAnsi="Times New Roman" w:cs="Times New Roman"/>
          <w:sz w:val="28"/>
          <w:szCs w:val="28"/>
        </w:rPr>
        <w:t>.</w:t>
      </w:r>
      <w:r w:rsidR="00725013" w:rsidRPr="00725013">
        <w:rPr>
          <w:rFonts w:ascii="Times New Roman" w:hAnsi="Times New Roman" w:cs="Times New Roman"/>
          <w:sz w:val="28"/>
          <w:szCs w:val="28"/>
          <w:lang w:val="en-US"/>
        </w:rPr>
        <w:t>cntd</w:t>
      </w:r>
      <w:r w:rsidR="00725013" w:rsidRPr="00725013">
        <w:rPr>
          <w:rFonts w:ascii="Times New Roman" w:hAnsi="Times New Roman" w:cs="Times New Roman"/>
          <w:sz w:val="28"/>
          <w:szCs w:val="28"/>
        </w:rPr>
        <w:t>.</w:t>
      </w:r>
      <w:r w:rsidR="00725013" w:rsidRPr="0072501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725013" w:rsidRPr="00725013">
        <w:rPr>
          <w:rFonts w:ascii="Times New Roman" w:hAnsi="Times New Roman" w:cs="Times New Roman"/>
          <w:sz w:val="28"/>
          <w:szCs w:val="28"/>
        </w:rPr>
        <w:t>/</w:t>
      </w:r>
      <w:r w:rsidR="00725013" w:rsidRPr="0072501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725013" w:rsidRPr="00725013">
        <w:rPr>
          <w:rFonts w:ascii="Times New Roman" w:hAnsi="Times New Roman" w:cs="Times New Roman"/>
          <w:sz w:val="28"/>
          <w:szCs w:val="28"/>
        </w:rPr>
        <w:t>/1200068822</w:t>
      </w:r>
    </w:p>
    <w:sectPr w:rsidR="00896398" w:rsidRPr="00725013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0761C"/>
    <w:rsid w:val="00010D27"/>
    <w:rsid w:val="00010DB9"/>
    <w:rsid w:val="0001261B"/>
    <w:rsid w:val="00015DE8"/>
    <w:rsid w:val="000210B6"/>
    <w:rsid w:val="000277A4"/>
    <w:rsid w:val="00030F5A"/>
    <w:rsid w:val="00032BCE"/>
    <w:rsid w:val="000332B9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76D4"/>
    <w:rsid w:val="000A1BD2"/>
    <w:rsid w:val="000A375A"/>
    <w:rsid w:val="000A3A6C"/>
    <w:rsid w:val="000B19AE"/>
    <w:rsid w:val="000B2E8B"/>
    <w:rsid w:val="000C23C8"/>
    <w:rsid w:val="000C6096"/>
    <w:rsid w:val="000E0629"/>
    <w:rsid w:val="000E4A34"/>
    <w:rsid w:val="000E6A90"/>
    <w:rsid w:val="000F44D5"/>
    <w:rsid w:val="001004DF"/>
    <w:rsid w:val="001014B4"/>
    <w:rsid w:val="00101BBF"/>
    <w:rsid w:val="001075B0"/>
    <w:rsid w:val="00115FFB"/>
    <w:rsid w:val="00120F3D"/>
    <w:rsid w:val="00132B0D"/>
    <w:rsid w:val="00134A42"/>
    <w:rsid w:val="001374AD"/>
    <w:rsid w:val="001421A3"/>
    <w:rsid w:val="00146BD4"/>
    <w:rsid w:val="00154735"/>
    <w:rsid w:val="001556AB"/>
    <w:rsid w:val="00155A06"/>
    <w:rsid w:val="00156657"/>
    <w:rsid w:val="00161B89"/>
    <w:rsid w:val="00162790"/>
    <w:rsid w:val="00184176"/>
    <w:rsid w:val="001911CE"/>
    <w:rsid w:val="0019187C"/>
    <w:rsid w:val="001959F3"/>
    <w:rsid w:val="001A1156"/>
    <w:rsid w:val="001A4900"/>
    <w:rsid w:val="001A7E3A"/>
    <w:rsid w:val="001B6A7E"/>
    <w:rsid w:val="001C271B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C6D"/>
    <w:rsid w:val="00210074"/>
    <w:rsid w:val="00211B7D"/>
    <w:rsid w:val="00212AFC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2535"/>
    <w:rsid w:val="00283326"/>
    <w:rsid w:val="002866B8"/>
    <w:rsid w:val="0028700A"/>
    <w:rsid w:val="0029001C"/>
    <w:rsid w:val="00290BF5"/>
    <w:rsid w:val="0029696D"/>
    <w:rsid w:val="002A1880"/>
    <w:rsid w:val="002A6EF9"/>
    <w:rsid w:val="002B53F2"/>
    <w:rsid w:val="002C7337"/>
    <w:rsid w:val="002E0D7B"/>
    <w:rsid w:val="002E2F64"/>
    <w:rsid w:val="002F3EC4"/>
    <w:rsid w:val="002F7050"/>
    <w:rsid w:val="00306ED1"/>
    <w:rsid w:val="00307895"/>
    <w:rsid w:val="0031095C"/>
    <w:rsid w:val="00321B1A"/>
    <w:rsid w:val="003227FF"/>
    <w:rsid w:val="0033137D"/>
    <w:rsid w:val="0033289E"/>
    <w:rsid w:val="00345E36"/>
    <w:rsid w:val="00352256"/>
    <w:rsid w:val="00354A9E"/>
    <w:rsid w:val="003577D1"/>
    <w:rsid w:val="00357F68"/>
    <w:rsid w:val="003640AD"/>
    <w:rsid w:val="00371339"/>
    <w:rsid w:val="00371ECD"/>
    <w:rsid w:val="003738C2"/>
    <w:rsid w:val="0037397A"/>
    <w:rsid w:val="003803BF"/>
    <w:rsid w:val="003861D1"/>
    <w:rsid w:val="00390C9A"/>
    <w:rsid w:val="00392481"/>
    <w:rsid w:val="00394547"/>
    <w:rsid w:val="003A10F3"/>
    <w:rsid w:val="003A2E28"/>
    <w:rsid w:val="003A32B3"/>
    <w:rsid w:val="003B2969"/>
    <w:rsid w:val="003B4AB1"/>
    <w:rsid w:val="003B7A31"/>
    <w:rsid w:val="003C6B30"/>
    <w:rsid w:val="003C6BD8"/>
    <w:rsid w:val="003D3306"/>
    <w:rsid w:val="003D46AE"/>
    <w:rsid w:val="003E1EEF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600E"/>
    <w:rsid w:val="00462879"/>
    <w:rsid w:val="00471FFC"/>
    <w:rsid w:val="00477DD5"/>
    <w:rsid w:val="004879EA"/>
    <w:rsid w:val="004A2EDD"/>
    <w:rsid w:val="004A52FC"/>
    <w:rsid w:val="004A7693"/>
    <w:rsid w:val="004B10F6"/>
    <w:rsid w:val="004B66BC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358C6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4F7A"/>
    <w:rsid w:val="00591C45"/>
    <w:rsid w:val="00594273"/>
    <w:rsid w:val="005A0EBF"/>
    <w:rsid w:val="005B1AC0"/>
    <w:rsid w:val="005C763B"/>
    <w:rsid w:val="005D3456"/>
    <w:rsid w:val="005D50AE"/>
    <w:rsid w:val="005E2993"/>
    <w:rsid w:val="005E5601"/>
    <w:rsid w:val="005E607E"/>
    <w:rsid w:val="005E61A7"/>
    <w:rsid w:val="005F5624"/>
    <w:rsid w:val="00600306"/>
    <w:rsid w:val="00625D47"/>
    <w:rsid w:val="00646729"/>
    <w:rsid w:val="00647113"/>
    <w:rsid w:val="006514F5"/>
    <w:rsid w:val="00652F58"/>
    <w:rsid w:val="00653766"/>
    <w:rsid w:val="0067129E"/>
    <w:rsid w:val="00672929"/>
    <w:rsid w:val="00682038"/>
    <w:rsid w:val="006824EE"/>
    <w:rsid w:val="00682D99"/>
    <w:rsid w:val="006843A2"/>
    <w:rsid w:val="00685D12"/>
    <w:rsid w:val="0068738C"/>
    <w:rsid w:val="00691DF9"/>
    <w:rsid w:val="00694B87"/>
    <w:rsid w:val="00695B08"/>
    <w:rsid w:val="006A4B05"/>
    <w:rsid w:val="006A76C4"/>
    <w:rsid w:val="006B5CE2"/>
    <w:rsid w:val="006D31D9"/>
    <w:rsid w:val="006D58A2"/>
    <w:rsid w:val="006D695B"/>
    <w:rsid w:val="006D6BE3"/>
    <w:rsid w:val="006E0730"/>
    <w:rsid w:val="006E17EF"/>
    <w:rsid w:val="006E3449"/>
    <w:rsid w:val="006F1244"/>
    <w:rsid w:val="006F3279"/>
    <w:rsid w:val="006F6BBF"/>
    <w:rsid w:val="00705B0F"/>
    <w:rsid w:val="0071132A"/>
    <w:rsid w:val="0071157A"/>
    <w:rsid w:val="00711EA5"/>
    <w:rsid w:val="007147C3"/>
    <w:rsid w:val="00717A59"/>
    <w:rsid w:val="00725013"/>
    <w:rsid w:val="007252D4"/>
    <w:rsid w:val="00746004"/>
    <w:rsid w:val="0075403A"/>
    <w:rsid w:val="00754C3D"/>
    <w:rsid w:val="007624A9"/>
    <w:rsid w:val="00764758"/>
    <w:rsid w:val="00771AFE"/>
    <w:rsid w:val="00771B41"/>
    <w:rsid w:val="00784870"/>
    <w:rsid w:val="00787A01"/>
    <w:rsid w:val="007917B9"/>
    <w:rsid w:val="007949EA"/>
    <w:rsid w:val="007963CF"/>
    <w:rsid w:val="007A1683"/>
    <w:rsid w:val="007A2AE3"/>
    <w:rsid w:val="007A647E"/>
    <w:rsid w:val="007B1710"/>
    <w:rsid w:val="007B46E3"/>
    <w:rsid w:val="007C6B25"/>
    <w:rsid w:val="007D02A3"/>
    <w:rsid w:val="007D29AF"/>
    <w:rsid w:val="007D2D96"/>
    <w:rsid w:val="007D44C8"/>
    <w:rsid w:val="007D45FE"/>
    <w:rsid w:val="007E0293"/>
    <w:rsid w:val="007E131F"/>
    <w:rsid w:val="007E4B8C"/>
    <w:rsid w:val="007F433E"/>
    <w:rsid w:val="007F57D2"/>
    <w:rsid w:val="00804BE6"/>
    <w:rsid w:val="0080528C"/>
    <w:rsid w:val="00806893"/>
    <w:rsid w:val="00806CF5"/>
    <w:rsid w:val="00806D9A"/>
    <w:rsid w:val="00816F36"/>
    <w:rsid w:val="00817791"/>
    <w:rsid w:val="0081790A"/>
    <w:rsid w:val="00820F6B"/>
    <w:rsid w:val="008210EE"/>
    <w:rsid w:val="008252EC"/>
    <w:rsid w:val="00832799"/>
    <w:rsid w:val="00833190"/>
    <w:rsid w:val="00840261"/>
    <w:rsid w:val="00856DC3"/>
    <w:rsid w:val="00860219"/>
    <w:rsid w:val="00862D1F"/>
    <w:rsid w:val="00862EC4"/>
    <w:rsid w:val="008652C7"/>
    <w:rsid w:val="008762D4"/>
    <w:rsid w:val="00882E98"/>
    <w:rsid w:val="00884EB0"/>
    <w:rsid w:val="008931E4"/>
    <w:rsid w:val="00896398"/>
    <w:rsid w:val="00897FD8"/>
    <w:rsid w:val="008B0A0C"/>
    <w:rsid w:val="008B1C1C"/>
    <w:rsid w:val="008B789E"/>
    <w:rsid w:val="008C303E"/>
    <w:rsid w:val="008C307F"/>
    <w:rsid w:val="008D1271"/>
    <w:rsid w:val="008F1ACC"/>
    <w:rsid w:val="008F4D03"/>
    <w:rsid w:val="00903571"/>
    <w:rsid w:val="009054BA"/>
    <w:rsid w:val="0090569A"/>
    <w:rsid w:val="00906F88"/>
    <w:rsid w:val="00911BC1"/>
    <w:rsid w:val="00914FAC"/>
    <w:rsid w:val="00916107"/>
    <w:rsid w:val="0092034F"/>
    <w:rsid w:val="009222B3"/>
    <w:rsid w:val="00923187"/>
    <w:rsid w:val="009254DA"/>
    <w:rsid w:val="00925D25"/>
    <w:rsid w:val="009268B2"/>
    <w:rsid w:val="0093569D"/>
    <w:rsid w:val="00942BAD"/>
    <w:rsid w:val="00945D24"/>
    <w:rsid w:val="00946C14"/>
    <w:rsid w:val="00950EAF"/>
    <w:rsid w:val="00952A7C"/>
    <w:rsid w:val="00955CD4"/>
    <w:rsid w:val="00960A12"/>
    <w:rsid w:val="00967311"/>
    <w:rsid w:val="00970F15"/>
    <w:rsid w:val="00987DF0"/>
    <w:rsid w:val="009910D9"/>
    <w:rsid w:val="00991870"/>
    <w:rsid w:val="00992ADE"/>
    <w:rsid w:val="00997451"/>
    <w:rsid w:val="00997A64"/>
    <w:rsid w:val="009A2F2E"/>
    <w:rsid w:val="009B040B"/>
    <w:rsid w:val="009B3AAC"/>
    <w:rsid w:val="009D13BE"/>
    <w:rsid w:val="009D2FA1"/>
    <w:rsid w:val="009D3D8D"/>
    <w:rsid w:val="009D5A26"/>
    <w:rsid w:val="009D7178"/>
    <w:rsid w:val="009E179A"/>
    <w:rsid w:val="009F0BBD"/>
    <w:rsid w:val="009F59B8"/>
    <w:rsid w:val="00A10128"/>
    <w:rsid w:val="00A210CC"/>
    <w:rsid w:val="00A42B2D"/>
    <w:rsid w:val="00A45503"/>
    <w:rsid w:val="00A46805"/>
    <w:rsid w:val="00A51A95"/>
    <w:rsid w:val="00A536A0"/>
    <w:rsid w:val="00A6033D"/>
    <w:rsid w:val="00A60E8A"/>
    <w:rsid w:val="00A637ED"/>
    <w:rsid w:val="00A63B8D"/>
    <w:rsid w:val="00A65ED5"/>
    <w:rsid w:val="00A8022B"/>
    <w:rsid w:val="00A8031C"/>
    <w:rsid w:val="00A856F2"/>
    <w:rsid w:val="00A9571C"/>
    <w:rsid w:val="00A96EFB"/>
    <w:rsid w:val="00AB4BD7"/>
    <w:rsid w:val="00AB6976"/>
    <w:rsid w:val="00AD1895"/>
    <w:rsid w:val="00AD4C58"/>
    <w:rsid w:val="00AE7D6E"/>
    <w:rsid w:val="00AF444C"/>
    <w:rsid w:val="00AF6847"/>
    <w:rsid w:val="00B02982"/>
    <w:rsid w:val="00B034D5"/>
    <w:rsid w:val="00B03620"/>
    <w:rsid w:val="00B05B0D"/>
    <w:rsid w:val="00B075C1"/>
    <w:rsid w:val="00B10B6E"/>
    <w:rsid w:val="00B139E9"/>
    <w:rsid w:val="00B24AA3"/>
    <w:rsid w:val="00B37232"/>
    <w:rsid w:val="00B41D46"/>
    <w:rsid w:val="00B45F7A"/>
    <w:rsid w:val="00B50AA7"/>
    <w:rsid w:val="00B528C0"/>
    <w:rsid w:val="00B666EC"/>
    <w:rsid w:val="00B70FEF"/>
    <w:rsid w:val="00B75DAC"/>
    <w:rsid w:val="00B77050"/>
    <w:rsid w:val="00B8090F"/>
    <w:rsid w:val="00B84A2B"/>
    <w:rsid w:val="00B84DAF"/>
    <w:rsid w:val="00B860FA"/>
    <w:rsid w:val="00B90D23"/>
    <w:rsid w:val="00B92549"/>
    <w:rsid w:val="00B9548F"/>
    <w:rsid w:val="00B96BB9"/>
    <w:rsid w:val="00BA26D1"/>
    <w:rsid w:val="00BB626C"/>
    <w:rsid w:val="00BC5D5F"/>
    <w:rsid w:val="00BD1E8D"/>
    <w:rsid w:val="00BD45F7"/>
    <w:rsid w:val="00BE753A"/>
    <w:rsid w:val="00BE7B36"/>
    <w:rsid w:val="00BF2387"/>
    <w:rsid w:val="00BF5837"/>
    <w:rsid w:val="00C0004D"/>
    <w:rsid w:val="00C02BC6"/>
    <w:rsid w:val="00C2159D"/>
    <w:rsid w:val="00C23689"/>
    <w:rsid w:val="00C23F8E"/>
    <w:rsid w:val="00C253C0"/>
    <w:rsid w:val="00C430AF"/>
    <w:rsid w:val="00C44C6D"/>
    <w:rsid w:val="00C550CD"/>
    <w:rsid w:val="00C6198A"/>
    <w:rsid w:val="00C64256"/>
    <w:rsid w:val="00C73195"/>
    <w:rsid w:val="00C8165B"/>
    <w:rsid w:val="00C85D6C"/>
    <w:rsid w:val="00C90ECF"/>
    <w:rsid w:val="00C96732"/>
    <w:rsid w:val="00CA2C44"/>
    <w:rsid w:val="00CA7D5D"/>
    <w:rsid w:val="00CB1D6D"/>
    <w:rsid w:val="00CB45F1"/>
    <w:rsid w:val="00CB66B3"/>
    <w:rsid w:val="00CC1922"/>
    <w:rsid w:val="00CD3FA1"/>
    <w:rsid w:val="00CD56E2"/>
    <w:rsid w:val="00CF2613"/>
    <w:rsid w:val="00CF5D4E"/>
    <w:rsid w:val="00D008D6"/>
    <w:rsid w:val="00D02C99"/>
    <w:rsid w:val="00D04FA3"/>
    <w:rsid w:val="00D06029"/>
    <w:rsid w:val="00D0660B"/>
    <w:rsid w:val="00D07DF1"/>
    <w:rsid w:val="00D13B9D"/>
    <w:rsid w:val="00D14AED"/>
    <w:rsid w:val="00D15DA1"/>
    <w:rsid w:val="00D23E6C"/>
    <w:rsid w:val="00D24BE3"/>
    <w:rsid w:val="00D25A16"/>
    <w:rsid w:val="00D32E55"/>
    <w:rsid w:val="00D32ECD"/>
    <w:rsid w:val="00D356E1"/>
    <w:rsid w:val="00D3621F"/>
    <w:rsid w:val="00D3783C"/>
    <w:rsid w:val="00D47A8A"/>
    <w:rsid w:val="00D53159"/>
    <w:rsid w:val="00D718DD"/>
    <w:rsid w:val="00D721F0"/>
    <w:rsid w:val="00D76312"/>
    <w:rsid w:val="00D80952"/>
    <w:rsid w:val="00D83412"/>
    <w:rsid w:val="00D86564"/>
    <w:rsid w:val="00D871FE"/>
    <w:rsid w:val="00D912CB"/>
    <w:rsid w:val="00D924FA"/>
    <w:rsid w:val="00D92D5F"/>
    <w:rsid w:val="00D93994"/>
    <w:rsid w:val="00DA2A0D"/>
    <w:rsid w:val="00DA467E"/>
    <w:rsid w:val="00DB7CFB"/>
    <w:rsid w:val="00DC1AD3"/>
    <w:rsid w:val="00DC2864"/>
    <w:rsid w:val="00DD0EB5"/>
    <w:rsid w:val="00DD4AFD"/>
    <w:rsid w:val="00DD530E"/>
    <w:rsid w:val="00DF00C5"/>
    <w:rsid w:val="00DF5AC5"/>
    <w:rsid w:val="00E02C5C"/>
    <w:rsid w:val="00E06973"/>
    <w:rsid w:val="00E06B6D"/>
    <w:rsid w:val="00E12017"/>
    <w:rsid w:val="00E1741F"/>
    <w:rsid w:val="00E20185"/>
    <w:rsid w:val="00E33CB0"/>
    <w:rsid w:val="00E3505D"/>
    <w:rsid w:val="00E43AFF"/>
    <w:rsid w:val="00E44915"/>
    <w:rsid w:val="00E62A3C"/>
    <w:rsid w:val="00E633AE"/>
    <w:rsid w:val="00E6701F"/>
    <w:rsid w:val="00E707E4"/>
    <w:rsid w:val="00E8289A"/>
    <w:rsid w:val="00E91A1D"/>
    <w:rsid w:val="00E92C96"/>
    <w:rsid w:val="00EA149F"/>
    <w:rsid w:val="00EA191D"/>
    <w:rsid w:val="00EA2EA7"/>
    <w:rsid w:val="00EC3579"/>
    <w:rsid w:val="00EC57D6"/>
    <w:rsid w:val="00EC779E"/>
    <w:rsid w:val="00ED1188"/>
    <w:rsid w:val="00ED1A60"/>
    <w:rsid w:val="00ED36E8"/>
    <w:rsid w:val="00ED3D34"/>
    <w:rsid w:val="00ED5D8C"/>
    <w:rsid w:val="00EF052C"/>
    <w:rsid w:val="00EF0721"/>
    <w:rsid w:val="00EF7827"/>
    <w:rsid w:val="00F04B9C"/>
    <w:rsid w:val="00F057C2"/>
    <w:rsid w:val="00F112D6"/>
    <w:rsid w:val="00F12C3F"/>
    <w:rsid w:val="00F145F8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70DA7"/>
    <w:rsid w:val="00F713B4"/>
    <w:rsid w:val="00F76DCE"/>
    <w:rsid w:val="00F7753C"/>
    <w:rsid w:val="00F83B7A"/>
    <w:rsid w:val="00F84B80"/>
    <w:rsid w:val="00F84D49"/>
    <w:rsid w:val="00F85194"/>
    <w:rsid w:val="00F932C6"/>
    <w:rsid w:val="00F935C8"/>
    <w:rsid w:val="00FA153A"/>
    <w:rsid w:val="00FA3D37"/>
    <w:rsid w:val="00FB6CFC"/>
    <w:rsid w:val="00FC157C"/>
    <w:rsid w:val="00FC611B"/>
    <w:rsid w:val="00FD076B"/>
    <w:rsid w:val="00FD69B2"/>
    <w:rsid w:val="00FD6E2A"/>
    <w:rsid w:val="00FE2DCF"/>
    <w:rsid w:val="00FF2043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16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487</cp:revision>
  <dcterms:created xsi:type="dcterms:W3CDTF">2022-12-19T05:35:00Z</dcterms:created>
  <dcterms:modified xsi:type="dcterms:W3CDTF">2023-01-09T07:09:00Z</dcterms:modified>
</cp:coreProperties>
</file>