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2A5E044A" w:rsidR="00B10B6E" w:rsidRPr="00851C1F" w:rsidRDefault="00B756A0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К вопросу о совершенствовании системы статистических показателей б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езопасност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700A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применения 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ц</w:t>
      </w:r>
      <w:r w:rsidR="0092034F" w:rsidRPr="00851C1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 w:rsidR="0033137D" w:rsidRPr="00851C1F">
        <w:rPr>
          <w:rFonts w:ascii="Times New Roman" w:hAnsi="Times New Roman" w:cs="Times New Roman"/>
          <w:b/>
          <w:bCs/>
          <w:sz w:val="32"/>
          <w:szCs w:val="32"/>
        </w:rPr>
        <w:t>й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5D03DB1B" w14:textId="03BC4BC8" w:rsidR="00BA01C3" w:rsidRDefault="001B6A7E" w:rsidP="00020223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bookmarkStart w:id="3" w:name="_Hlk122934950"/>
      <w:r w:rsidR="009C190B">
        <w:rPr>
          <w:rFonts w:ascii="Times New Roman" w:hAnsi="Times New Roman" w:cs="Times New Roman"/>
          <w:i/>
          <w:iCs/>
          <w:sz w:val="28"/>
          <w:szCs w:val="28"/>
        </w:rPr>
        <w:t xml:space="preserve"> – и диктует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 xml:space="preserve"> целесообразность </w:t>
      </w:r>
      <w:r w:rsidR="009C190B">
        <w:rPr>
          <w:rFonts w:ascii="Times New Roman" w:hAnsi="Times New Roman" w:cs="Times New Roman"/>
          <w:i/>
          <w:iCs/>
          <w:sz w:val="28"/>
          <w:szCs w:val="28"/>
        </w:rPr>
        <w:t>объединения множества этих терминов в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 xml:space="preserve"> обобщ</w:t>
      </w:r>
      <w:r w:rsidR="00492BA2">
        <w:rPr>
          <w:rFonts w:ascii="Times New Roman" w:hAnsi="Times New Roman" w:cs="Times New Roman"/>
          <w:i/>
          <w:iCs/>
          <w:sz w:val="28"/>
          <w:szCs w:val="28"/>
        </w:rPr>
        <w:t>ающе</w:t>
      </w:r>
      <w:r w:rsidR="009C190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492B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>поняти</w:t>
      </w:r>
      <w:r w:rsidR="009C190B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BA01C3" w:rsidRPr="00BA01C3">
        <w:rPr>
          <w:rFonts w:ascii="Times New Roman" w:hAnsi="Times New Roman" w:cs="Times New Roman"/>
          <w:i/>
          <w:iCs/>
          <w:sz w:val="28"/>
          <w:szCs w:val="28"/>
        </w:rPr>
        <w:t xml:space="preserve"> «безопасность применения цифровых технологий»</w:t>
      </w:r>
      <w:r w:rsidR="0002022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3"/>
    <w:p w14:paraId="018ACDA3" w14:textId="6E017DE7" w:rsidR="00C97E60" w:rsidRDefault="0018739A" w:rsidP="004C3C7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Вопросы б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езопасност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применения цифровых технологий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все чаще 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станов</w:t>
      </w:r>
      <w:r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тся предметом 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статистических 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исследований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D66456">
        <w:rPr>
          <w:rFonts w:ascii="Times New Roman" w:hAnsi="Times New Roman" w:cs="Times New Roman"/>
          <w:i/>
          <w:iCs/>
          <w:sz w:val="28"/>
          <w:szCs w:val="28"/>
        </w:rPr>
        <w:t xml:space="preserve">научная и практическая ценность которых напрямую зависит от степени актуальности </w:t>
      </w:r>
      <w:r w:rsidR="003902E9">
        <w:rPr>
          <w:rFonts w:ascii="Times New Roman" w:hAnsi="Times New Roman" w:cs="Times New Roman"/>
          <w:i/>
          <w:iCs/>
          <w:sz w:val="28"/>
          <w:szCs w:val="28"/>
        </w:rPr>
        <w:t>используемой</w:t>
      </w:r>
      <w:r w:rsidR="00D664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>системы показателей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. Цель данной статьи состоит в том, чтобы </w:t>
      </w:r>
      <w:bookmarkStart w:id="4" w:name="_Hlk127860798"/>
      <w:r w:rsidR="00D66456">
        <w:rPr>
          <w:rFonts w:ascii="Times New Roman" w:hAnsi="Times New Roman" w:cs="Times New Roman"/>
          <w:i/>
          <w:iCs/>
          <w:sz w:val="28"/>
          <w:szCs w:val="28"/>
        </w:rPr>
        <w:t>про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>анали</w:t>
      </w:r>
      <w:r w:rsidR="00D66456">
        <w:rPr>
          <w:rFonts w:ascii="Times New Roman" w:hAnsi="Times New Roman" w:cs="Times New Roman"/>
          <w:i/>
          <w:iCs/>
          <w:sz w:val="28"/>
          <w:szCs w:val="28"/>
        </w:rPr>
        <w:t>зирова</w:t>
      </w:r>
      <w:r w:rsidR="003902E9">
        <w:rPr>
          <w:rFonts w:ascii="Times New Roman" w:hAnsi="Times New Roman" w:cs="Times New Roman"/>
          <w:i/>
          <w:iCs/>
          <w:sz w:val="28"/>
          <w:szCs w:val="28"/>
        </w:rPr>
        <w:t>ть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 существующ</w:t>
      </w:r>
      <w:r w:rsidR="00D66456">
        <w:rPr>
          <w:rFonts w:ascii="Times New Roman" w:hAnsi="Times New Roman" w:cs="Times New Roman"/>
          <w:i/>
          <w:iCs/>
          <w:sz w:val="28"/>
          <w:szCs w:val="28"/>
        </w:rPr>
        <w:t>ую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86D89">
        <w:rPr>
          <w:rFonts w:ascii="Times New Roman" w:hAnsi="Times New Roman" w:cs="Times New Roman"/>
          <w:i/>
          <w:iCs/>
          <w:sz w:val="28"/>
          <w:szCs w:val="28"/>
        </w:rPr>
        <w:t>систем</w:t>
      </w:r>
      <w:r w:rsidR="00622841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C86D89">
        <w:rPr>
          <w:rFonts w:ascii="Times New Roman" w:hAnsi="Times New Roman" w:cs="Times New Roman"/>
          <w:i/>
          <w:iCs/>
          <w:sz w:val="28"/>
          <w:szCs w:val="28"/>
        </w:rPr>
        <w:t xml:space="preserve"> статистических показателей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902E9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F95F3A">
        <w:rPr>
          <w:rFonts w:ascii="Times New Roman" w:hAnsi="Times New Roman" w:cs="Times New Roman"/>
          <w:i/>
          <w:iCs/>
          <w:sz w:val="28"/>
          <w:szCs w:val="28"/>
        </w:rPr>
        <w:t>обозначить перспективы по ее совершенствованию</w:t>
      </w:r>
      <w:bookmarkEnd w:id="4"/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902E9">
        <w:rPr>
          <w:rFonts w:ascii="Times New Roman" w:hAnsi="Times New Roman" w:cs="Times New Roman"/>
          <w:i/>
          <w:iCs/>
          <w:sz w:val="28"/>
          <w:szCs w:val="28"/>
        </w:rPr>
        <w:t>Для достижения поставленной цели в</w:t>
      </w:r>
      <w:r w:rsidR="00C97E60">
        <w:rPr>
          <w:rFonts w:ascii="Times New Roman" w:hAnsi="Times New Roman" w:cs="Times New Roman"/>
          <w:i/>
          <w:iCs/>
          <w:sz w:val="28"/>
          <w:szCs w:val="28"/>
        </w:rPr>
        <w:t xml:space="preserve"> процессе анализа были использованы методы дескриптивной статистики, корреляционно-регрессионный анализ, а также методы машинного обучения (в частности, различные варианты алгоритмов классификации на основе деревьев</w:t>
      </w:r>
      <w:r w:rsidR="00040884" w:rsidRPr="000408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40884">
        <w:rPr>
          <w:rFonts w:ascii="Times New Roman" w:hAnsi="Times New Roman" w:cs="Times New Roman"/>
          <w:i/>
          <w:iCs/>
          <w:sz w:val="28"/>
          <w:szCs w:val="28"/>
        </w:rPr>
        <w:t>решений</w:t>
      </w:r>
      <w:r w:rsidR="00C97E60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2155BB43" w14:textId="6FCFAE6D" w:rsidR="00F13F99" w:rsidRDefault="00FB54A9" w:rsidP="004C3C7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Результаты обзора</w:t>
      </w:r>
      <w:r w:rsidR="00FA5307"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="006345FF">
        <w:rPr>
          <w:rFonts w:ascii="Times New Roman" w:hAnsi="Times New Roman" w:cs="Times New Roman"/>
          <w:i/>
          <w:iCs/>
          <w:sz w:val="28"/>
          <w:szCs w:val="28"/>
        </w:rPr>
        <w:t>овременны</w:t>
      </w:r>
      <w:r w:rsidR="00FA5307">
        <w:rPr>
          <w:rFonts w:ascii="Times New Roman" w:hAnsi="Times New Roman" w:cs="Times New Roman"/>
          <w:i/>
          <w:iCs/>
          <w:sz w:val="28"/>
          <w:szCs w:val="28"/>
        </w:rPr>
        <w:t xml:space="preserve">х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методологических разработок, применяемых на международном и национальном уровнях, </w:t>
      </w:r>
      <w:r w:rsidR="00FA5307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t>озволил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t xml:space="preserve"> сделать вывод о том, что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исчисляемые статистические показатели способны 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количественн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>оцен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ивать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 xml:space="preserve"> самы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 xml:space="preserve"> разн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ообразные</w:t>
      </w:r>
      <w:r w:rsidR="00C43D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>аспект</w:t>
      </w:r>
      <w:r w:rsidR="00331343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2F49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345FF">
        <w:rPr>
          <w:rFonts w:ascii="Times New Roman" w:hAnsi="Times New Roman" w:cs="Times New Roman"/>
          <w:i/>
          <w:iCs/>
          <w:sz w:val="28"/>
          <w:szCs w:val="28"/>
        </w:rPr>
        <w:t>безопасности применения цифровых технологий.</w:t>
      </w:r>
      <w:r w:rsidR="00727861">
        <w:rPr>
          <w:rFonts w:ascii="Times New Roman" w:hAnsi="Times New Roman" w:cs="Times New Roman"/>
          <w:i/>
          <w:iCs/>
          <w:sz w:val="28"/>
          <w:szCs w:val="28"/>
        </w:rPr>
        <w:t xml:space="preserve"> Вместе с тем, </w:t>
      </w:r>
      <w:r w:rsidR="007A7AEB">
        <w:rPr>
          <w:rFonts w:ascii="Times New Roman" w:hAnsi="Times New Roman" w:cs="Times New Roman"/>
          <w:i/>
          <w:iCs/>
          <w:sz w:val="28"/>
          <w:szCs w:val="28"/>
        </w:rPr>
        <w:t xml:space="preserve">вполне объяснимая «автономность» </w:t>
      </w:r>
      <w:r w:rsidR="00C91CE7">
        <w:rPr>
          <w:rFonts w:ascii="Times New Roman" w:hAnsi="Times New Roman" w:cs="Times New Roman"/>
          <w:i/>
          <w:iCs/>
          <w:sz w:val="28"/>
          <w:szCs w:val="28"/>
        </w:rPr>
        <w:t xml:space="preserve">этих </w:t>
      </w:r>
      <w:r w:rsidR="007A7AEB">
        <w:rPr>
          <w:rFonts w:ascii="Times New Roman" w:hAnsi="Times New Roman" w:cs="Times New Roman"/>
          <w:i/>
          <w:iCs/>
          <w:sz w:val="28"/>
          <w:szCs w:val="28"/>
        </w:rPr>
        <w:t>методологий существенно затрудняет создание комплексного представления</w:t>
      </w:r>
      <w:r w:rsidR="00C91CE7">
        <w:rPr>
          <w:rFonts w:ascii="Times New Roman" w:hAnsi="Times New Roman" w:cs="Times New Roman"/>
          <w:i/>
          <w:iCs/>
          <w:sz w:val="28"/>
          <w:szCs w:val="28"/>
        </w:rPr>
        <w:t xml:space="preserve"> об измеряемых процессах, например, их позиции в общей структуре и роли в возможных причинно-следственных связях.</w:t>
      </w:r>
      <w:r w:rsidR="004A3009">
        <w:rPr>
          <w:rFonts w:ascii="Times New Roman" w:hAnsi="Times New Roman" w:cs="Times New Roman"/>
          <w:i/>
          <w:iCs/>
          <w:sz w:val="28"/>
          <w:szCs w:val="28"/>
        </w:rPr>
        <w:t xml:space="preserve"> С целью заполнения этого методологического проблема в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работе предложен подход к динамическому формированию </w:t>
      </w:r>
      <w:r w:rsidR="00C86D89">
        <w:rPr>
          <w:rFonts w:ascii="Times New Roman" w:hAnsi="Times New Roman" w:cs="Times New Roman"/>
          <w:i/>
          <w:iCs/>
          <w:sz w:val="28"/>
          <w:szCs w:val="28"/>
        </w:rPr>
        <w:t xml:space="preserve">системы </w:t>
      </w:r>
      <w:r w:rsidR="004A3009">
        <w:rPr>
          <w:rFonts w:ascii="Times New Roman" w:hAnsi="Times New Roman" w:cs="Times New Roman"/>
          <w:i/>
          <w:iCs/>
          <w:sz w:val="28"/>
          <w:szCs w:val="28"/>
        </w:rPr>
        <w:t xml:space="preserve">статистических показателей 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путем включения в нее новых индикаторов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>фиксирующих состояние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13F99">
        <w:rPr>
          <w:rFonts w:ascii="Times New Roman" w:hAnsi="Times New Roman" w:cs="Times New Roman"/>
          <w:i/>
          <w:iCs/>
          <w:sz w:val="28"/>
          <w:szCs w:val="28"/>
        </w:rPr>
        <w:t xml:space="preserve">этапов жизненного цикла процесса 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>нарушения безопасности применения цифровых технологий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855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6180">
        <w:rPr>
          <w:rFonts w:ascii="Times New Roman" w:hAnsi="Times New Roman" w:cs="Times New Roman"/>
          <w:i/>
          <w:iCs/>
          <w:sz w:val="28"/>
          <w:szCs w:val="28"/>
        </w:rPr>
        <w:t>Сам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 xml:space="preserve"> процесс </w:t>
      </w:r>
      <w:r w:rsidR="00196180">
        <w:rPr>
          <w:rFonts w:ascii="Times New Roman" w:hAnsi="Times New Roman" w:cs="Times New Roman"/>
          <w:i/>
          <w:iCs/>
          <w:sz w:val="28"/>
          <w:szCs w:val="28"/>
        </w:rPr>
        <w:t xml:space="preserve">нарушения безопасности 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 xml:space="preserve">рассматривается </w:t>
      </w:r>
      <w:r w:rsidR="00196180">
        <w:rPr>
          <w:rFonts w:ascii="Times New Roman" w:hAnsi="Times New Roman" w:cs="Times New Roman"/>
          <w:i/>
          <w:iCs/>
          <w:sz w:val="28"/>
          <w:szCs w:val="28"/>
        </w:rPr>
        <w:t xml:space="preserve">при этом 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385506">
        <w:rPr>
          <w:rFonts w:ascii="Times New Roman" w:hAnsi="Times New Roman" w:cs="Times New Roman"/>
          <w:i/>
          <w:iCs/>
          <w:sz w:val="28"/>
          <w:szCs w:val="28"/>
        </w:rPr>
        <w:t>ак</w:t>
      </w:r>
      <w:r w:rsidR="004266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>последовательност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ь</w:t>
      </w:r>
      <w:r w:rsidR="00F06F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«субъект – мотив – объект – метод – последствия»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 xml:space="preserve"> с подразделением по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="000139C9">
        <w:rPr>
          <w:rFonts w:ascii="Times New Roman" w:hAnsi="Times New Roman" w:cs="Times New Roman"/>
          <w:i/>
          <w:iCs/>
          <w:sz w:val="28"/>
          <w:szCs w:val="28"/>
        </w:rPr>
        <w:t>аправлени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ям</w:t>
      </w:r>
      <w:r w:rsidR="00350108">
        <w:rPr>
          <w:rFonts w:ascii="Times New Roman" w:hAnsi="Times New Roman" w:cs="Times New Roman"/>
          <w:i/>
          <w:iCs/>
          <w:sz w:val="28"/>
          <w:szCs w:val="28"/>
        </w:rPr>
        <w:t xml:space="preserve"> (технологическое, социальное, экономическое)</w:t>
      </w:r>
      <w:r w:rsidR="000139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0139C9">
        <w:rPr>
          <w:rFonts w:ascii="Times New Roman" w:hAnsi="Times New Roman" w:cs="Times New Roman"/>
          <w:i/>
          <w:iCs/>
          <w:sz w:val="28"/>
          <w:szCs w:val="28"/>
        </w:rPr>
        <w:t>масштаб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у охвата</w:t>
      </w:r>
      <w:r w:rsidR="00350108">
        <w:rPr>
          <w:rFonts w:ascii="Times New Roman" w:hAnsi="Times New Roman" w:cs="Times New Roman"/>
          <w:i/>
          <w:iCs/>
          <w:sz w:val="28"/>
          <w:szCs w:val="28"/>
        </w:rPr>
        <w:t xml:space="preserve"> (микро-, мезо-, макро-)</w:t>
      </w:r>
      <w:r w:rsidR="00A7761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5ABC51" w14:textId="449756CF" w:rsidR="005C113A" w:rsidRDefault="003E0D60" w:rsidP="004C3C7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Поиск информационных и методических источников, имеющих опосредованное отношение к статистическим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F51F06">
        <w:rPr>
          <w:rFonts w:ascii="Times New Roman" w:hAnsi="Times New Roman" w:cs="Times New Roman"/>
          <w:i/>
          <w:iCs/>
          <w:sz w:val="28"/>
          <w:szCs w:val="28"/>
        </w:rPr>
        <w:t xml:space="preserve">инспектировалась 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широко известная веб-платформа </w:t>
      </w:r>
      <w:r w:rsidR="00FC1ED4">
        <w:rPr>
          <w:rFonts w:ascii="Times New Roman" w:hAnsi="Times New Roman" w:cs="Times New Roman"/>
          <w:i/>
          <w:iCs/>
          <w:sz w:val="28"/>
          <w:szCs w:val="28"/>
          <w:lang w:val="en-US"/>
        </w:rPr>
        <w:t>Kaggle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F51F06">
        <w:rPr>
          <w:rFonts w:ascii="Times New Roman" w:hAnsi="Times New Roman" w:cs="Times New Roman"/>
          <w:i/>
          <w:iCs/>
          <w:sz w:val="28"/>
          <w:szCs w:val="28"/>
        </w:rPr>
        <w:t>объединяющая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51F06">
        <w:rPr>
          <w:rFonts w:ascii="Times New Roman" w:hAnsi="Times New Roman" w:cs="Times New Roman"/>
          <w:i/>
          <w:iCs/>
          <w:sz w:val="28"/>
          <w:szCs w:val="28"/>
        </w:rPr>
        <w:t xml:space="preserve">исследователей в области науки о данных и 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>машинно</w:t>
      </w:r>
      <w:r w:rsidR="008C3D59">
        <w:rPr>
          <w:rFonts w:ascii="Times New Roman" w:hAnsi="Times New Roman" w:cs="Times New Roman"/>
          <w:i/>
          <w:iCs/>
          <w:sz w:val="28"/>
          <w:szCs w:val="28"/>
        </w:rPr>
        <w:t>го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 xml:space="preserve"> обучени</w:t>
      </w:r>
      <w:r w:rsidR="008C3D59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>), предоставил возможность п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>рове</w:t>
      </w:r>
      <w:r w:rsidR="00FC1ED4">
        <w:rPr>
          <w:rFonts w:ascii="Times New Roman" w:hAnsi="Times New Roman" w:cs="Times New Roman"/>
          <w:i/>
          <w:iCs/>
          <w:sz w:val="28"/>
          <w:szCs w:val="28"/>
        </w:rPr>
        <w:t>сти</w:t>
      </w:r>
      <w:r w:rsidR="004C3C74">
        <w:rPr>
          <w:rFonts w:ascii="Times New Roman" w:hAnsi="Times New Roman" w:cs="Times New Roman"/>
          <w:i/>
          <w:iCs/>
          <w:sz w:val="28"/>
          <w:szCs w:val="28"/>
        </w:rPr>
        <w:t xml:space="preserve"> а</w:t>
      </w:r>
      <w:r w:rsidR="004C3C74" w:rsidRPr="00F670F5">
        <w:rPr>
          <w:rFonts w:ascii="Times New Roman" w:hAnsi="Times New Roman" w:cs="Times New Roman"/>
          <w:i/>
          <w:iCs/>
          <w:sz w:val="28"/>
          <w:szCs w:val="28"/>
        </w:rPr>
        <w:t>нализ результатов тематического опроса компаний</w:t>
      </w:r>
      <w:r w:rsidR="009B739F">
        <w:rPr>
          <w:rFonts w:ascii="Times New Roman" w:hAnsi="Times New Roman" w:cs="Times New Roman"/>
          <w:i/>
          <w:iCs/>
          <w:sz w:val="28"/>
          <w:szCs w:val="28"/>
        </w:rPr>
        <w:t xml:space="preserve">. В итоге </w:t>
      </w:r>
      <w:r w:rsidR="005C113A">
        <w:rPr>
          <w:rFonts w:ascii="Times New Roman" w:hAnsi="Times New Roman" w:cs="Times New Roman"/>
          <w:i/>
          <w:iCs/>
          <w:sz w:val="28"/>
          <w:szCs w:val="28"/>
        </w:rPr>
        <w:t xml:space="preserve">моделирования влияния </w:t>
      </w:r>
      <w:r w:rsidR="00917575" w:rsidRPr="00917575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безопасности применения цифровых технологий на </w:t>
      </w:r>
      <w:r w:rsidR="009953D8">
        <w:rPr>
          <w:rFonts w:ascii="Times New Roman" w:hAnsi="Times New Roman" w:cs="Times New Roman"/>
          <w:i/>
          <w:iCs/>
          <w:sz w:val="28"/>
          <w:szCs w:val="28"/>
        </w:rPr>
        <w:t xml:space="preserve">эффективность </w:t>
      </w:r>
      <w:r w:rsidR="00917575" w:rsidRPr="00917575">
        <w:rPr>
          <w:rFonts w:ascii="Times New Roman" w:hAnsi="Times New Roman" w:cs="Times New Roman"/>
          <w:i/>
          <w:iCs/>
          <w:sz w:val="28"/>
          <w:szCs w:val="28"/>
        </w:rPr>
        <w:t>экономическ</w:t>
      </w:r>
      <w:r w:rsidR="009953D8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917575" w:rsidRPr="00917575">
        <w:rPr>
          <w:rFonts w:ascii="Times New Roman" w:hAnsi="Times New Roman" w:cs="Times New Roman"/>
          <w:i/>
          <w:iCs/>
          <w:sz w:val="28"/>
          <w:szCs w:val="28"/>
        </w:rPr>
        <w:t xml:space="preserve"> деятельност</w:t>
      </w:r>
      <w:r w:rsidR="009953D8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917575" w:rsidRPr="0091757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B739F">
        <w:rPr>
          <w:rFonts w:ascii="Times New Roman" w:hAnsi="Times New Roman" w:cs="Times New Roman"/>
          <w:i/>
          <w:iCs/>
          <w:sz w:val="28"/>
          <w:szCs w:val="28"/>
        </w:rPr>
        <w:t>был</w:t>
      </w:r>
      <w:r w:rsidR="005C113A">
        <w:rPr>
          <w:rFonts w:ascii="Times New Roman" w:hAnsi="Times New Roman" w:cs="Times New Roman"/>
          <w:i/>
          <w:iCs/>
          <w:sz w:val="28"/>
          <w:szCs w:val="28"/>
        </w:rPr>
        <w:t>о установлено, что</w:t>
      </w:r>
      <w:r w:rsidR="009B73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17575">
        <w:rPr>
          <w:rFonts w:ascii="Times New Roman" w:hAnsi="Times New Roman" w:cs="Times New Roman"/>
          <w:i/>
          <w:iCs/>
          <w:sz w:val="28"/>
          <w:szCs w:val="28"/>
        </w:rPr>
        <w:t>вариация фактора безопасности примерно на треть определяет уровень экономической эффективности компании в рамках представленной совокупности.</w:t>
      </w:r>
      <w:r w:rsidR="003C24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B7503">
        <w:rPr>
          <w:rFonts w:ascii="Times New Roman" w:hAnsi="Times New Roman" w:cs="Times New Roman"/>
          <w:i/>
          <w:iCs/>
          <w:sz w:val="28"/>
          <w:szCs w:val="28"/>
        </w:rPr>
        <w:t>Использование методов машинного обучения позволило получить предсказательные модели с приемлемым уровнем качества классификации компаний на эффективные и неэффективные</w:t>
      </w:r>
      <w:r w:rsidR="009953D8">
        <w:rPr>
          <w:rFonts w:ascii="Times New Roman" w:hAnsi="Times New Roman" w:cs="Times New Roman"/>
          <w:i/>
          <w:iCs/>
          <w:sz w:val="28"/>
          <w:szCs w:val="28"/>
        </w:rPr>
        <w:t xml:space="preserve"> в том же факторном контексте</w:t>
      </w:r>
      <w:r w:rsidR="00CB750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888CA2C" w14:textId="7D97D0DC" w:rsidR="00AD1564" w:rsidRDefault="00DD79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 практической точки зрения п</w:t>
      </w:r>
      <w:r w:rsidR="00653F3C">
        <w:rPr>
          <w:rFonts w:ascii="Times New Roman" w:hAnsi="Times New Roman" w:cs="Times New Roman"/>
          <w:i/>
          <w:iCs/>
          <w:sz w:val="28"/>
          <w:szCs w:val="28"/>
        </w:rPr>
        <w:t xml:space="preserve">редложенный </w:t>
      </w:r>
      <w:r w:rsidR="0004195C">
        <w:rPr>
          <w:rFonts w:ascii="Times New Roman" w:hAnsi="Times New Roman" w:cs="Times New Roman"/>
          <w:i/>
          <w:iCs/>
          <w:sz w:val="28"/>
          <w:szCs w:val="28"/>
        </w:rPr>
        <w:t xml:space="preserve">в работе </w:t>
      </w:r>
      <w:r w:rsidR="00653F3C">
        <w:rPr>
          <w:rFonts w:ascii="Times New Roman" w:hAnsi="Times New Roman" w:cs="Times New Roman"/>
          <w:i/>
          <w:iCs/>
          <w:sz w:val="28"/>
          <w:szCs w:val="28"/>
        </w:rPr>
        <w:t xml:space="preserve">подход </w:t>
      </w:r>
      <w:r w:rsidR="00477BEE">
        <w:rPr>
          <w:rFonts w:ascii="Times New Roman" w:hAnsi="Times New Roman" w:cs="Times New Roman"/>
          <w:i/>
          <w:iCs/>
          <w:sz w:val="28"/>
          <w:szCs w:val="28"/>
        </w:rPr>
        <w:t xml:space="preserve">к 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>формировани</w:t>
      </w:r>
      <w:r w:rsidR="00477BEE">
        <w:rPr>
          <w:rFonts w:ascii="Times New Roman" w:hAnsi="Times New Roman" w:cs="Times New Roman"/>
          <w:i/>
          <w:iCs/>
          <w:sz w:val="28"/>
          <w:szCs w:val="28"/>
        </w:rPr>
        <w:t>ю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 xml:space="preserve"> системы статистических показателей б</w:t>
      </w:r>
      <w:r w:rsidR="0004195C">
        <w:rPr>
          <w:rFonts w:ascii="Times New Roman" w:hAnsi="Times New Roman" w:cs="Times New Roman"/>
          <w:i/>
          <w:iCs/>
          <w:sz w:val="28"/>
          <w:szCs w:val="28"/>
        </w:rPr>
        <w:t>удет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 xml:space="preserve"> полезен при анализе </w:t>
      </w:r>
      <w:r w:rsidR="00963D82">
        <w:rPr>
          <w:rFonts w:ascii="Times New Roman" w:hAnsi="Times New Roman" w:cs="Times New Roman"/>
          <w:i/>
          <w:iCs/>
          <w:sz w:val="28"/>
          <w:szCs w:val="28"/>
        </w:rPr>
        <w:t xml:space="preserve">и администрировании 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>процесс</w:t>
      </w:r>
      <w:r w:rsidR="00C75E1B">
        <w:rPr>
          <w:rFonts w:ascii="Times New Roman" w:hAnsi="Times New Roman" w:cs="Times New Roman"/>
          <w:i/>
          <w:iCs/>
          <w:sz w:val="28"/>
          <w:szCs w:val="28"/>
        </w:rPr>
        <w:t>ов</w:t>
      </w:r>
      <w:r w:rsidR="0027696C">
        <w:rPr>
          <w:rFonts w:ascii="Times New Roman" w:hAnsi="Times New Roman" w:cs="Times New Roman"/>
          <w:i/>
          <w:iCs/>
          <w:sz w:val="28"/>
          <w:szCs w:val="28"/>
        </w:rPr>
        <w:t xml:space="preserve"> нарушения безопасности применения цифровых технологий</w:t>
      </w:r>
      <w:r w:rsidR="009126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7BEE">
        <w:rPr>
          <w:rFonts w:ascii="Times New Roman" w:hAnsi="Times New Roman" w:cs="Times New Roman"/>
          <w:i/>
          <w:iCs/>
          <w:sz w:val="28"/>
          <w:szCs w:val="28"/>
        </w:rPr>
        <w:t xml:space="preserve">в масштабе предприятий, регионов и страны в целом. </w:t>
      </w:r>
    </w:p>
    <w:p w14:paraId="3051F3B0" w14:textId="713BFEBC" w:rsidR="003E11EC" w:rsidRDefault="001542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B8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Ключевые слова</w:t>
      </w:r>
      <w:r>
        <w:rPr>
          <w:rFonts w:ascii="Times New Roman" w:hAnsi="Times New Roman" w:cs="Times New Roman"/>
          <w:sz w:val="28"/>
          <w:szCs w:val="28"/>
        </w:rPr>
        <w:t>: информационн</w:t>
      </w:r>
      <w:r w:rsidR="003C7065">
        <w:rPr>
          <w:rFonts w:ascii="Times New Roman" w:hAnsi="Times New Roman" w:cs="Times New Roman"/>
          <w:sz w:val="28"/>
          <w:szCs w:val="28"/>
        </w:rPr>
        <w:t>о-коммуникационные</w:t>
      </w:r>
      <w:r>
        <w:rPr>
          <w:rFonts w:ascii="Times New Roman" w:hAnsi="Times New Roman" w:cs="Times New Roman"/>
          <w:sz w:val="28"/>
          <w:szCs w:val="28"/>
        </w:rPr>
        <w:t xml:space="preserve"> технологии, информационная безопасность, безопасность применения цифровых технологий, система статистических показателей</w:t>
      </w:r>
    </w:p>
    <w:p w14:paraId="7035B7F6" w14:textId="77777777" w:rsidR="00B7410D" w:rsidRDefault="00B7410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7C958" w14:textId="71087BA0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7B8B5B" w14:textId="77777777" w:rsidR="009126E7" w:rsidRDefault="009126E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FC053" w14:textId="50821FCB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AA150" w14:textId="51DB497C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F0890" w14:textId="44187971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7CAED" w14:textId="3230CF00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1F1DE" w14:textId="35289456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F740B" w14:textId="61A3AACD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C6E63" w14:textId="4983A5BB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9C1A3" w14:textId="0C0667BB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6186B" w14:textId="06A3B683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D79F5" w14:textId="215C98F4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48029" w14:textId="70421C52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56402" w14:textId="77777777" w:rsidR="005859D7" w:rsidRDefault="005859D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87C85" w14:textId="17EE0323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FB2345" w14:textId="5D84C177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EE34C" w14:textId="6C52532F" w:rsidR="004104AA" w:rsidRDefault="004104A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E2BFC" w14:textId="2AFA2A68" w:rsidR="00003290" w:rsidRDefault="000032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992AC" w14:textId="77777777" w:rsidR="00003290" w:rsidRDefault="000032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3357C569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 xml:space="preserve">существующих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3906B5D9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</w:t>
      </w:r>
      <w:r w:rsidR="00523CE3">
        <w:rPr>
          <w:rFonts w:ascii="Times New Roman" w:hAnsi="Times New Roman" w:cs="Times New Roman"/>
          <w:sz w:val="28"/>
          <w:szCs w:val="28"/>
        </w:rPr>
        <w:t>, ставит</w:t>
      </w:r>
      <w:r w:rsidR="00365616">
        <w:rPr>
          <w:rFonts w:ascii="Times New Roman" w:hAnsi="Times New Roman" w:cs="Times New Roman"/>
          <w:sz w:val="28"/>
          <w:szCs w:val="28"/>
        </w:rPr>
        <w:t>ь</w:t>
      </w:r>
      <w:r w:rsidR="00523CE3">
        <w:rPr>
          <w:rFonts w:ascii="Times New Roman" w:hAnsi="Times New Roman" w:cs="Times New Roman"/>
          <w:sz w:val="28"/>
          <w:szCs w:val="28"/>
        </w:rPr>
        <w:t xml:space="preserve"> под удар </w:t>
      </w:r>
      <w:r w:rsidR="00365616">
        <w:rPr>
          <w:rFonts w:ascii="Times New Roman" w:hAnsi="Times New Roman" w:cs="Times New Roman"/>
          <w:sz w:val="28"/>
          <w:szCs w:val="28"/>
        </w:rPr>
        <w:t>их</w:t>
      </w:r>
      <w:r w:rsidR="00B20233">
        <w:rPr>
          <w:rFonts w:ascii="Times New Roman" w:hAnsi="Times New Roman" w:cs="Times New Roman"/>
          <w:sz w:val="28"/>
          <w:szCs w:val="28"/>
        </w:rPr>
        <w:t xml:space="preserve"> </w:t>
      </w:r>
      <w:r w:rsidR="00523CE3">
        <w:rPr>
          <w:rFonts w:ascii="Times New Roman" w:hAnsi="Times New Roman" w:cs="Times New Roman"/>
          <w:sz w:val="28"/>
          <w:szCs w:val="28"/>
        </w:rPr>
        <w:t>информационную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6499B8" w14:textId="2C81DA73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РФ, Федеральном законе «Об информации, информационных технологиях и о защите информации»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AF5273B" w14:textId="0AED839C" w:rsidR="003A59CF" w:rsidRDefault="006A41C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Вопросы информационной безопасности в контексте </w:t>
      </w:r>
      <w:r w:rsidR="006920EE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информационного общества и </w:t>
      </w:r>
      <w:r w:rsidR="00FF1BB2">
        <w:rPr>
          <w:rFonts w:ascii="Times New Roman" w:hAnsi="Times New Roman" w:cs="Times New Roman"/>
          <w:sz w:val="28"/>
          <w:szCs w:val="28"/>
        </w:rPr>
        <w:t>цифровой трансформации экономики являются актуальным предметом статистических исследований, результативность проведения которых определяется в том числе и выбором</w:t>
      </w:r>
      <w:r w:rsidR="00EF1B88">
        <w:rPr>
          <w:rFonts w:ascii="Times New Roman" w:hAnsi="Times New Roman" w:cs="Times New Roman"/>
          <w:sz w:val="28"/>
          <w:szCs w:val="28"/>
        </w:rPr>
        <w:t xml:space="preserve"> </w:t>
      </w:r>
      <w:r w:rsidR="005E3A3C">
        <w:rPr>
          <w:rFonts w:ascii="Times New Roman" w:hAnsi="Times New Roman" w:cs="Times New Roman"/>
          <w:sz w:val="28"/>
          <w:szCs w:val="28"/>
        </w:rPr>
        <w:t xml:space="preserve">используемой </w:t>
      </w:r>
      <w:r w:rsidR="00EF1B88">
        <w:rPr>
          <w:rFonts w:ascii="Times New Roman" w:hAnsi="Times New Roman" w:cs="Times New Roman"/>
          <w:sz w:val="28"/>
          <w:szCs w:val="28"/>
        </w:rPr>
        <w:t>систем</w:t>
      </w:r>
      <w:r w:rsidR="00FF1BB2">
        <w:rPr>
          <w:rFonts w:ascii="Times New Roman" w:hAnsi="Times New Roman" w:cs="Times New Roman"/>
          <w:sz w:val="28"/>
          <w:szCs w:val="28"/>
        </w:rPr>
        <w:t xml:space="preserve">ы </w:t>
      </w:r>
      <w:r w:rsidR="00EF1B88">
        <w:rPr>
          <w:rFonts w:ascii="Times New Roman" w:hAnsi="Times New Roman" w:cs="Times New Roman"/>
          <w:sz w:val="28"/>
          <w:szCs w:val="28"/>
        </w:rPr>
        <w:t>показателей</w:t>
      </w:r>
      <w:r w:rsidR="00845341">
        <w:rPr>
          <w:rFonts w:ascii="Times New Roman" w:hAnsi="Times New Roman" w:cs="Times New Roman"/>
          <w:sz w:val="28"/>
          <w:szCs w:val="28"/>
        </w:rPr>
        <w:t xml:space="preserve">, что обусловливает актуальность </w:t>
      </w:r>
      <w:r w:rsidR="0032120D">
        <w:rPr>
          <w:rFonts w:ascii="Times New Roman" w:hAnsi="Times New Roman" w:cs="Times New Roman"/>
          <w:sz w:val="28"/>
          <w:szCs w:val="28"/>
        </w:rPr>
        <w:t xml:space="preserve">совершенствования </w:t>
      </w:r>
      <w:r w:rsidR="0032120D" w:rsidRPr="00A26D81">
        <w:rPr>
          <w:rFonts w:ascii="Times New Roman" w:hAnsi="Times New Roman" w:cs="Times New Roman"/>
          <w:sz w:val="28"/>
          <w:szCs w:val="28"/>
        </w:rPr>
        <w:t>систем</w:t>
      </w:r>
      <w:r w:rsidR="0032120D">
        <w:rPr>
          <w:rFonts w:ascii="Times New Roman" w:hAnsi="Times New Roman" w:cs="Times New Roman"/>
          <w:sz w:val="28"/>
          <w:szCs w:val="28"/>
        </w:rPr>
        <w:t>ы</w:t>
      </w:r>
      <w:r w:rsidR="0032120D" w:rsidRPr="00A26D81"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A26D81">
        <w:rPr>
          <w:rFonts w:ascii="Times New Roman" w:hAnsi="Times New Roman" w:cs="Times New Roman"/>
          <w:sz w:val="28"/>
          <w:szCs w:val="28"/>
        </w:rPr>
        <w:t xml:space="preserve"> </w:t>
      </w:r>
      <w:r w:rsidR="00845341">
        <w:rPr>
          <w:rFonts w:ascii="Times New Roman" w:hAnsi="Times New Roman" w:cs="Times New Roman"/>
          <w:sz w:val="28"/>
          <w:szCs w:val="28"/>
        </w:rPr>
        <w:t>путем</w:t>
      </w:r>
      <w:r w:rsidR="00A26D81">
        <w:rPr>
          <w:rFonts w:ascii="Times New Roman" w:hAnsi="Times New Roman" w:cs="Times New Roman"/>
          <w:sz w:val="28"/>
          <w:szCs w:val="28"/>
        </w:rPr>
        <w:t xml:space="preserve"> </w:t>
      </w:r>
      <w:r w:rsidR="00A26D81" w:rsidRPr="00A26D81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845341">
        <w:rPr>
          <w:rFonts w:ascii="Times New Roman" w:hAnsi="Times New Roman" w:cs="Times New Roman"/>
          <w:sz w:val="28"/>
          <w:szCs w:val="28"/>
        </w:rPr>
        <w:t xml:space="preserve">и преобразования </w:t>
      </w:r>
      <w:r w:rsidR="00A26D81" w:rsidRPr="00A26D81">
        <w:rPr>
          <w:rFonts w:ascii="Times New Roman" w:hAnsi="Times New Roman" w:cs="Times New Roman"/>
          <w:sz w:val="28"/>
          <w:szCs w:val="28"/>
        </w:rPr>
        <w:t>существующ</w:t>
      </w:r>
      <w:r w:rsidR="00A26D81">
        <w:rPr>
          <w:rFonts w:ascii="Times New Roman" w:hAnsi="Times New Roman" w:cs="Times New Roman"/>
          <w:sz w:val="28"/>
          <w:szCs w:val="28"/>
        </w:rPr>
        <w:t>их</w:t>
      </w:r>
      <w:r w:rsidR="00A26D81" w:rsidRPr="00A26D81">
        <w:rPr>
          <w:rFonts w:ascii="Times New Roman" w:hAnsi="Times New Roman" w:cs="Times New Roman"/>
          <w:sz w:val="28"/>
          <w:szCs w:val="28"/>
        </w:rPr>
        <w:t xml:space="preserve"> </w:t>
      </w:r>
      <w:r w:rsidR="0032120D">
        <w:rPr>
          <w:rFonts w:ascii="Times New Roman" w:hAnsi="Times New Roman" w:cs="Times New Roman"/>
          <w:sz w:val="28"/>
          <w:szCs w:val="28"/>
        </w:rPr>
        <w:t>примеров таких систем международного и национального масштаба.</w:t>
      </w:r>
    </w:p>
    <w:p w14:paraId="6CD93BE2" w14:textId="514A8B85" w:rsidR="00FE755A" w:rsidRDefault="004452D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Проблематика обеспечения защиты информации в условиях цифровой экономики в той или иной степени отражена в целом ряде научных публикаций отечественных и зарубежных ученых. Исследуются как общее состояние </w:t>
      </w:r>
      <w:r w:rsidR="00F65E03">
        <w:rPr>
          <w:rFonts w:ascii="Times New Roman" w:hAnsi="Times New Roman" w:cs="Times New Roman"/>
          <w:sz w:val="28"/>
          <w:szCs w:val="28"/>
        </w:rPr>
        <w:t>сферы информационной безопасности</w:t>
      </w:r>
      <w:r w:rsidR="00F65E03">
        <w:rPr>
          <w:rFonts w:ascii="Times New Roman" w:hAnsi="Times New Roman" w:cs="Times New Roman"/>
          <w:sz w:val="28"/>
          <w:szCs w:val="28"/>
        </w:rPr>
        <w:t xml:space="preserve"> </w:t>
      </w:r>
      <w:r w:rsidR="00B305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="00F65E03">
        <w:rPr>
          <w:rFonts w:ascii="Times New Roman" w:hAnsi="Times New Roman" w:cs="Times New Roman"/>
          <w:sz w:val="28"/>
          <w:szCs w:val="28"/>
        </w:rPr>
        <w:t>работах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2D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1, 2</w:t>
      </w:r>
      <w:r w:rsidRPr="004452D3">
        <w:rPr>
          <w:rFonts w:ascii="Times New Roman" w:hAnsi="Times New Roman" w:cs="Times New Roman"/>
          <w:sz w:val="28"/>
          <w:szCs w:val="28"/>
        </w:rPr>
        <w:t>]</w:t>
      </w:r>
      <w:r w:rsidR="00B3057F">
        <w:rPr>
          <w:rFonts w:ascii="Times New Roman" w:hAnsi="Times New Roman" w:cs="Times New Roman"/>
          <w:sz w:val="28"/>
          <w:szCs w:val="28"/>
        </w:rPr>
        <w:t>)</w:t>
      </w:r>
      <w:r w:rsidR="00F65E03">
        <w:rPr>
          <w:rFonts w:ascii="Times New Roman" w:hAnsi="Times New Roman" w:cs="Times New Roman"/>
          <w:sz w:val="28"/>
          <w:szCs w:val="28"/>
        </w:rPr>
        <w:t xml:space="preserve">, так и </w:t>
      </w:r>
      <w:r w:rsidR="00F65E03">
        <w:rPr>
          <w:rFonts w:ascii="Times New Roman" w:hAnsi="Times New Roman" w:cs="Times New Roman"/>
          <w:sz w:val="28"/>
          <w:szCs w:val="28"/>
        </w:rPr>
        <w:t>степень ее взаимосвязи с социально-экономическими процессами на основе анализа различных количественных индикаторов. В частности, о</w:t>
      </w:r>
      <w:r w:rsidR="00BA7CB6" w:rsidRPr="00BA7CB6">
        <w:rPr>
          <w:rFonts w:ascii="Times New Roman" w:hAnsi="Times New Roman" w:cs="Times New Roman"/>
          <w:sz w:val="28"/>
          <w:szCs w:val="28"/>
        </w:rPr>
        <w:t>бнаруженная</w:t>
      </w:r>
      <w:r w:rsidR="00F65E03">
        <w:rPr>
          <w:rFonts w:ascii="Times New Roman" w:hAnsi="Times New Roman" w:cs="Times New Roman"/>
          <w:sz w:val="28"/>
          <w:szCs w:val="28"/>
        </w:rPr>
        <w:t xml:space="preserve"> в </w:t>
      </w:r>
      <w:r w:rsidR="00F65E03" w:rsidRPr="00F65E03">
        <w:rPr>
          <w:rFonts w:ascii="Times New Roman" w:hAnsi="Times New Roman" w:cs="Times New Roman"/>
          <w:sz w:val="28"/>
          <w:szCs w:val="28"/>
        </w:rPr>
        <w:t>[3]</w:t>
      </w:r>
      <w:r w:rsidR="00BA7CB6" w:rsidRPr="00BA7CB6">
        <w:rPr>
          <w:rFonts w:ascii="Times New Roman" w:hAnsi="Times New Roman" w:cs="Times New Roman"/>
          <w:sz w:val="28"/>
          <w:szCs w:val="28"/>
        </w:rPr>
        <w:t xml:space="preserve"> корреляция </w:t>
      </w:r>
      <w:r w:rsidR="00B71FF3">
        <w:rPr>
          <w:rFonts w:ascii="Times New Roman" w:hAnsi="Times New Roman" w:cs="Times New Roman"/>
          <w:sz w:val="28"/>
          <w:szCs w:val="28"/>
        </w:rPr>
        <w:t xml:space="preserve">выбранных тематических показателей </w:t>
      </w:r>
      <w:r w:rsidR="00F65E03">
        <w:rPr>
          <w:rFonts w:ascii="Times New Roman" w:hAnsi="Times New Roman" w:cs="Times New Roman"/>
          <w:sz w:val="28"/>
          <w:szCs w:val="28"/>
        </w:rPr>
        <w:t>позволяет авторам сделать вывод о том</w:t>
      </w:r>
      <w:r w:rsidR="00BA7CB6" w:rsidRPr="00BA7CB6">
        <w:rPr>
          <w:rFonts w:ascii="Times New Roman" w:hAnsi="Times New Roman" w:cs="Times New Roman"/>
          <w:sz w:val="28"/>
          <w:szCs w:val="28"/>
        </w:rPr>
        <w:t>, что цифровая трансформация экономики и общества выступает ключевым драйвером экономического развития только при условии обеспечения информационной и кибербезопасности.</w:t>
      </w:r>
    </w:p>
    <w:p w14:paraId="4C9BD639" w14:textId="4EFA37E6" w:rsidR="00FE755A" w:rsidRPr="00AB08CD" w:rsidRDefault="00A3342B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B08CD" w:rsidRPr="00AB08CD">
        <w:rPr>
          <w:rFonts w:ascii="Times New Roman" w:hAnsi="Times New Roman" w:cs="Times New Roman"/>
          <w:sz w:val="28"/>
          <w:szCs w:val="28"/>
        </w:rPr>
        <w:t>Состояние информационного развития страны складывается из комплекса подсистем, которые образуют единую национальную базу и выводят единый дифференцированный показатель уровня обеспечения и развития информационной безопасности на территории страны. Ключевым фактором эффективности выступает своевременный учет и анализ основных (базовых) показателей информационной безопасности, который показывает сильные и слабые стороны развития информационной безопасности в разрезе субъектов страны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B08CD" w:rsidRPr="00AB08CD">
        <w:rPr>
          <w:rFonts w:ascii="Times New Roman" w:hAnsi="Times New Roman" w:cs="Times New Roman"/>
          <w:sz w:val="28"/>
          <w:szCs w:val="28"/>
        </w:rPr>
        <w:t xml:space="preserve"> [4,</w:t>
      </w:r>
      <w:r w:rsidR="00AB08CD">
        <w:rPr>
          <w:rFonts w:ascii="Times New Roman" w:hAnsi="Times New Roman" w:cs="Times New Roman"/>
          <w:sz w:val="28"/>
          <w:szCs w:val="28"/>
        </w:rPr>
        <w:t xml:space="preserve"> </w:t>
      </w:r>
      <w:r w:rsidR="00B80B76">
        <w:rPr>
          <w:rFonts w:ascii="Times New Roman" w:hAnsi="Times New Roman" w:cs="Times New Roman"/>
          <w:sz w:val="28"/>
          <w:szCs w:val="28"/>
        </w:rPr>
        <w:t>с</w:t>
      </w:r>
      <w:r w:rsidR="00AB08CD">
        <w:rPr>
          <w:rFonts w:ascii="Times New Roman" w:hAnsi="Times New Roman" w:cs="Times New Roman"/>
          <w:sz w:val="28"/>
          <w:szCs w:val="28"/>
        </w:rPr>
        <w:t>. 1162</w:t>
      </w:r>
      <w:r w:rsidR="00AB08CD" w:rsidRPr="00AB08CD">
        <w:rPr>
          <w:rFonts w:ascii="Times New Roman" w:hAnsi="Times New Roman" w:cs="Times New Roman"/>
          <w:sz w:val="28"/>
          <w:szCs w:val="28"/>
        </w:rPr>
        <w:t>].</w:t>
      </w:r>
      <w:r w:rsidR="00B670A3">
        <w:rPr>
          <w:rFonts w:ascii="Times New Roman" w:hAnsi="Times New Roman" w:cs="Times New Roman"/>
          <w:sz w:val="28"/>
          <w:szCs w:val="28"/>
        </w:rPr>
        <w:t xml:space="preserve"> </w:t>
      </w:r>
      <w:r w:rsidR="001646E7">
        <w:rPr>
          <w:rFonts w:ascii="Times New Roman" w:hAnsi="Times New Roman" w:cs="Times New Roman"/>
          <w:sz w:val="28"/>
          <w:szCs w:val="28"/>
        </w:rPr>
        <w:t xml:space="preserve">Авторы работы проводят анализ эффективности методики оценки информационной безопасности в разрезе субъектов страны и </w:t>
      </w:r>
      <w:r w:rsidR="00B670A3">
        <w:rPr>
          <w:rFonts w:ascii="Times New Roman" w:hAnsi="Times New Roman" w:cs="Times New Roman"/>
          <w:sz w:val="28"/>
          <w:szCs w:val="28"/>
        </w:rPr>
        <w:t>делают вывод о «</w:t>
      </w:r>
      <w:r w:rsidR="00B670A3" w:rsidRPr="00B670A3">
        <w:rPr>
          <w:rFonts w:ascii="Times New Roman" w:hAnsi="Times New Roman" w:cs="Times New Roman"/>
          <w:sz w:val="28"/>
          <w:szCs w:val="28"/>
        </w:rPr>
        <w:t>необходимости внесения новых государственных поправок в оценку показателей развития информационной безопасности. Требуется создание новых методик расчета и систем мониторинга уровня информационной безопасности на территории страны</w:t>
      </w:r>
      <w:r w:rsidR="00B670A3">
        <w:rPr>
          <w:rFonts w:ascii="Times New Roman" w:hAnsi="Times New Roman" w:cs="Times New Roman"/>
          <w:sz w:val="28"/>
          <w:szCs w:val="28"/>
        </w:rPr>
        <w:t xml:space="preserve">» </w:t>
      </w:r>
      <w:r w:rsidR="00B670A3" w:rsidRPr="00B670A3">
        <w:rPr>
          <w:rFonts w:ascii="Times New Roman" w:hAnsi="Times New Roman" w:cs="Times New Roman"/>
          <w:sz w:val="28"/>
          <w:szCs w:val="28"/>
        </w:rPr>
        <w:t>[</w:t>
      </w:r>
      <w:r w:rsidR="00B670A3">
        <w:rPr>
          <w:rFonts w:ascii="Times New Roman" w:hAnsi="Times New Roman" w:cs="Times New Roman"/>
          <w:sz w:val="28"/>
          <w:szCs w:val="28"/>
        </w:rPr>
        <w:t>там же</w:t>
      </w:r>
      <w:r w:rsidR="00B670A3" w:rsidRPr="00B670A3">
        <w:rPr>
          <w:rFonts w:ascii="Times New Roman" w:hAnsi="Times New Roman" w:cs="Times New Roman"/>
          <w:sz w:val="28"/>
          <w:szCs w:val="28"/>
        </w:rPr>
        <w:t>]</w:t>
      </w:r>
      <w:r w:rsidR="00B670A3">
        <w:rPr>
          <w:rFonts w:ascii="Times New Roman" w:hAnsi="Times New Roman" w:cs="Times New Roman"/>
          <w:sz w:val="28"/>
          <w:szCs w:val="28"/>
        </w:rPr>
        <w:t>.</w:t>
      </w:r>
    </w:p>
    <w:p w14:paraId="1FB4DBE2" w14:textId="09F0CBB6" w:rsidR="009C4056" w:rsidRDefault="00593B8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исследовании </w:t>
      </w:r>
      <w:r w:rsidRPr="00593B8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3B8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92A" w:rsidRPr="00D3292A">
        <w:rPr>
          <w:rFonts w:ascii="Times New Roman" w:hAnsi="Times New Roman" w:cs="Times New Roman"/>
          <w:sz w:val="28"/>
          <w:szCs w:val="28"/>
        </w:rPr>
        <w:t>критическ</w:t>
      </w:r>
      <w:r w:rsidR="003738EA">
        <w:rPr>
          <w:rFonts w:ascii="Times New Roman" w:hAnsi="Times New Roman" w:cs="Times New Roman"/>
          <w:sz w:val="28"/>
          <w:szCs w:val="28"/>
        </w:rPr>
        <w:t>ому</w:t>
      </w:r>
      <w:r w:rsidR="00D3292A" w:rsidRPr="00D3292A">
        <w:rPr>
          <w:rFonts w:ascii="Times New Roman" w:hAnsi="Times New Roman" w:cs="Times New Roman"/>
          <w:sz w:val="28"/>
          <w:szCs w:val="28"/>
        </w:rPr>
        <w:t xml:space="preserve"> </w:t>
      </w:r>
      <w:r w:rsidR="003738EA">
        <w:rPr>
          <w:rFonts w:ascii="Times New Roman" w:hAnsi="Times New Roman" w:cs="Times New Roman"/>
          <w:sz w:val="28"/>
          <w:szCs w:val="28"/>
        </w:rPr>
        <w:t xml:space="preserve">обзору подвернут </w:t>
      </w:r>
      <w:r w:rsidR="00EB10D1">
        <w:rPr>
          <w:rFonts w:ascii="Times New Roman" w:hAnsi="Times New Roman" w:cs="Times New Roman"/>
          <w:sz w:val="28"/>
          <w:szCs w:val="28"/>
        </w:rPr>
        <w:t xml:space="preserve">состав индикаторов </w:t>
      </w:r>
      <w:r w:rsidR="00D3292A" w:rsidRPr="00D3292A">
        <w:rPr>
          <w:rFonts w:ascii="Times New Roman" w:hAnsi="Times New Roman" w:cs="Times New Roman"/>
          <w:sz w:val="28"/>
          <w:szCs w:val="28"/>
        </w:rPr>
        <w:t>систем</w:t>
      </w:r>
      <w:r w:rsidR="00EB10D1">
        <w:rPr>
          <w:rFonts w:ascii="Times New Roman" w:hAnsi="Times New Roman" w:cs="Times New Roman"/>
          <w:sz w:val="28"/>
          <w:szCs w:val="28"/>
        </w:rPr>
        <w:t>ы</w:t>
      </w:r>
      <w:r w:rsidR="00D3292A" w:rsidRPr="00D3292A">
        <w:rPr>
          <w:rFonts w:ascii="Times New Roman" w:hAnsi="Times New Roman" w:cs="Times New Roman"/>
          <w:sz w:val="28"/>
          <w:szCs w:val="28"/>
        </w:rPr>
        <w:t xml:space="preserve"> количественных критериев </w:t>
      </w:r>
      <w:r w:rsidR="003738EA"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D3292A" w:rsidRPr="00D3292A">
        <w:rPr>
          <w:rFonts w:ascii="Times New Roman" w:hAnsi="Times New Roman" w:cs="Times New Roman"/>
          <w:sz w:val="28"/>
          <w:szCs w:val="28"/>
        </w:rPr>
        <w:t>эффективности национальной политики в области информационной безопасности</w:t>
      </w:r>
      <w:r w:rsidR="00EB10D1">
        <w:rPr>
          <w:rFonts w:ascii="Times New Roman" w:hAnsi="Times New Roman" w:cs="Times New Roman"/>
          <w:sz w:val="28"/>
          <w:szCs w:val="28"/>
        </w:rPr>
        <w:t xml:space="preserve"> и по результатам анализа разработана</w:t>
      </w:r>
      <w:r w:rsidR="00D3292A" w:rsidRPr="00D3292A">
        <w:rPr>
          <w:rFonts w:ascii="Times New Roman" w:hAnsi="Times New Roman" w:cs="Times New Roman"/>
          <w:sz w:val="28"/>
          <w:szCs w:val="28"/>
        </w:rPr>
        <w:t xml:space="preserve"> система показателей оценки эффективности государственной политики в сфере информационной безопасности. Выработаны рекомендации по расчету прогнозных значений показателей в предлагаемой системе</w:t>
      </w:r>
      <w:r w:rsidR="0020222C">
        <w:rPr>
          <w:rFonts w:ascii="Times New Roman" w:hAnsi="Times New Roman" w:cs="Times New Roman"/>
          <w:sz w:val="28"/>
          <w:szCs w:val="28"/>
        </w:rPr>
        <w:t xml:space="preserve"> и</w:t>
      </w:r>
      <w:r w:rsidR="00D3292A" w:rsidRPr="00D3292A">
        <w:rPr>
          <w:rFonts w:ascii="Times New Roman" w:hAnsi="Times New Roman" w:cs="Times New Roman"/>
          <w:sz w:val="28"/>
          <w:szCs w:val="28"/>
        </w:rPr>
        <w:t xml:space="preserve"> </w:t>
      </w:r>
      <w:r w:rsidR="0020222C">
        <w:rPr>
          <w:rFonts w:ascii="Times New Roman" w:hAnsi="Times New Roman" w:cs="Times New Roman"/>
          <w:sz w:val="28"/>
          <w:szCs w:val="28"/>
        </w:rPr>
        <w:t>п</w:t>
      </w:r>
      <w:r w:rsidR="00D3292A" w:rsidRPr="00D3292A">
        <w:rPr>
          <w:rFonts w:ascii="Times New Roman" w:hAnsi="Times New Roman" w:cs="Times New Roman"/>
          <w:sz w:val="28"/>
          <w:szCs w:val="28"/>
        </w:rPr>
        <w:t xml:space="preserve">редложен </w:t>
      </w:r>
      <w:r w:rsidR="00D3292A" w:rsidRPr="00D3292A">
        <w:rPr>
          <w:rFonts w:ascii="Times New Roman" w:hAnsi="Times New Roman" w:cs="Times New Roman"/>
          <w:sz w:val="28"/>
          <w:szCs w:val="28"/>
        </w:rPr>
        <w:lastRenderedPageBreak/>
        <w:t>метод расчета интегрального показателя оценки эффективности национальной политики в сфере информационной безопасности на базе авторской квалиметрической модели, предполагающей использование экспертных оценок</w:t>
      </w:r>
      <w:r w:rsidR="00D3292A">
        <w:rPr>
          <w:rFonts w:ascii="Times New Roman" w:hAnsi="Times New Roman" w:cs="Times New Roman"/>
          <w:sz w:val="28"/>
          <w:szCs w:val="28"/>
        </w:rPr>
        <w:t>.</w:t>
      </w:r>
    </w:p>
    <w:p w14:paraId="154F5833" w14:textId="70C02845" w:rsidR="00A4681B" w:rsidRDefault="003C14C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только страны и регионы, но, в первую очередь, отдельные о</w:t>
      </w:r>
      <w:r w:rsidR="00320ADB" w:rsidRPr="00320ADB">
        <w:rPr>
          <w:rFonts w:ascii="Times New Roman" w:hAnsi="Times New Roman" w:cs="Times New Roman"/>
          <w:sz w:val="28"/>
          <w:szCs w:val="28"/>
        </w:rPr>
        <w:t>рганизации</w:t>
      </w:r>
      <w:r>
        <w:rPr>
          <w:rFonts w:ascii="Times New Roman" w:hAnsi="Times New Roman" w:cs="Times New Roman"/>
          <w:sz w:val="28"/>
          <w:szCs w:val="28"/>
        </w:rPr>
        <w:t>, руководствуясь своими экономическими целями,</w:t>
      </w:r>
      <w:r w:rsidR="00320ADB" w:rsidRPr="00320ADB">
        <w:rPr>
          <w:rFonts w:ascii="Times New Roman" w:hAnsi="Times New Roman" w:cs="Times New Roman"/>
          <w:sz w:val="28"/>
          <w:szCs w:val="28"/>
        </w:rPr>
        <w:t xml:space="preserve"> </w:t>
      </w:r>
      <w:r w:rsidR="00FB76A1">
        <w:rPr>
          <w:rFonts w:ascii="Times New Roman" w:hAnsi="Times New Roman" w:cs="Times New Roman"/>
          <w:sz w:val="28"/>
          <w:szCs w:val="28"/>
        </w:rPr>
        <w:t>заинтересованы в мониторинге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ADB" w:rsidRPr="00320ADB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своего бизнеса</w:t>
      </w:r>
      <w:r w:rsidR="00FB76A1">
        <w:rPr>
          <w:rFonts w:ascii="Times New Roman" w:hAnsi="Times New Roman" w:cs="Times New Roman"/>
          <w:sz w:val="28"/>
          <w:szCs w:val="28"/>
        </w:rPr>
        <w:t xml:space="preserve"> на основе расчета соответствующих показателей</w:t>
      </w:r>
      <w:r w:rsidR="00320A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Одно из таких решений представлено в работе </w:t>
      </w:r>
      <w:r w:rsidRPr="003C14C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C14C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ADB" w:rsidRPr="00320ADB">
        <w:rPr>
          <w:rFonts w:ascii="Times New Roman" w:hAnsi="Times New Roman" w:cs="Times New Roman"/>
          <w:sz w:val="28"/>
          <w:szCs w:val="28"/>
        </w:rPr>
        <w:t>в виде модели измерения эффективности информационной безопасности</w:t>
      </w:r>
      <w:r w:rsidR="00FB76A1">
        <w:rPr>
          <w:rFonts w:ascii="Times New Roman" w:hAnsi="Times New Roman" w:cs="Times New Roman"/>
          <w:sz w:val="28"/>
          <w:szCs w:val="28"/>
        </w:rPr>
        <w:t>: она</w:t>
      </w:r>
      <w:r w:rsidR="00320ADB" w:rsidRPr="00320ADB">
        <w:rPr>
          <w:rFonts w:ascii="Times New Roman" w:hAnsi="Times New Roman" w:cs="Times New Roman"/>
          <w:sz w:val="28"/>
          <w:szCs w:val="28"/>
        </w:rPr>
        <w:t xml:space="preserve"> </w:t>
      </w:r>
      <w:r w:rsidR="00FB76A1">
        <w:rPr>
          <w:rFonts w:ascii="Times New Roman" w:hAnsi="Times New Roman" w:cs="Times New Roman"/>
          <w:sz w:val="28"/>
          <w:szCs w:val="28"/>
        </w:rPr>
        <w:t>включает в свой состав</w:t>
      </w:r>
      <w:r w:rsidR="00320ADB" w:rsidRPr="00320ADB">
        <w:rPr>
          <w:rFonts w:ascii="Times New Roman" w:hAnsi="Times New Roman" w:cs="Times New Roman"/>
          <w:sz w:val="28"/>
          <w:szCs w:val="28"/>
        </w:rPr>
        <w:t xml:space="preserve"> </w:t>
      </w:r>
      <w:r w:rsidR="00FB76A1">
        <w:rPr>
          <w:rFonts w:ascii="Times New Roman" w:hAnsi="Times New Roman" w:cs="Times New Roman"/>
          <w:sz w:val="28"/>
          <w:szCs w:val="28"/>
        </w:rPr>
        <w:t>10</w:t>
      </w:r>
      <w:r w:rsidR="00320ADB" w:rsidRPr="00320ADB">
        <w:rPr>
          <w:rFonts w:ascii="Times New Roman" w:hAnsi="Times New Roman" w:cs="Times New Roman"/>
          <w:sz w:val="28"/>
          <w:szCs w:val="28"/>
        </w:rPr>
        <w:t xml:space="preserve"> критических факторов успеха, 100 ключевых показателей эффективности и 6 уровней производительности</w:t>
      </w:r>
      <w:r w:rsidR="00320ADB">
        <w:rPr>
          <w:rFonts w:ascii="Times New Roman" w:hAnsi="Times New Roman" w:cs="Times New Roman"/>
          <w:sz w:val="28"/>
          <w:szCs w:val="28"/>
        </w:rPr>
        <w:t>.</w:t>
      </w:r>
      <w:r w:rsidR="00A4681B">
        <w:rPr>
          <w:rFonts w:ascii="Times New Roman" w:hAnsi="Times New Roman" w:cs="Times New Roman"/>
          <w:sz w:val="28"/>
          <w:szCs w:val="28"/>
        </w:rPr>
        <w:t xml:space="preserve"> </w:t>
      </w:r>
      <w:r w:rsidR="001E0AD1">
        <w:rPr>
          <w:rFonts w:ascii="Times New Roman" w:hAnsi="Times New Roman" w:cs="Times New Roman"/>
          <w:sz w:val="28"/>
          <w:szCs w:val="28"/>
        </w:rPr>
        <w:t>При этом с</w:t>
      </w:r>
      <w:r w:rsidR="00A4681B">
        <w:rPr>
          <w:rFonts w:ascii="Times New Roman" w:hAnsi="Times New Roman" w:cs="Times New Roman"/>
          <w:sz w:val="28"/>
          <w:szCs w:val="28"/>
        </w:rPr>
        <w:t xml:space="preserve">формированный набор индикаторов, в силу единства методики расчета и способности разносторонне характеризовать исследуемый объект, </w:t>
      </w:r>
      <w:r w:rsidR="00015590">
        <w:rPr>
          <w:rFonts w:ascii="Times New Roman" w:hAnsi="Times New Roman" w:cs="Times New Roman"/>
          <w:sz w:val="28"/>
          <w:szCs w:val="28"/>
        </w:rPr>
        <w:t xml:space="preserve">вполне </w:t>
      </w:r>
      <w:r w:rsidR="00A4681B">
        <w:rPr>
          <w:rFonts w:ascii="Times New Roman" w:hAnsi="Times New Roman" w:cs="Times New Roman"/>
          <w:sz w:val="28"/>
          <w:szCs w:val="28"/>
        </w:rPr>
        <w:t xml:space="preserve">может рассматриваться </w:t>
      </w:r>
      <w:r w:rsidR="00FE2833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A4681B">
        <w:rPr>
          <w:rFonts w:ascii="Times New Roman" w:hAnsi="Times New Roman" w:cs="Times New Roman"/>
          <w:sz w:val="28"/>
          <w:szCs w:val="28"/>
        </w:rPr>
        <w:t>системы статистических показателей.</w:t>
      </w:r>
    </w:p>
    <w:p w14:paraId="5F377553" w14:textId="2E3A5863" w:rsidR="000332B9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2E257F">
        <w:rPr>
          <w:rFonts w:ascii="Times New Roman" w:hAnsi="Times New Roman" w:cs="Times New Roman"/>
          <w:sz w:val="28"/>
          <w:szCs w:val="28"/>
        </w:rPr>
        <w:t>.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00A552C5" w:rsidR="000332B9" w:rsidRDefault="0021552C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68E">
        <w:rPr>
          <w:noProof/>
        </w:rPr>
        <w:lastRenderedPageBreak/>
        <w:drawing>
          <wp:inline distT="0" distB="0" distL="0" distR="0" wp14:anchorId="6164EF42" wp14:editId="0AF0B969">
            <wp:extent cx="5940094" cy="45717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94" cy="457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2DD32F5F" w:rsidR="000332B9" w:rsidRPr="00816F36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  <w:r w:rsidR="00816F36"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F36">
        <w:rPr>
          <w:rFonts w:ascii="Times New Roman" w:hAnsi="Times New Roman" w:cs="Times New Roman"/>
          <w:b/>
          <w:bCs/>
          <w:sz w:val="24"/>
          <w:szCs w:val="24"/>
          <w:lang w:val="en-US"/>
        </w:rPr>
        <w:t>OECD</w:t>
      </w:r>
    </w:p>
    <w:bookmarkEnd w:id="5"/>
    <w:p w14:paraId="4A8E8E57" w14:textId="0CD92E9E" w:rsidR="000332B9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E457A5">
        <w:rPr>
          <w:rFonts w:ascii="Times New Roman" w:hAnsi="Times New Roman" w:cs="Times New Roman"/>
          <w:sz w:val="24"/>
          <w:szCs w:val="24"/>
        </w:rPr>
        <w:t>7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4712853C" w14:textId="1EA74F76" w:rsidR="00B00C71" w:rsidRDefault="001A4D8D" w:rsidP="00B00C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Подготовленный ОЭСР и о</w:t>
      </w:r>
      <w:r w:rsidR="00B00C71">
        <w:rPr>
          <w:rFonts w:ascii="Times New Roman" w:hAnsi="Times New Roman" w:cs="Times New Roman"/>
          <w:sz w:val="28"/>
          <w:szCs w:val="28"/>
        </w:rPr>
        <w:t>публикованн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B00C71">
        <w:rPr>
          <w:rFonts w:ascii="Times New Roman" w:hAnsi="Times New Roman" w:cs="Times New Roman"/>
          <w:sz w:val="28"/>
          <w:szCs w:val="28"/>
        </w:rPr>
        <w:t xml:space="preserve"> в 2019 году 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B00C71" w:rsidRPr="00920A2F">
        <w:rPr>
          <w:rFonts w:ascii="Times New Roman" w:hAnsi="Times New Roman" w:cs="Times New Roman"/>
          <w:sz w:val="28"/>
          <w:szCs w:val="28"/>
        </w:rPr>
        <w:t>“</w:t>
      </w:r>
      <w:r w:rsidR="00B00C71" w:rsidRPr="008C1EFD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  <w:lang w:val="en-US"/>
        </w:rPr>
        <w:t>Measuring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  <w:lang w:val="en-US"/>
        </w:rPr>
        <w:t>practices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B00C71" w:rsidRPr="00920A2F">
        <w:rPr>
          <w:rFonts w:ascii="Times New Roman" w:hAnsi="Times New Roman" w:cs="Times New Roman"/>
          <w:sz w:val="28"/>
          <w:szCs w:val="28"/>
        </w:rPr>
        <w:t>”</w:t>
      </w:r>
      <w:r w:rsidR="00B00C71">
        <w:rPr>
          <w:rFonts w:ascii="Times New Roman" w:hAnsi="Times New Roman" w:cs="Times New Roman"/>
          <w:sz w:val="28"/>
          <w:szCs w:val="28"/>
        </w:rPr>
        <w:t xml:space="preserve"> </w:t>
      </w:r>
      <w:r w:rsidR="00997071" w:rsidRPr="008C1EFD">
        <w:rPr>
          <w:rFonts w:ascii="Times New Roman" w:hAnsi="Times New Roman" w:cs="Times New Roman"/>
          <w:sz w:val="28"/>
          <w:szCs w:val="28"/>
        </w:rPr>
        <w:t>[</w:t>
      </w:r>
      <w:r w:rsidR="00E457A5">
        <w:rPr>
          <w:rFonts w:ascii="Times New Roman" w:hAnsi="Times New Roman" w:cs="Times New Roman"/>
          <w:sz w:val="28"/>
          <w:szCs w:val="28"/>
        </w:rPr>
        <w:t>8</w:t>
      </w:r>
      <w:r w:rsidR="00997071" w:rsidRPr="008C1EFD">
        <w:rPr>
          <w:rFonts w:ascii="Times New Roman" w:hAnsi="Times New Roman" w:cs="Times New Roman"/>
          <w:sz w:val="28"/>
          <w:szCs w:val="28"/>
        </w:rPr>
        <w:t>]</w:t>
      </w:r>
      <w:r w:rsidR="00997071" w:rsidRPr="00997071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обобщает </w:t>
      </w:r>
      <w:r w:rsidR="00997071">
        <w:rPr>
          <w:rFonts w:ascii="Times New Roman" w:hAnsi="Times New Roman" w:cs="Times New Roman"/>
          <w:sz w:val="28"/>
          <w:szCs w:val="28"/>
        </w:rPr>
        <w:t>результаты деятельности этой организации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</w:t>
      </w:r>
      <w:r w:rsidR="00997071">
        <w:rPr>
          <w:rFonts w:ascii="Times New Roman" w:hAnsi="Times New Roman" w:cs="Times New Roman"/>
          <w:sz w:val="28"/>
          <w:szCs w:val="28"/>
        </w:rPr>
        <w:t>в области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997071">
        <w:rPr>
          <w:rFonts w:ascii="Times New Roman" w:hAnsi="Times New Roman" w:cs="Times New Roman"/>
          <w:sz w:val="28"/>
          <w:szCs w:val="28"/>
        </w:rPr>
        <w:t>и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основ и набора статистических показателей, которые можно </w:t>
      </w:r>
      <w:r w:rsidR="00997071">
        <w:rPr>
          <w:rFonts w:ascii="Times New Roman" w:hAnsi="Times New Roman" w:cs="Times New Roman"/>
          <w:sz w:val="28"/>
          <w:szCs w:val="28"/>
        </w:rPr>
        <w:t xml:space="preserve">было бы 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использовать для оценки методов управления рисками </w:t>
      </w:r>
      <w:r w:rsidR="00997071">
        <w:rPr>
          <w:rFonts w:ascii="Times New Roman" w:hAnsi="Times New Roman" w:cs="Times New Roman"/>
          <w:sz w:val="28"/>
          <w:szCs w:val="28"/>
        </w:rPr>
        <w:t xml:space="preserve">информационной (в принятой </w:t>
      </w:r>
      <w:r w:rsidR="00997071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997071" w:rsidRPr="00997071">
        <w:rPr>
          <w:rFonts w:ascii="Times New Roman" w:hAnsi="Times New Roman" w:cs="Times New Roman"/>
          <w:sz w:val="28"/>
          <w:szCs w:val="28"/>
        </w:rPr>
        <w:t xml:space="preserve"> </w:t>
      </w:r>
      <w:r w:rsidR="00997071">
        <w:rPr>
          <w:rFonts w:ascii="Times New Roman" w:hAnsi="Times New Roman" w:cs="Times New Roman"/>
          <w:sz w:val="28"/>
          <w:szCs w:val="28"/>
        </w:rPr>
        <w:t>терминологии –</w:t>
      </w:r>
      <w:r w:rsidR="00997071" w:rsidRPr="00997071">
        <w:rPr>
          <w:rFonts w:ascii="Times New Roman" w:hAnsi="Times New Roman" w:cs="Times New Roman"/>
          <w:sz w:val="28"/>
          <w:szCs w:val="28"/>
        </w:rPr>
        <w:t xml:space="preserve"> </w:t>
      </w:r>
      <w:r w:rsidR="00B00C71" w:rsidRPr="008C1EFD">
        <w:rPr>
          <w:rFonts w:ascii="Times New Roman" w:hAnsi="Times New Roman" w:cs="Times New Roman"/>
          <w:sz w:val="28"/>
          <w:szCs w:val="28"/>
        </w:rPr>
        <w:t>цифровой</w:t>
      </w:r>
      <w:r w:rsidR="00997071">
        <w:rPr>
          <w:rFonts w:ascii="Times New Roman" w:hAnsi="Times New Roman" w:cs="Times New Roman"/>
          <w:sz w:val="28"/>
          <w:szCs w:val="28"/>
        </w:rPr>
        <w:t>)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 безопасности предприятий. </w:t>
      </w:r>
      <w:r w:rsidR="00997071">
        <w:rPr>
          <w:rFonts w:ascii="Times New Roman" w:hAnsi="Times New Roman" w:cs="Times New Roman"/>
          <w:sz w:val="28"/>
          <w:szCs w:val="28"/>
        </w:rPr>
        <w:t>В частности, б</w:t>
      </w:r>
      <w:r w:rsidR="00B00C71" w:rsidRPr="008C1EFD">
        <w:rPr>
          <w:rFonts w:ascii="Times New Roman" w:hAnsi="Times New Roman" w:cs="Times New Roman"/>
          <w:sz w:val="28"/>
          <w:szCs w:val="28"/>
        </w:rPr>
        <w:t xml:space="preserve">ыл разработан и опробован инструмент </w:t>
      </w:r>
      <w:r w:rsidR="00997071">
        <w:rPr>
          <w:rFonts w:ascii="Times New Roman" w:hAnsi="Times New Roman" w:cs="Times New Roman"/>
          <w:sz w:val="28"/>
          <w:szCs w:val="28"/>
        </w:rPr>
        <w:t xml:space="preserve">проведения такого </w:t>
      </w:r>
      <w:r w:rsidR="00B00C71" w:rsidRPr="008C1EFD">
        <w:rPr>
          <w:rFonts w:ascii="Times New Roman" w:hAnsi="Times New Roman" w:cs="Times New Roman"/>
          <w:sz w:val="28"/>
          <w:szCs w:val="28"/>
        </w:rPr>
        <w:t>обследования.</w:t>
      </w:r>
    </w:p>
    <w:p w14:paraId="233CEF6D" w14:textId="018D608F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E457A5">
        <w:rPr>
          <w:rFonts w:ascii="Times New Roman" w:hAnsi="Times New Roman" w:cs="Times New Roman"/>
          <w:sz w:val="28"/>
          <w:szCs w:val="28"/>
        </w:rPr>
        <w:t>9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</w:t>
      </w:r>
      <w:r w:rsidR="00784870">
        <w:rPr>
          <w:rFonts w:ascii="Times New Roman" w:hAnsi="Times New Roman" w:cs="Times New Roman"/>
          <w:sz w:val="28"/>
          <w:szCs w:val="28"/>
        </w:rPr>
        <w:lastRenderedPageBreak/>
        <w:t xml:space="preserve">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</w:t>
      </w:r>
      <w:r w:rsidR="0083359C">
        <w:rPr>
          <w:rFonts w:ascii="Times New Roman" w:hAnsi="Times New Roman" w:cs="Times New Roman"/>
          <w:sz w:val="28"/>
          <w:szCs w:val="28"/>
        </w:rPr>
        <w:t xml:space="preserve">см. </w:t>
      </w:r>
      <w:r w:rsidR="00925D25">
        <w:rPr>
          <w:rFonts w:ascii="Times New Roman" w:hAnsi="Times New Roman" w:cs="Times New Roman"/>
          <w:sz w:val="28"/>
          <w:szCs w:val="28"/>
        </w:rPr>
        <w:t>табл</w:t>
      </w:r>
      <w:r w:rsidR="00E8289A">
        <w:rPr>
          <w:rFonts w:ascii="Times New Roman" w:hAnsi="Times New Roman" w:cs="Times New Roman"/>
          <w:sz w:val="28"/>
          <w:szCs w:val="28"/>
        </w:rPr>
        <w:t>иц</w:t>
      </w:r>
      <w:r w:rsidR="0083359C">
        <w:rPr>
          <w:rFonts w:ascii="Times New Roman" w:hAnsi="Times New Roman" w:cs="Times New Roman"/>
          <w:sz w:val="28"/>
          <w:szCs w:val="28"/>
        </w:rPr>
        <w:t>у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6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1EF483FC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5782926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0DCF5F0A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677DBA0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5D559B1E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</w:p>
        </w:tc>
      </w:tr>
    </w:tbl>
    <w:p w14:paraId="1727B741" w14:textId="77777777" w:rsidR="00523CE3" w:rsidRDefault="00523CE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200392E1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E457A5">
        <w:rPr>
          <w:rFonts w:ascii="Times New Roman" w:hAnsi="Times New Roman" w:cs="Times New Roman"/>
          <w:sz w:val="28"/>
          <w:szCs w:val="28"/>
        </w:rPr>
        <w:t>10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>аконов 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</w:t>
      </w:r>
      <w:r w:rsidR="00184176">
        <w:rPr>
          <w:rFonts w:ascii="Times New Roman" w:hAnsi="Times New Roman" w:cs="Times New Roman"/>
          <w:sz w:val="28"/>
          <w:szCs w:val="28"/>
        </w:rPr>
        <w:lastRenderedPageBreak/>
        <w:t xml:space="preserve">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08CD01B6" w14:textId="012559CE" w:rsidR="008146E0" w:rsidRDefault="00561C1A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C2159D">
        <w:rPr>
          <w:rFonts w:ascii="Times New Roman" w:hAnsi="Times New Roman" w:cs="Times New Roman"/>
          <w:sz w:val="28"/>
          <w:szCs w:val="28"/>
        </w:rPr>
        <w:t>методологически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C2159D">
        <w:rPr>
          <w:rFonts w:ascii="Times New Roman" w:hAnsi="Times New Roman" w:cs="Times New Roman"/>
          <w:sz w:val="28"/>
          <w:szCs w:val="28"/>
        </w:rPr>
        <w:t xml:space="preserve"> разработ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2159D">
        <w:rPr>
          <w:rFonts w:ascii="Times New Roman" w:hAnsi="Times New Roman" w:cs="Times New Roman"/>
          <w:sz w:val="28"/>
          <w:szCs w:val="28"/>
        </w:rPr>
        <w:t>к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международных организаций </w:t>
      </w:r>
      <w:r w:rsidR="00C2159D"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567EF5">
        <w:rPr>
          <w:rFonts w:ascii="Times New Roman" w:hAnsi="Times New Roman" w:cs="Times New Roman"/>
          <w:sz w:val="28"/>
          <w:szCs w:val="28"/>
        </w:rPr>
        <w:t>получают</w:t>
      </w:r>
      <w:r>
        <w:rPr>
          <w:rFonts w:ascii="Times New Roman" w:hAnsi="Times New Roman" w:cs="Times New Roman"/>
          <w:sz w:val="28"/>
          <w:szCs w:val="28"/>
        </w:rPr>
        <w:t xml:space="preserve"> сво</w:t>
      </w:r>
      <w:r w:rsidR="00567EF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логическое </w:t>
      </w:r>
      <w:r w:rsidR="00567EF5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в стандартах </w:t>
      </w:r>
      <w:r w:rsidR="00E92C96">
        <w:rPr>
          <w:rFonts w:ascii="Times New Roman" w:hAnsi="Times New Roman" w:cs="Times New Roman"/>
          <w:sz w:val="28"/>
          <w:szCs w:val="28"/>
        </w:rPr>
        <w:t>международны</w:t>
      </w:r>
      <w:r w:rsidR="00567EF5">
        <w:rPr>
          <w:rFonts w:ascii="Times New Roman" w:hAnsi="Times New Roman" w:cs="Times New Roman"/>
          <w:sz w:val="28"/>
          <w:szCs w:val="28"/>
        </w:rPr>
        <w:t>х</w:t>
      </w:r>
      <w:r w:rsidR="00E92C96">
        <w:rPr>
          <w:rFonts w:ascii="Times New Roman" w:hAnsi="Times New Roman" w:cs="Times New Roman"/>
          <w:sz w:val="28"/>
          <w:szCs w:val="28"/>
        </w:rPr>
        <w:t xml:space="preserve"> и национальны</w:t>
      </w:r>
      <w:r w:rsidR="00567EF5">
        <w:rPr>
          <w:rFonts w:ascii="Times New Roman" w:hAnsi="Times New Roman" w:cs="Times New Roman"/>
          <w:sz w:val="28"/>
          <w:szCs w:val="28"/>
        </w:rPr>
        <w:t>х</w:t>
      </w:r>
      <w:r w:rsidR="00E92C96">
        <w:rPr>
          <w:rFonts w:ascii="Times New Roman" w:hAnsi="Times New Roman" w:cs="Times New Roman"/>
          <w:sz w:val="28"/>
          <w:szCs w:val="28"/>
        </w:rPr>
        <w:t xml:space="preserve"> орган</w:t>
      </w:r>
      <w:r w:rsidR="00567EF5">
        <w:rPr>
          <w:rFonts w:ascii="Times New Roman" w:hAnsi="Times New Roman" w:cs="Times New Roman"/>
          <w:sz w:val="28"/>
          <w:szCs w:val="28"/>
        </w:rPr>
        <w:t>ов</w:t>
      </w:r>
      <w:r w:rsidR="00E92C96">
        <w:rPr>
          <w:rFonts w:ascii="Times New Roman" w:hAnsi="Times New Roman" w:cs="Times New Roman"/>
          <w:sz w:val="28"/>
          <w:szCs w:val="28"/>
        </w:rPr>
        <w:t xml:space="preserve">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8146E0">
        <w:rPr>
          <w:rFonts w:ascii="Times New Roman" w:hAnsi="Times New Roman" w:cs="Times New Roman"/>
          <w:sz w:val="28"/>
          <w:szCs w:val="28"/>
        </w:rPr>
        <w:t xml:space="preserve">Учитывая </w:t>
      </w:r>
      <w:r w:rsidR="00D0635D">
        <w:rPr>
          <w:rFonts w:ascii="Times New Roman" w:hAnsi="Times New Roman" w:cs="Times New Roman"/>
          <w:sz w:val="28"/>
          <w:szCs w:val="28"/>
        </w:rPr>
        <w:t xml:space="preserve">значительный </w:t>
      </w:r>
      <w:r w:rsidR="008146E0">
        <w:rPr>
          <w:rFonts w:ascii="Times New Roman" w:hAnsi="Times New Roman" w:cs="Times New Roman"/>
          <w:sz w:val="28"/>
          <w:szCs w:val="28"/>
        </w:rPr>
        <w:t xml:space="preserve">уровень гармонизации </w:t>
      </w:r>
      <w:r w:rsidR="005F4E54">
        <w:rPr>
          <w:rFonts w:ascii="Times New Roman" w:hAnsi="Times New Roman" w:cs="Times New Roman"/>
          <w:sz w:val="28"/>
          <w:szCs w:val="28"/>
        </w:rPr>
        <w:t xml:space="preserve">существующей </w:t>
      </w:r>
      <w:r w:rsidR="008146E0">
        <w:rPr>
          <w:rFonts w:ascii="Times New Roman" w:hAnsi="Times New Roman" w:cs="Times New Roman"/>
          <w:sz w:val="28"/>
          <w:szCs w:val="28"/>
        </w:rPr>
        <w:t xml:space="preserve">статистической методологии </w:t>
      </w:r>
      <w:r w:rsidR="00D0635D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8146E0">
        <w:rPr>
          <w:rFonts w:ascii="Times New Roman" w:hAnsi="Times New Roman" w:cs="Times New Roman"/>
          <w:sz w:val="28"/>
          <w:szCs w:val="28"/>
        </w:rPr>
        <w:t xml:space="preserve">и во избежание </w:t>
      </w:r>
      <w:r w:rsidR="00223577">
        <w:rPr>
          <w:rFonts w:ascii="Times New Roman" w:hAnsi="Times New Roman" w:cs="Times New Roman"/>
          <w:sz w:val="28"/>
          <w:szCs w:val="28"/>
        </w:rPr>
        <w:t>повторяемости некоторых индикаторов</w:t>
      </w:r>
      <w:r w:rsidR="008146E0">
        <w:rPr>
          <w:rFonts w:ascii="Times New Roman" w:hAnsi="Times New Roman" w:cs="Times New Roman"/>
          <w:sz w:val="28"/>
          <w:szCs w:val="28"/>
        </w:rPr>
        <w:t xml:space="preserve">, </w:t>
      </w:r>
      <w:r w:rsidR="00D0635D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146E0">
        <w:rPr>
          <w:rFonts w:ascii="Times New Roman" w:hAnsi="Times New Roman" w:cs="Times New Roman"/>
          <w:sz w:val="28"/>
          <w:szCs w:val="28"/>
        </w:rPr>
        <w:t xml:space="preserve">будет в первом случае рассмотреть </w:t>
      </w:r>
      <w:r w:rsidR="00C74AB0">
        <w:rPr>
          <w:rFonts w:ascii="Times New Roman" w:hAnsi="Times New Roman" w:cs="Times New Roman"/>
          <w:sz w:val="28"/>
          <w:szCs w:val="28"/>
        </w:rPr>
        <w:t>систем</w:t>
      </w:r>
      <w:r w:rsidR="00223577">
        <w:rPr>
          <w:rFonts w:ascii="Times New Roman" w:hAnsi="Times New Roman" w:cs="Times New Roman"/>
          <w:sz w:val="28"/>
          <w:szCs w:val="28"/>
        </w:rPr>
        <w:t>у</w:t>
      </w:r>
      <w:r w:rsidR="00C74AB0">
        <w:rPr>
          <w:rFonts w:ascii="Times New Roman" w:hAnsi="Times New Roman" w:cs="Times New Roman"/>
          <w:sz w:val="28"/>
          <w:szCs w:val="28"/>
        </w:rPr>
        <w:t xml:space="preserve"> показателей, используем</w:t>
      </w:r>
      <w:r w:rsidR="00223577">
        <w:rPr>
          <w:rFonts w:ascii="Times New Roman" w:hAnsi="Times New Roman" w:cs="Times New Roman"/>
          <w:sz w:val="28"/>
          <w:szCs w:val="28"/>
        </w:rPr>
        <w:t>ую</w:t>
      </w:r>
      <w:r w:rsidR="00C74AB0">
        <w:rPr>
          <w:rFonts w:ascii="Times New Roman" w:hAnsi="Times New Roman" w:cs="Times New Roman"/>
          <w:sz w:val="28"/>
          <w:szCs w:val="28"/>
        </w:rPr>
        <w:t xml:space="preserve"> при </w:t>
      </w:r>
      <w:r w:rsidR="008146E0">
        <w:rPr>
          <w:rFonts w:ascii="Times New Roman" w:hAnsi="Times New Roman" w:cs="Times New Roman"/>
          <w:sz w:val="28"/>
          <w:szCs w:val="28"/>
        </w:rPr>
        <w:t>обследовани</w:t>
      </w:r>
      <w:r w:rsidR="00C74AB0">
        <w:rPr>
          <w:rFonts w:ascii="Times New Roman" w:hAnsi="Times New Roman" w:cs="Times New Roman"/>
          <w:sz w:val="28"/>
          <w:szCs w:val="28"/>
        </w:rPr>
        <w:t>и</w:t>
      </w:r>
      <w:r w:rsidR="008146E0">
        <w:rPr>
          <w:rFonts w:ascii="Times New Roman" w:hAnsi="Times New Roman" w:cs="Times New Roman"/>
          <w:sz w:val="28"/>
          <w:szCs w:val="28"/>
        </w:rPr>
        <w:t xml:space="preserve"> организаций </w:t>
      </w:r>
      <w:r w:rsidR="005D41FF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="00DA18BC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8146E0">
        <w:rPr>
          <w:rFonts w:ascii="Times New Roman" w:hAnsi="Times New Roman" w:cs="Times New Roman"/>
          <w:sz w:val="28"/>
          <w:szCs w:val="28"/>
        </w:rPr>
        <w:t>Евросоюза</w:t>
      </w:r>
      <w:r w:rsidR="005D41FF">
        <w:rPr>
          <w:rFonts w:ascii="Times New Roman" w:hAnsi="Times New Roman" w:cs="Times New Roman"/>
          <w:sz w:val="28"/>
          <w:szCs w:val="28"/>
        </w:rPr>
        <w:t>)</w:t>
      </w:r>
      <w:r w:rsidR="008146E0">
        <w:rPr>
          <w:rFonts w:ascii="Times New Roman" w:hAnsi="Times New Roman" w:cs="Times New Roman"/>
          <w:sz w:val="28"/>
          <w:szCs w:val="28"/>
        </w:rPr>
        <w:t>, а во втором – населения</w:t>
      </w:r>
      <w:r w:rsidR="00DA18BC">
        <w:rPr>
          <w:rFonts w:ascii="Times New Roman" w:hAnsi="Times New Roman" w:cs="Times New Roman"/>
          <w:sz w:val="28"/>
          <w:szCs w:val="28"/>
        </w:rPr>
        <w:t xml:space="preserve"> </w:t>
      </w:r>
      <w:r w:rsidR="008146E0">
        <w:rPr>
          <w:rFonts w:ascii="Times New Roman" w:hAnsi="Times New Roman" w:cs="Times New Roman"/>
          <w:sz w:val="28"/>
          <w:szCs w:val="28"/>
        </w:rPr>
        <w:t>Российской Федерации.</w:t>
      </w:r>
    </w:p>
    <w:p w14:paraId="6E036985" w14:textId="68C4ECAD" w:rsidR="00032BCE" w:rsidRDefault="00DA18BC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661647">
        <w:rPr>
          <w:rFonts w:ascii="Times New Roman" w:hAnsi="Times New Roman" w:cs="Times New Roman"/>
          <w:sz w:val="28"/>
          <w:szCs w:val="28"/>
        </w:rPr>
        <w:t>Наиболее актуальные 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1F8A724E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 xml:space="preserve">стран ЕС по ряду показателей информационной безопасности предприятий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E457A5">
        <w:rPr>
          <w:rFonts w:ascii="Times New Roman" w:hAnsi="Times New Roman" w:cs="Times New Roman"/>
          <w:sz w:val="28"/>
          <w:szCs w:val="28"/>
        </w:rPr>
        <w:t>11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</w:t>
      </w:r>
      <w:r w:rsidR="009E1944">
        <w:rPr>
          <w:rFonts w:ascii="Times New Roman" w:hAnsi="Times New Roman" w:cs="Times New Roman"/>
          <w:sz w:val="28"/>
          <w:szCs w:val="28"/>
        </w:rPr>
        <w:t>2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году более чем каждое пятое предприятие (22 %)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2E9C2B9E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7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55pt;height:15.8pt" o:ole="">
                  <v:imagedata r:id="rId7" o:title=""/>
                </v:shape>
                <o:OLEObject Type="Embed" ProgID="Equation.3" ShapeID="_x0000_i1025" DrawAspect="Content" ObjectID="_1738656368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7"/>
    </w:tbl>
    <w:p w14:paraId="472AB948" w14:textId="77777777" w:rsidR="002D3301" w:rsidRDefault="002D330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71541FC0" w:rsidR="00820F6B" w:rsidRDefault="006C640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 (Минцифры России)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>методик расчета 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</w:t>
      </w:r>
      <w:r w:rsidR="00A80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8022B">
        <w:rPr>
          <w:rFonts w:ascii="Times New Roman" w:hAnsi="Times New Roman" w:cs="Times New Roman"/>
          <w:sz w:val="28"/>
          <w:szCs w:val="28"/>
        </w:rPr>
        <w:t>Росстат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 xml:space="preserve"> в </w:t>
      </w:r>
      <w:r w:rsidR="003A7CA5">
        <w:rPr>
          <w:rFonts w:ascii="Times New Roman" w:hAnsi="Times New Roman" w:cs="Times New Roman"/>
          <w:sz w:val="28"/>
          <w:szCs w:val="28"/>
        </w:rPr>
        <w:t>сотрудничестве</w:t>
      </w:r>
      <w:r w:rsidR="00A8022B">
        <w:rPr>
          <w:rFonts w:ascii="Times New Roman" w:hAnsi="Times New Roman" w:cs="Times New Roman"/>
          <w:sz w:val="28"/>
          <w:szCs w:val="28"/>
        </w:rPr>
        <w:t xml:space="preserve"> с </w:t>
      </w:r>
      <w:r w:rsidR="00C73195">
        <w:rPr>
          <w:rFonts w:ascii="Times New Roman" w:hAnsi="Times New Roman" w:cs="Times New Roman"/>
          <w:sz w:val="28"/>
          <w:szCs w:val="28"/>
        </w:rPr>
        <w:t>Минцифры России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</w:t>
      </w:r>
      <w:r w:rsidR="00A65ED5">
        <w:rPr>
          <w:rFonts w:ascii="Times New Roman" w:hAnsi="Times New Roman" w:cs="Times New Roman"/>
          <w:sz w:val="28"/>
          <w:szCs w:val="28"/>
        </w:rPr>
        <w:lastRenderedPageBreak/>
        <w:t>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6A8C35B9" w14:textId="297A57AF" w:rsidR="001277AB" w:rsidRDefault="001277AB" w:rsidP="00127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B">
        <w:rPr>
          <w:rFonts w:ascii="Times New Roman" w:hAnsi="Times New Roman" w:cs="Times New Roman"/>
          <w:sz w:val="28"/>
          <w:szCs w:val="28"/>
        </w:rPr>
        <w:t>Явно прослеживаемая в таблицах высокая степень неоднородности совокупности регионов Росси</w:t>
      </w:r>
      <w:r w:rsidR="00D92957">
        <w:rPr>
          <w:rFonts w:ascii="Times New Roman" w:hAnsi="Times New Roman" w:cs="Times New Roman"/>
          <w:sz w:val="28"/>
          <w:szCs w:val="28"/>
        </w:rPr>
        <w:t>йской Федерации</w:t>
      </w:r>
      <w:r w:rsidRPr="001277AB">
        <w:rPr>
          <w:rFonts w:ascii="Times New Roman" w:hAnsi="Times New Roman" w:cs="Times New Roman"/>
          <w:sz w:val="28"/>
          <w:szCs w:val="28"/>
        </w:rPr>
        <w:t xml:space="preserve"> по большинству показателей</w:t>
      </w:r>
      <w:r w:rsidR="00D92957">
        <w:rPr>
          <w:rFonts w:ascii="Times New Roman" w:hAnsi="Times New Roman" w:cs="Times New Roman"/>
          <w:sz w:val="28"/>
          <w:szCs w:val="28"/>
        </w:rPr>
        <w:t xml:space="preserve"> </w:t>
      </w:r>
      <w:r w:rsidRPr="001277AB">
        <w:rPr>
          <w:rFonts w:ascii="Times New Roman" w:hAnsi="Times New Roman" w:cs="Times New Roman"/>
          <w:sz w:val="28"/>
          <w:szCs w:val="28"/>
        </w:rPr>
        <w:t xml:space="preserve">указывает на наличие типических региональных групп по признакам интенсивности и номенклатуры угроз информационной безопасности: </w:t>
      </w:r>
      <w:r w:rsidR="00D92957">
        <w:rPr>
          <w:rFonts w:ascii="Times New Roman" w:hAnsi="Times New Roman" w:cs="Times New Roman"/>
          <w:sz w:val="28"/>
          <w:szCs w:val="28"/>
        </w:rPr>
        <w:t>где-то</w:t>
      </w:r>
      <w:r w:rsidRPr="001277AB">
        <w:rPr>
          <w:rFonts w:ascii="Times New Roman" w:hAnsi="Times New Roman" w:cs="Times New Roman"/>
          <w:sz w:val="28"/>
          <w:szCs w:val="28"/>
        </w:rPr>
        <w:t xml:space="preserve"> население постоянно сталкивается с такого рода инцидентами, где-то – лишь изредка</w:t>
      </w:r>
      <w:r w:rsidR="00D92957">
        <w:rPr>
          <w:rFonts w:ascii="Times New Roman" w:hAnsi="Times New Roman" w:cs="Times New Roman"/>
          <w:sz w:val="28"/>
          <w:szCs w:val="28"/>
        </w:rPr>
        <w:t xml:space="preserve"> (некоторое исключение здесь составляет та часть населения, что вообще не сталкивалась с проблемами информационной безопасности)</w:t>
      </w:r>
      <w:r w:rsidRPr="001277AB">
        <w:rPr>
          <w:rFonts w:ascii="Times New Roman" w:hAnsi="Times New Roman" w:cs="Times New Roman"/>
          <w:sz w:val="28"/>
          <w:szCs w:val="28"/>
        </w:rPr>
        <w:t>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2.55pt;height:15.8pt" o:ole="">
                  <v:imagedata r:id="rId7" o:title=""/>
                </v:shape>
                <o:OLEObject Type="Embed" ProgID="Equation.3" ShapeID="_x0000_i1026" DrawAspect="Content" ObjectID="_1738656369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2.55pt;height:15.8pt" o:ole="">
                  <v:imagedata r:id="rId7" o:title=""/>
                </v:shape>
                <o:OLEObject Type="Embed" ProgID="Equation.3" ShapeID="_x0000_i1027" DrawAspect="Content" ObjectID="_1738656370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B1367" w14:textId="1426DB7D" w:rsidR="00416760" w:rsidRDefault="00D13B9D" w:rsidP="000037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</w:t>
      </w:r>
      <w:r w:rsidR="00791022">
        <w:rPr>
          <w:rFonts w:ascii="Times New Roman" w:hAnsi="Times New Roman" w:cs="Times New Roman"/>
          <w:sz w:val="28"/>
          <w:szCs w:val="28"/>
        </w:rPr>
        <w:t xml:space="preserve">научных изысканий отечественных и зарубежных ученых, а также </w:t>
      </w:r>
      <w:r w:rsidR="00115FFB">
        <w:rPr>
          <w:rFonts w:ascii="Times New Roman" w:hAnsi="Times New Roman" w:cs="Times New Roman"/>
          <w:sz w:val="28"/>
          <w:szCs w:val="28"/>
        </w:rPr>
        <w:t>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</w:t>
      </w:r>
      <w:r w:rsidR="00791022">
        <w:rPr>
          <w:rFonts w:ascii="Times New Roman" w:hAnsi="Times New Roman" w:cs="Times New Roman"/>
          <w:sz w:val="28"/>
          <w:szCs w:val="28"/>
        </w:rPr>
        <w:t xml:space="preserve"> следует отметить</w:t>
      </w:r>
      <w:r>
        <w:rPr>
          <w:rFonts w:ascii="Times New Roman" w:hAnsi="Times New Roman" w:cs="Times New Roman"/>
          <w:sz w:val="28"/>
          <w:szCs w:val="28"/>
        </w:rPr>
        <w:t xml:space="preserve"> множественность </w:t>
      </w:r>
      <w:r w:rsidR="00791022">
        <w:rPr>
          <w:rFonts w:ascii="Times New Roman" w:hAnsi="Times New Roman" w:cs="Times New Roman"/>
          <w:sz w:val="28"/>
          <w:szCs w:val="28"/>
        </w:rPr>
        <w:t xml:space="preserve">самого </w:t>
      </w:r>
      <w:r>
        <w:rPr>
          <w:rFonts w:ascii="Times New Roman" w:hAnsi="Times New Roman" w:cs="Times New Roman"/>
          <w:sz w:val="28"/>
          <w:szCs w:val="28"/>
        </w:rPr>
        <w:t xml:space="preserve">понятия информационной безопасности и </w:t>
      </w:r>
      <w:r w:rsidR="00791022">
        <w:rPr>
          <w:rFonts w:ascii="Times New Roman" w:hAnsi="Times New Roman" w:cs="Times New Roman"/>
          <w:sz w:val="28"/>
          <w:szCs w:val="28"/>
        </w:rPr>
        <w:t xml:space="preserve">некоторую </w:t>
      </w:r>
      <w:r>
        <w:rPr>
          <w:rFonts w:ascii="Times New Roman" w:hAnsi="Times New Roman" w:cs="Times New Roman"/>
          <w:sz w:val="28"/>
          <w:szCs w:val="28"/>
        </w:rPr>
        <w:t xml:space="preserve">фрагментарность </w:t>
      </w:r>
      <w:r w:rsidR="00791022">
        <w:rPr>
          <w:rFonts w:ascii="Times New Roman" w:hAnsi="Times New Roman" w:cs="Times New Roman"/>
          <w:sz w:val="28"/>
          <w:szCs w:val="28"/>
        </w:rPr>
        <w:t>состава применяемых систем статистических показателей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>Это обстоятельство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337A6B">
        <w:rPr>
          <w:rFonts w:ascii="Times New Roman" w:hAnsi="Times New Roman" w:cs="Times New Roman"/>
          <w:sz w:val="28"/>
          <w:szCs w:val="28"/>
        </w:rPr>
        <w:t xml:space="preserve">в рамках дальнейшей работы 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</w:t>
      </w:r>
      <w:r w:rsidR="006C1E94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16760">
        <w:rPr>
          <w:rFonts w:ascii="Times New Roman" w:hAnsi="Times New Roman" w:cs="Times New Roman"/>
          <w:sz w:val="28"/>
          <w:szCs w:val="28"/>
        </w:rPr>
        <w:t>логичн</w:t>
      </w:r>
      <w:r w:rsidR="006C1E94">
        <w:rPr>
          <w:rFonts w:ascii="Times New Roman" w:hAnsi="Times New Roman" w:cs="Times New Roman"/>
          <w:sz w:val="28"/>
          <w:szCs w:val="28"/>
        </w:rPr>
        <w:t xml:space="preserve">ым </w:t>
      </w:r>
      <w:r w:rsidR="000E2777">
        <w:rPr>
          <w:rFonts w:ascii="Times New Roman" w:hAnsi="Times New Roman" w:cs="Times New Roman"/>
          <w:sz w:val="28"/>
          <w:szCs w:val="28"/>
        </w:rPr>
        <w:t xml:space="preserve">считать </w:t>
      </w:r>
      <w:r w:rsidR="00416760">
        <w:rPr>
          <w:rFonts w:ascii="Times New Roman" w:hAnsi="Times New Roman" w:cs="Times New Roman"/>
          <w:sz w:val="28"/>
          <w:szCs w:val="28"/>
        </w:rPr>
        <w:t xml:space="preserve">вышеуказанный </w:t>
      </w:r>
      <w:bookmarkStart w:id="8" w:name="_Hlk127521094"/>
      <w:r w:rsidR="00416760">
        <w:rPr>
          <w:rFonts w:ascii="Times New Roman" w:hAnsi="Times New Roman" w:cs="Times New Roman"/>
          <w:sz w:val="28"/>
          <w:szCs w:val="28"/>
        </w:rPr>
        <w:t>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0E2777">
        <w:rPr>
          <w:rFonts w:ascii="Times New Roman" w:hAnsi="Times New Roman" w:cs="Times New Roman"/>
          <w:sz w:val="28"/>
          <w:szCs w:val="28"/>
        </w:rPr>
        <w:t xml:space="preserve">нестрогими синонимами и объединить </w:t>
      </w:r>
      <w:r w:rsidR="000C1B1E">
        <w:rPr>
          <w:rFonts w:ascii="Times New Roman" w:hAnsi="Times New Roman" w:cs="Times New Roman"/>
          <w:sz w:val="28"/>
          <w:szCs w:val="28"/>
        </w:rPr>
        <w:t xml:space="preserve">их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</w:t>
      </w:r>
      <w:r w:rsidR="00ED1188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416760" w:rsidRPr="00C2159D">
        <w:rPr>
          <w:rFonts w:ascii="Times New Roman" w:hAnsi="Times New Roman" w:cs="Times New Roman"/>
          <w:sz w:val="28"/>
          <w:szCs w:val="28"/>
        </w:rPr>
        <w:t>цифровых технологий»</w:t>
      </w:r>
      <w:bookmarkEnd w:id="8"/>
      <w:r w:rsidR="00D866D4">
        <w:rPr>
          <w:rFonts w:ascii="Times New Roman" w:hAnsi="Times New Roman" w:cs="Times New Roman"/>
          <w:sz w:val="28"/>
          <w:szCs w:val="28"/>
        </w:rPr>
        <w:t xml:space="preserve">, используя его наравне с </w:t>
      </w:r>
      <w:r w:rsidR="00BD5C2A">
        <w:rPr>
          <w:rFonts w:ascii="Times New Roman" w:hAnsi="Times New Roman" w:cs="Times New Roman"/>
          <w:sz w:val="28"/>
          <w:szCs w:val="28"/>
        </w:rPr>
        <w:t>обобщаемыми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BD5C2A"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1911CE">
        <w:rPr>
          <w:rFonts w:ascii="Times New Roman" w:hAnsi="Times New Roman" w:cs="Times New Roman"/>
          <w:sz w:val="28"/>
          <w:szCs w:val="28"/>
        </w:rPr>
        <w:t xml:space="preserve"> </w:t>
      </w:r>
      <w:r w:rsidR="00BD5C2A">
        <w:rPr>
          <w:rFonts w:ascii="Times New Roman" w:hAnsi="Times New Roman" w:cs="Times New Roman"/>
          <w:sz w:val="28"/>
          <w:szCs w:val="28"/>
        </w:rPr>
        <w:t xml:space="preserve">существующей </w:t>
      </w:r>
      <w:r w:rsidR="004E5AA6">
        <w:rPr>
          <w:rFonts w:ascii="Times New Roman" w:hAnsi="Times New Roman" w:cs="Times New Roman"/>
          <w:sz w:val="28"/>
          <w:szCs w:val="28"/>
        </w:rPr>
        <w:t>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731F9A">
        <w:rPr>
          <w:rFonts w:ascii="Times New Roman" w:hAnsi="Times New Roman" w:cs="Times New Roman"/>
          <w:sz w:val="28"/>
          <w:szCs w:val="28"/>
        </w:rPr>
        <w:t xml:space="preserve">разработать новый подход к формированию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731F9A">
        <w:rPr>
          <w:rFonts w:ascii="Times New Roman" w:hAnsi="Times New Roman" w:cs="Times New Roman"/>
          <w:sz w:val="28"/>
          <w:szCs w:val="28"/>
        </w:rPr>
        <w:t>ы этой системы</w:t>
      </w:r>
      <w:r w:rsidR="008A09FE">
        <w:rPr>
          <w:rFonts w:ascii="Times New Roman" w:hAnsi="Times New Roman" w:cs="Times New Roman"/>
          <w:sz w:val="28"/>
          <w:szCs w:val="28"/>
        </w:rPr>
        <w:t xml:space="preserve">. </w:t>
      </w:r>
      <w:r w:rsidR="00003704">
        <w:rPr>
          <w:rFonts w:ascii="Times New Roman" w:hAnsi="Times New Roman" w:cs="Times New Roman"/>
          <w:sz w:val="28"/>
          <w:szCs w:val="28"/>
        </w:rPr>
        <w:t>Методологически такой</w:t>
      </w:r>
      <w:r w:rsidR="008A09FE">
        <w:rPr>
          <w:rFonts w:ascii="Times New Roman" w:hAnsi="Times New Roman" w:cs="Times New Roman"/>
          <w:sz w:val="28"/>
          <w:szCs w:val="28"/>
        </w:rPr>
        <w:t xml:space="preserve"> подход долж</w:t>
      </w:r>
      <w:r w:rsidR="00003704">
        <w:rPr>
          <w:rFonts w:ascii="Times New Roman" w:hAnsi="Times New Roman" w:cs="Times New Roman"/>
          <w:sz w:val="28"/>
          <w:szCs w:val="28"/>
        </w:rPr>
        <w:t>е</w:t>
      </w:r>
      <w:r w:rsidR="008A09FE">
        <w:rPr>
          <w:rFonts w:ascii="Times New Roman" w:hAnsi="Times New Roman" w:cs="Times New Roman"/>
          <w:sz w:val="28"/>
          <w:szCs w:val="28"/>
        </w:rPr>
        <w:t xml:space="preserve">н быть </w:t>
      </w:r>
      <w:r w:rsidR="00003704">
        <w:rPr>
          <w:rFonts w:ascii="Times New Roman" w:hAnsi="Times New Roman" w:cs="Times New Roman"/>
          <w:sz w:val="28"/>
          <w:szCs w:val="28"/>
        </w:rPr>
        <w:t xml:space="preserve">основан на реализации </w:t>
      </w:r>
      <w:r w:rsidR="00581187">
        <w:rPr>
          <w:rFonts w:ascii="Times New Roman" w:hAnsi="Times New Roman" w:cs="Times New Roman"/>
          <w:sz w:val="28"/>
          <w:szCs w:val="28"/>
        </w:rPr>
        <w:t>количественного измерения</w:t>
      </w:r>
      <w:r w:rsidR="00727D8B">
        <w:rPr>
          <w:rFonts w:ascii="Times New Roman" w:hAnsi="Times New Roman" w:cs="Times New Roman"/>
          <w:sz w:val="28"/>
          <w:szCs w:val="28"/>
        </w:rPr>
        <w:t xml:space="preserve"> </w:t>
      </w:r>
      <w:r w:rsidR="00581187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="00727D8B">
        <w:rPr>
          <w:rFonts w:ascii="Times New Roman" w:hAnsi="Times New Roman" w:cs="Times New Roman"/>
          <w:sz w:val="28"/>
          <w:szCs w:val="28"/>
        </w:rPr>
        <w:t>этап</w:t>
      </w:r>
      <w:r w:rsidR="00581187">
        <w:rPr>
          <w:rFonts w:ascii="Times New Roman" w:hAnsi="Times New Roman" w:cs="Times New Roman"/>
          <w:sz w:val="28"/>
          <w:szCs w:val="28"/>
        </w:rPr>
        <w:t>ов</w:t>
      </w:r>
      <w:r w:rsidR="00727D8B">
        <w:rPr>
          <w:rFonts w:ascii="Times New Roman" w:hAnsi="Times New Roman" w:cs="Times New Roman"/>
          <w:sz w:val="28"/>
          <w:szCs w:val="28"/>
        </w:rPr>
        <w:t xml:space="preserve"> жизненного цикла процесса нарушения безопасности применения цифровых технологий</w:t>
      </w:r>
      <w:r w:rsidR="00003704">
        <w:rPr>
          <w:rFonts w:ascii="Times New Roman" w:hAnsi="Times New Roman" w:cs="Times New Roman"/>
          <w:sz w:val="28"/>
          <w:szCs w:val="28"/>
        </w:rPr>
        <w:t xml:space="preserve">, что позволит обеспечить системность </w:t>
      </w:r>
      <w:r w:rsidR="00594ADE">
        <w:rPr>
          <w:rFonts w:ascii="Times New Roman" w:hAnsi="Times New Roman" w:cs="Times New Roman"/>
          <w:sz w:val="28"/>
          <w:szCs w:val="28"/>
        </w:rPr>
        <w:t xml:space="preserve">и гармонизацию отбираемых </w:t>
      </w:r>
      <w:r w:rsidR="00704986">
        <w:rPr>
          <w:rFonts w:ascii="Times New Roman" w:hAnsi="Times New Roman" w:cs="Times New Roman"/>
          <w:sz w:val="28"/>
          <w:szCs w:val="28"/>
        </w:rPr>
        <w:t>показателей</w:t>
      </w:r>
      <w:r w:rsidR="00727D8B">
        <w:rPr>
          <w:rFonts w:ascii="Times New Roman" w:hAnsi="Times New Roman" w:cs="Times New Roman"/>
          <w:sz w:val="28"/>
          <w:szCs w:val="28"/>
        </w:rPr>
        <w:t>.</w:t>
      </w:r>
    </w:p>
    <w:p w14:paraId="4B47744E" w14:textId="77777777" w:rsidR="00003704" w:rsidRDefault="00003704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4CA04C08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Формирование </w:t>
      </w:r>
      <w:r w:rsidR="004549C7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динамической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</w:p>
    <w:p w14:paraId="0885A3F9" w14:textId="03E59D21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 w:rsidR="00B5365E" w:rsidRPr="00B5365E">
        <w:rPr>
          <w:rFonts w:ascii="Times New Roman" w:hAnsi="Times New Roman" w:cs="Times New Roman"/>
          <w:sz w:val="28"/>
          <w:szCs w:val="28"/>
        </w:rPr>
        <w:t>1</w:t>
      </w:r>
      <w:r w:rsidR="00E457A5">
        <w:rPr>
          <w:rFonts w:ascii="Times New Roman" w:hAnsi="Times New Roman" w:cs="Times New Roman"/>
          <w:sz w:val="28"/>
          <w:szCs w:val="28"/>
        </w:rPr>
        <w:t>2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B5365E" w:rsidRPr="00B5365E">
        <w:rPr>
          <w:rFonts w:ascii="Times New Roman" w:hAnsi="Times New Roman" w:cs="Times New Roman"/>
          <w:sz w:val="28"/>
          <w:szCs w:val="28"/>
        </w:rPr>
        <w:t>1</w:t>
      </w:r>
      <w:r w:rsidR="00E457A5">
        <w:rPr>
          <w:rFonts w:ascii="Times New Roman" w:hAnsi="Times New Roman" w:cs="Times New Roman"/>
          <w:sz w:val="28"/>
          <w:szCs w:val="28"/>
        </w:rPr>
        <w:t>3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44E96BE7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 </w:t>
      </w:r>
      <w:r w:rsidR="00BB2F22">
        <w:rPr>
          <w:rFonts w:ascii="Times New Roman" w:hAnsi="Times New Roman" w:cs="Times New Roman"/>
          <w:sz w:val="28"/>
          <w:szCs w:val="28"/>
        </w:rPr>
        <w:t>(</w:t>
      </w:r>
      <w:r w:rsidR="003E1EEF"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B5365E" w:rsidRPr="00B5365E">
        <w:rPr>
          <w:rFonts w:ascii="Times New Roman" w:hAnsi="Times New Roman" w:cs="Times New Roman"/>
          <w:sz w:val="28"/>
          <w:szCs w:val="28"/>
        </w:rPr>
        <w:t>1</w:t>
      </w:r>
      <w:r w:rsidR="00E457A5">
        <w:rPr>
          <w:rFonts w:ascii="Times New Roman" w:hAnsi="Times New Roman" w:cs="Times New Roman"/>
          <w:sz w:val="28"/>
          <w:szCs w:val="28"/>
        </w:rPr>
        <w:t>4</w:t>
      </w:r>
      <w:r w:rsidR="00907FC5" w:rsidRPr="00907FC5">
        <w:rPr>
          <w:rFonts w:ascii="Times New Roman" w:hAnsi="Times New Roman" w:cs="Times New Roman"/>
          <w:sz w:val="28"/>
          <w:szCs w:val="28"/>
        </w:rPr>
        <w:t xml:space="preserve">, </w:t>
      </w:r>
      <w:r w:rsidR="00907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7FC5" w:rsidRPr="00907FC5">
        <w:rPr>
          <w:rFonts w:ascii="Times New Roman" w:hAnsi="Times New Roman" w:cs="Times New Roman"/>
          <w:sz w:val="28"/>
          <w:szCs w:val="28"/>
        </w:rPr>
        <w:t>. 80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BB2F22">
        <w:rPr>
          <w:rFonts w:ascii="Times New Roman" w:hAnsi="Times New Roman" w:cs="Times New Roman"/>
          <w:sz w:val="28"/>
          <w:szCs w:val="28"/>
        </w:rPr>
        <w:t>)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0DFEBCD7" w14:textId="4ADD32E2" w:rsidR="00C6198A" w:rsidRDefault="00D356E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03620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теоретическом контексте очевидно, что система статистических показателей безопасности применения цифровых технологий – в силу высокой степени динамики процессов в этой сфере – </w:t>
      </w:r>
      <w:r w:rsidR="00D924F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924FA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косной структурой, а должна, в первую очередь, отражать логику особенностей этого развития.</w:t>
      </w:r>
      <w:r w:rsidR="00D924FA">
        <w:rPr>
          <w:rFonts w:ascii="Times New Roman" w:hAnsi="Times New Roman" w:cs="Times New Roman"/>
          <w:sz w:val="28"/>
          <w:szCs w:val="28"/>
        </w:rPr>
        <w:t xml:space="preserve"> Такой подход </w:t>
      </w:r>
      <w:r w:rsidR="00906F88">
        <w:rPr>
          <w:rFonts w:ascii="Times New Roman" w:hAnsi="Times New Roman" w:cs="Times New Roman"/>
          <w:sz w:val="28"/>
          <w:szCs w:val="28"/>
        </w:rPr>
        <w:t xml:space="preserve">выражен </w:t>
      </w:r>
      <w:r w:rsidR="00D924FA">
        <w:rPr>
          <w:rFonts w:ascii="Times New Roman" w:hAnsi="Times New Roman" w:cs="Times New Roman"/>
          <w:sz w:val="28"/>
          <w:szCs w:val="28"/>
        </w:rPr>
        <w:t xml:space="preserve">на рис. 2, где концептуальная схема </w:t>
      </w:r>
      <w:r w:rsidR="00B9548F">
        <w:rPr>
          <w:rFonts w:ascii="Times New Roman" w:hAnsi="Times New Roman" w:cs="Times New Roman"/>
          <w:sz w:val="28"/>
          <w:szCs w:val="28"/>
        </w:rPr>
        <w:t xml:space="preserve">формирования системы показателей </w:t>
      </w:r>
      <w:r w:rsidR="00D924F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06F88">
        <w:rPr>
          <w:rFonts w:ascii="Times New Roman" w:hAnsi="Times New Roman" w:cs="Times New Roman"/>
          <w:sz w:val="28"/>
          <w:szCs w:val="28"/>
        </w:rPr>
        <w:t>два</w:t>
      </w:r>
      <w:r w:rsidR="00D924FA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402D9A">
        <w:rPr>
          <w:rFonts w:ascii="Times New Roman" w:hAnsi="Times New Roman" w:cs="Times New Roman"/>
          <w:sz w:val="28"/>
          <w:szCs w:val="28"/>
        </w:rPr>
        <w:t>, отображающих аспекты оценки и анализа</w:t>
      </w:r>
      <w:r w:rsidR="00D924FA">
        <w:rPr>
          <w:rFonts w:ascii="Times New Roman" w:hAnsi="Times New Roman" w:cs="Times New Roman"/>
          <w:sz w:val="28"/>
          <w:szCs w:val="28"/>
        </w:rPr>
        <w:t xml:space="preserve">: характерный, </w:t>
      </w:r>
      <w:r w:rsidR="00402D9A">
        <w:rPr>
          <w:rFonts w:ascii="Times New Roman" w:hAnsi="Times New Roman" w:cs="Times New Roman"/>
          <w:sz w:val="28"/>
          <w:szCs w:val="28"/>
        </w:rPr>
        <w:t>учитывающий</w:t>
      </w:r>
      <w:r w:rsidR="00906F88">
        <w:rPr>
          <w:rFonts w:ascii="Times New Roman" w:hAnsi="Times New Roman" w:cs="Times New Roman"/>
          <w:sz w:val="28"/>
          <w:szCs w:val="28"/>
        </w:rPr>
        <w:t xml:space="preserve"> особенности предметной области – «Процесс», и общий («Направление» и «Масштаб»), свойственный для логики построения систем показателей в целом.</w:t>
      </w:r>
    </w:p>
    <w:p w14:paraId="5D8A5190" w14:textId="77777777" w:rsidR="00B9548F" w:rsidRPr="00B9548F" w:rsidRDefault="00B9548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4"/>
          <w:szCs w:val="4"/>
        </w:rPr>
      </w:pPr>
    </w:p>
    <w:p w14:paraId="31446727" w14:textId="231FE4D3" w:rsidR="00A856F2" w:rsidRDefault="00213E49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68E">
        <w:rPr>
          <w:noProof/>
        </w:rPr>
        <w:drawing>
          <wp:inline distT="0" distB="0" distL="0" distR="0" wp14:anchorId="199A2934" wp14:editId="4A2B6C5C">
            <wp:extent cx="5940425" cy="5534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1ECE" w14:textId="1C5BDB9E" w:rsidR="003B4AB1" w:rsidRPr="00EA191D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28B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применения 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>цифровых технологий</w:t>
      </w:r>
    </w:p>
    <w:p w14:paraId="1C373157" w14:textId="4143600E" w:rsidR="00354A9E" w:rsidRDefault="00C23F8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AB69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показателей системы формируется динамически</w:t>
      </w:r>
      <w:r w:rsidR="00AB6976">
        <w:rPr>
          <w:rFonts w:ascii="Times New Roman" w:hAnsi="Times New Roman" w:cs="Times New Roman"/>
          <w:sz w:val="28"/>
          <w:szCs w:val="28"/>
        </w:rPr>
        <w:t xml:space="preserve"> при сохранении общей структуры, основанной на логике взаимосвязи аспектов (п</w:t>
      </w:r>
      <w:r>
        <w:rPr>
          <w:rFonts w:ascii="Times New Roman" w:hAnsi="Times New Roman" w:cs="Times New Roman"/>
          <w:sz w:val="28"/>
          <w:szCs w:val="28"/>
        </w:rPr>
        <w:t>ример практической реализации схемы представлен в таблице 5</w:t>
      </w:r>
      <w:r w:rsidR="00AB69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A035E" w14:textId="0AE5EB27" w:rsidR="00B075C1" w:rsidRPr="009A2F2E" w:rsidRDefault="00B075C1" w:rsidP="00B075C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6FF981" w14:textId="77777777" w:rsidR="00B075C1" w:rsidRDefault="00B075C1" w:rsidP="00B075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индикаторов-представителей системы статистических показателей безопасности применения цифровых технологий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6805"/>
        <w:gridCol w:w="1269"/>
      </w:tblGrid>
      <w:tr w:rsidR="00B075C1" w:rsidRPr="00817791" w14:paraId="47A25FD4" w14:textId="77777777" w:rsidTr="00240202">
        <w:tc>
          <w:tcPr>
            <w:tcW w:w="1554" w:type="dxa"/>
            <w:tcBorders>
              <w:bottom w:val="single" w:sz="4" w:space="0" w:color="auto"/>
            </w:tcBorders>
          </w:tcPr>
          <w:p w14:paraId="3EC380D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6805" w:type="dxa"/>
            <w:tcBorders>
              <w:bottom w:val="single" w:sz="4" w:space="0" w:color="auto"/>
            </w:tcBorders>
          </w:tcPr>
          <w:p w14:paraId="6D335E3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по звеньям процесса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66B1A2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  <w:tr w:rsidR="00B075C1" w:rsidRPr="00817791" w14:paraId="36080DEE" w14:textId="77777777" w:rsidTr="00240202">
        <w:trPr>
          <w:trHeight w:val="405"/>
        </w:trPr>
        <w:tc>
          <w:tcPr>
            <w:tcW w:w="1554" w:type="dxa"/>
            <w:tcBorders>
              <w:bottom w:val="single" w:sz="4" w:space="0" w:color="D5DCE4" w:themeColor="text2" w:themeTint="33"/>
            </w:tcBorders>
          </w:tcPr>
          <w:p w14:paraId="3B432E1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1B4B2B27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2DC33D0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396283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6E0B30A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3E55BA8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Соотношение числа инцидентов, связанных с внутренними и внешними для организации источниками киберугроз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E09F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F5412B4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FFFFFF" w:themeFill="background1"/>
          </w:tcPr>
          <w:p w14:paraId="1363921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DE866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сотрудников по информационной безопасности в штате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7A9920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2944B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275E36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44C15BE" w14:textId="31DC6CB0" w:rsidR="00B075C1" w:rsidRPr="006D3AE7" w:rsidRDefault="00B075C1" w:rsidP="0024020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домохозяйств, пострадавших от злонамеренных действий неизвестных лиц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 xml:space="preserve">через социальные </w:t>
            </w:r>
            <w:r w:rsidR="00C65710">
              <w:rPr>
                <w:rFonts w:ascii="Times New Roman" w:hAnsi="Times New Roman" w:cs="Times New Roman"/>
                <w:sz w:val="24"/>
                <w:szCs w:val="24"/>
              </w:rPr>
              <w:t xml:space="preserve">сети и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>онлайн-сервисы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5EAFA61" w14:textId="77777777" w:rsidR="00B075C1" w:rsidRPr="006D3AE7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AEFA155" w14:textId="77777777" w:rsidTr="00240202">
        <w:trPr>
          <w:trHeight w:val="422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7E292A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0C5EE890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Мотив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300C824D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1E40C9B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60D202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097761F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инцидентов, связанных с кибермошенничеством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D9B6A1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5774E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886760" w14:textId="09BB0D47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9F2903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кибертерроризмом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99251C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9D"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B6C48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F2C1A8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01B23C" w14:textId="16627B62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столкнувшихся с</w:t>
            </w:r>
            <w:r w:rsidR="00205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вымогательством посредством использования цифровых технологий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984017F" w14:textId="649C17C8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0E1F8CE1" w14:textId="4D42DF79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DB64AC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425B87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6221A47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лиц в домохозяйстве, сталкивавшихся с угрозами разглашения личной информации с целью вымогательства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556CAFF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98F8BB" w14:textId="77777777" w:rsidTr="00240202">
        <w:trPr>
          <w:trHeight w:val="423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55F088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9D7469D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2BCBC8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0075F24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08B038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01384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инцидентов, связанных с попытками проникновения внутрь периметра информационной системы организации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7C7362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7437B4A5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7DD63EF" w14:textId="24A066F5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34FA80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 в центрах хранения данных, связанных с кибербезопасностью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1EEE0E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0EC57F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1A01F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38CA73D1" w14:textId="11187CD6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внутренних информационных ресурсов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9C9E1E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EF0D6A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5F7CB5D" w14:textId="6EC74DF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419BCE" w14:textId="242F7148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имеющих </w:t>
            </w:r>
            <w:r w:rsidR="00517AFA"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 с административной частью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BEFB574" w14:textId="2F62B4EA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660312B0" w14:textId="53493E81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C5D3626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67DA6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3316B91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учетных записей в социальных сетях в среднем на одного члена домохозяйства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F8799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09351D5" w14:textId="77777777" w:rsidTr="00240202">
        <w:trPr>
          <w:trHeight w:val="424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2EF334B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33ADD79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Метод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44F483E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624C7BA2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EB7340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5535CE9" w14:textId="77777777" w:rsidR="00B075C1" w:rsidRPr="00A9197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отказом в обслуживании запросов клиентов сайта организации в связи с кибератаками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A20403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B8FA187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FE725" w14:textId="6E0911BD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7C3427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зарегистрированных вредоносных программ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8DAC3A0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1D9E42D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03467B3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57B0596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подвергшихся кибератакам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B9210E1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6CB973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5B77B176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19DFD6E8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столкнувшихся с кибермошенничеством с использованием методов социальной инженерии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3B44505B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4A6F966" w14:textId="77777777" w:rsidTr="00240202">
        <w:trPr>
          <w:trHeight w:val="425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B75D36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23B105F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Последствия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6EEFE81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2E46A161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4BA5F1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DF1FE4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утраченных данных организации вследствие кибератаки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6D7578E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1344A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6A9C1F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982A4E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ущерба по причине кибератаки на сайт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3FDF888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31FFC2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E1A18B0" w14:textId="6A3F90E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320722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финансовых потерь в результате кибератак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48779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AC03D6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D19FF8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96D7659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 потери контроля над учетными записями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7622206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289AF63A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0BFFC686" w14:textId="3FB22246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6E6FC81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отказавшихся от использования цифровых услуг правительства и бизнеса в целях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441A1C3E" w14:textId="14B3B567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515AEF4B" w14:textId="1C74B395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</w:tbl>
    <w:p w14:paraId="5B0A92A1" w14:textId="2D06A03E" w:rsidR="0068738C" w:rsidRDefault="00ED3D34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04FA3">
        <w:rPr>
          <w:rFonts w:ascii="Times New Roman" w:hAnsi="Times New Roman" w:cs="Times New Roman"/>
          <w:sz w:val="28"/>
          <w:szCs w:val="28"/>
        </w:rPr>
        <w:t>римечательным моментом перечня является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 </w:t>
      </w:r>
      <w:r w:rsidR="00210074">
        <w:rPr>
          <w:rFonts w:ascii="Times New Roman" w:hAnsi="Times New Roman" w:cs="Times New Roman"/>
          <w:sz w:val="28"/>
          <w:szCs w:val="28"/>
        </w:rPr>
        <w:t>показател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10074">
        <w:rPr>
          <w:rFonts w:ascii="Times New Roman" w:hAnsi="Times New Roman" w:cs="Times New Roman"/>
          <w:sz w:val="28"/>
          <w:szCs w:val="28"/>
        </w:rPr>
        <w:t>, весьма репрезентативно представляющи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технологический уровень предметной области и оперирующих термином «инцидент». </w:t>
      </w:r>
      <w:r w:rsidR="00896398">
        <w:rPr>
          <w:rFonts w:ascii="Times New Roman" w:hAnsi="Times New Roman" w:cs="Times New Roman"/>
          <w:sz w:val="28"/>
          <w:szCs w:val="28"/>
        </w:rPr>
        <w:t>Под инцидентом информационной безопасности (ИБ) понимается появление одного или нескольких нежелательных или неожиданных событий ИБ, с которыми связана значительная вероятность компрометации бизнес-операций и создания угроз ИБ.</w:t>
      </w:r>
      <w:r w:rsidR="00C64256">
        <w:rPr>
          <w:rFonts w:ascii="Times New Roman" w:hAnsi="Times New Roman" w:cs="Times New Roman"/>
          <w:sz w:val="28"/>
          <w:szCs w:val="28"/>
        </w:rPr>
        <w:t xml:space="preserve"> Инциденты имеют широкую классификацию, но </w:t>
      </w:r>
      <w:r w:rsidR="003577D1">
        <w:rPr>
          <w:rFonts w:ascii="Times New Roman" w:hAnsi="Times New Roman" w:cs="Times New Roman"/>
          <w:sz w:val="28"/>
          <w:szCs w:val="28"/>
        </w:rPr>
        <w:t>наиболее актуально выделять две их группы: п</w:t>
      </w:r>
      <w:r w:rsidR="00C64256">
        <w:rPr>
          <w:rFonts w:ascii="Times New Roman" w:hAnsi="Times New Roman" w:cs="Times New Roman"/>
          <w:sz w:val="28"/>
          <w:szCs w:val="28"/>
        </w:rPr>
        <w:t>реднамеренные</w:t>
      </w:r>
      <w:r w:rsidR="003577D1">
        <w:rPr>
          <w:rFonts w:ascii="Times New Roman" w:hAnsi="Times New Roman" w:cs="Times New Roman"/>
          <w:sz w:val="28"/>
          <w:szCs w:val="28"/>
        </w:rPr>
        <w:t>, включающие в себя весь набор</w:t>
      </w:r>
      <w:r w:rsidR="00C64256">
        <w:rPr>
          <w:rFonts w:ascii="Times New Roman" w:hAnsi="Times New Roman" w:cs="Times New Roman"/>
          <w:sz w:val="28"/>
          <w:szCs w:val="28"/>
        </w:rPr>
        <w:t xml:space="preserve"> </w:t>
      </w:r>
      <w:r w:rsidR="003577D1">
        <w:rPr>
          <w:rFonts w:ascii="Times New Roman" w:hAnsi="Times New Roman" w:cs="Times New Roman"/>
          <w:sz w:val="28"/>
          <w:szCs w:val="28"/>
        </w:rPr>
        <w:t>способов и методов создания угроз ИБ</w:t>
      </w:r>
      <w:r w:rsidR="0000761C">
        <w:rPr>
          <w:rFonts w:ascii="Times New Roman" w:hAnsi="Times New Roman" w:cs="Times New Roman"/>
          <w:sz w:val="28"/>
          <w:szCs w:val="28"/>
        </w:rPr>
        <w:t xml:space="preserve"> (фишинг, брутфорс, программы-вымогатели, черви, трояны и т.п.)</w:t>
      </w:r>
      <w:r w:rsidR="003577D1">
        <w:rPr>
          <w:rFonts w:ascii="Times New Roman" w:hAnsi="Times New Roman" w:cs="Times New Roman"/>
          <w:sz w:val="28"/>
          <w:szCs w:val="28"/>
        </w:rPr>
        <w:t xml:space="preserve">, </w:t>
      </w:r>
      <w:r w:rsidR="00C64256">
        <w:rPr>
          <w:rFonts w:ascii="Times New Roman" w:hAnsi="Times New Roman" w:cs="Times New Roman"/>
          <w:sz w:val="28"/>
          <w:szCs w:val="28"/>
        </w:rPr>
        <w:t>и случайные, вызванные ошибками пользователей, нелицензированным программным обеспечением и пр.</w:t>
      </w:r>
      <w:r w:rsidR="00D5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20364" w14:textId="2897A218" w:rsidR="006D58A2" w:rsidRDefault="00D53159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о</w:t>
      </w:r>
      <w:r w:rsidR="00942BAD">
        <w:rPr>
          <w:rFonts w:ascii="Times New Roman" w:hAnsi="Times New Roman" w:cs="Times New Roman"/>
          <w:sz w:val="28"/>
          <w:szCs w:val="28"/>
        </w:rPr>
        <w:t xml:space="preserve">ценку и анализ безопасности применения цифровых технологий весьма удобно представлять </w:t>
      </w:r>
      <w:r>
        <w:rPr>
          <w:rFonts w:ascii="Times New Roman" w:hAnsi="Times New Roman" w:cs="Times New Roman"/>
          <w:sz w:val="28"/>
          <w:szCs w:val="28"/>
        </w:rPr>
        <w:t>как изучение</w:t>
      </w:r>
      <w:r w:rsidR="00942BAD">
        <w:rPr>
          <w:rFonts w:ascii="Times New Roman" w:hAnsi="Times New Roman" w:cs="Times New Roman"/>
          <w:sz w:val="28"/>
          <w:szCs w:val="28"/>
        </w:rPr>
        <w:t xml:space="preserve"> звеньев некоторого процесса отслеживания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942BAD">
        <w:rPr>
          <w:rFonts w:ascii="Times New Roman" w:hAnsi="Times New Roman" w:cs="Times New Roman"/>
          <w:sz w:val="28"/>
          <w:szCs w:val="28"/>
        </w:rPr>
        <w:t xml:space="preserve"> инцидента</w:t>
      </w:r>
      <w:r>
        <w:rPr>
          <w:rFonts w:ascii="Times New Roman" w:hAnsi="Times New Roman" w:cs="Times New Roman"/>
          <w:sz w:val="28"/>
          <w:szCs w:val="28"/>
        </w:rPr>
        <w:t xml:space="preserve"> (субъект-мотив-объект-методы-последствия). Например, </w:t>
      </w:r>
      <w:r w:rsidR="00942BAD">
        <w:rPr>
          <w:rFonts w:ascii="Times New Roman" w:hAnsi="Times New Roman" w:cs="Times New Roman"/>
          <w:sz w:val="28"/>
          <w:szCs w:val="28"/>
        </w:rPr>
        <w:t xml:space="preserve">от его инициатора (злоумышленника) через мотив (хулиганство, мошенничество, терроризм) к объекту (информационный ресурс гражданина, корпорации, правительства) посредством всего спектра доступных методов и до </w:t>
      </w:r>
      <w:r w:rsidR="00162790">
        <w:rPr>
          <w:rFonts w:ascii="Times New Roman" w:hAnsi="Times New Roman" w:cs="Times New Roman"/>
          <w:sz w:val="28"/>
          <w:szCs w:val="28"/>
        </w:rPr>
        <w:t>результата</w:t>
      </w:r>
      <w:r w:rsidR="007624A9">
        <w:rPr>
          <w:rFonts w:ascii="Times New Roman" w:hAnsi="Times New Roman" w:cs="Times New Roman"/>
          <w:sz w:val="28"/>
          <w:szCs w:val="28"/>
        </w:rPr>
        <w:t xml:space="preserve"> в виде финансовых </w:t>
      </w:r>
      <w:r w:rsidR="00D92D5F">
        <w:rPr>
          <w:rFonts w:ascii="Times New Roman" w:hAnsi="Times New Roman" w:cs="Times New Roman"/>
          <w:sz w:val="28"/>
          <w:szCs w:val="28"/>
        </w:rPr>
        <w:t xml:space="preserve">и </w:t>
      </w:r>
      <w:r w:rsidR="007624A9">
        <w:rPr>
          <w:rFonts w:ascii="Times New Roman" w:hAnsi="Times New Roman" w:cs="Times New Roman"/>
          <w:sz w:val="28"/>
          <w:szCs w:val="28"/>
        </w:rPr>
        <w:t>репутационных потерь.</w:t>
      </w:r>
      <w:r w:rsidR="0071132A">
        <w:rPr>
          <w:rFonts w:ascii="Times New Roman" w:hAnsi="Times New Roman" w:cs="Times New Roman"/>
          <w:sz w:val="28"/>
          <w:szCs w:val="28"/>
        </w:rPr>
        <w:t xml:space="preserve"> При этом возможен и позитивный вариант такого процесса: например, субъект (инженер службы ИБ) – мотив (защита информационного ресурса) – объект (информационн</w:t>
      </w:r>
      <w:r w:rsidR="00D91C05">
        <w:rPr>
          <w:rFonts w:ascii="Times New Roman" w:hAnsi="Times New Roman" w:cs="Times New Roman"/>
          <w:sz w:val="28"/>
          <w:szCs w:val="28"/>
        </w:rPr>
        <w:t>ые</w:t>
      </w:r>
      <w:r w:rsidR="0071132A">
        <w:rPr>
          <w:rFonts w:ascii="Times New Roman" w:hAnsi="Times New Roman" w:cs="Times New Roman"/>
          <w:sz w:val="28"/>
          <w:szCs w:val="28"/>
        </w:rPr>
        <w:t xml:space="preserve"> системы и сети) – методы (</w:t>
      </w:r>
      <w:r w:rsidR="005668C8">
        <w:rPr>
          <w:rFonts w:ascii="Times New Roman" w:hAnsi="Times New Roman" w:cs="Times New Roman"/>
          <w:sz w:val="28"/>
          <w:szCs w:val="28"/>
        </w:rPr>
        <w:t>алгоритм действий со стороны службы ИБ</w:t>
      </w:r>
      <w:r w:rsidR="0071132A">
        <w:rPr>
          <w:rFonts w:ascii="Times New Roman" w:hAnsi="Times New Roman" w:cs="Times New Roman"/>
          <w:sz w:val="28"/>
          <w:szCs w:val="28"/>
        </w:rPr>
        <w:t>) – последствия (угроза конфиденциальности, целостности и доступности ресурса предотвращена).</w:t>
      </w:r>
    </w:p>
    <w:p w14:paraId="6C6FBC9A" w14:textId="38C5D227" w:rsidR="00942BAD" w:rsidRDefault="007252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ясно, что исчисление приведенных в перечне показателей, относящихся к мезо- (регион страны, вид экономической деятельности) и макро- (страна) уровням, требует проведения специальных выборочных обследований и на практике трудно реализуемо в связи с массой ожидаемых проблем в решении программно-методологических и организационных вопросов.</w:t>
      </w:r>
    </w:p>
    <w:p w14:paraId="5DA6E2C5" w14:textId="66568E9C" w:rsidR="00942BAD" w:rsidRDefault="00942BA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0C3C11F8" w:rsidR="00952A7C" w:rsidRPr="003F4306" w:rsidRDefault="0078450E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данных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 xml:space="preserve">опроса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готовности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>компаний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 к киберугрозам</w:t>
      </w:r>
    </w:p>
    <w:p w14:paraId="5DFC07B6" w14:textId="0CBE2559" w:rsidR="000E4B4D" w:rsidRDefault="007C75F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поисках данных для анализа не обязательно проводить обследование</w:t>
      </w:r>
      <w:r w:rsidR="00EC29D5">
        <w:rPr>
          <w:rFonts w:ascii="Times New Roman" w:hAnsi="Times New Roman" w:cs="Times New Roman"/>
          <w:sz w:val="28"/>
          <w:szCs w:val="28"/>
        </w:rPr>
        <w:t xml:space="preserve"> самому</w:t>
      </w:r>
      <w:r w:rsidR="00AF6B1D">
        <w:rPr>
          <w:rFonts w:ascii="Times New Roman" w:hAnsi="Times New Roman" w:cs="Times New Roman"/>
          <w:sz w:val="28"/>
          <w:szCs w:val="28"/>
        </w:rPr>
        <w:t>:</w:t>
      </w:r>
      <w:r w:rsidR="00FF2A07">
        <w:rPr>
          <w:rFonts w:ascii="Times New Roman" w:hAnsi="Times New Roman" w:cs="Times New Roman"/>
          <w:sz w:val="28"/>
          <w:szCs w:val="28"/>
        </w:rPr>
        <w:t xml:space="preserve"> </w:t>
      </w:r>
      <w:r w:rsidR="00AF6B1D">
        <w:rPr>
          <w:rFonts w:ascii="Times New Roman" w:hAnsi="Times New Roman" w:cs="Times New Roman"/>
          <w:sz w:val="28"/>
          <w:szCs w:val="28"/>
        </w:rPr>
        <w:t>м</w:t>
      </w:r>
      <w:r w:rsidR="00FF2A07">
        <w:rPr>
          <w:rFonts w:ascii="Times New Roman" w:hAnsi="Times New Roman" w:cs="Times New Roman"/>
          <w:sz w:val="28"/>
          <w:szCs w:val="28"/>
        </w:rPr>
        <w:t xml:space="preserve">ожно обратиться к открытым источникам, </w:t>
      </w:r>
      <w:r w:rsidR="00BE74FF">
        <w:rPr>
          <w:rFonts w:ascii="Times New Roman" w:hAnsi="Times New Roman" w:cs="Times New Roman"/>
          <w:sz w:val="28"/>
          <w:szCs w:val="28"/>
        </w:rPr>
        <w:t xml:space="preserve">наиболее известным из которых является </w:t>
      </w:r>
      <w:r w:rsidR="005F33B8">
        <w:rPr>
          <w:rFonts w:ascii="Times New Roman" w:hAnsi="Times New Roman" w:cs="Times New Roman"/>
          <w:sz w:val="28"/>
          <w:szCs w:val="28"/>
        </w:rPr>
        <w:t>веб-платформ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5F33B8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–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созданн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в 2010 году и действующ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под характерным лозунгом «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F2A07">
        <w:rPr>
          <w:rFonts w:ascii="Times New Roman" w:hAnsi="Times New Roman" w:cs="Times New Roman"/>
          <w:sz w:val="28"/>
          <w:szCs w:val="28"/>
        </w:rPr>
        <w:t xml:space="preserve">» </w:t>
      </w:r>
      <w:bookmarkStart w:id="9" w:name="_Hlk124399519"/>
      <w:r w:rsidR="00FF2A07">
        <w:rPr>
          <w:rFonts w:ascii="Times New Roman" w:hAnsi="Times New Roman" w:cs="Times New Roman"/>
          <w:sz w:val="28"/>
          <w:szCs w:val="28"/>
        </w:rPr>
        <w:t>систем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FF2A07">
        <w:rPr>
          <w:rFonts w:ascii="Times New Roman" w:hAnsi="Times New Roman" w:cs="Times New Roman"/>
          <w:sz w:val="28"/>
          <w:szCs w:val="28"/>
        </w:rPr>
        <w:t xml:space="preserve"> организации конкурсов по исследованию данных: здесь пользователи и организации могут публиковать наборы данных, исследовать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их </w:t>
      </w:r>
      <w:r w:rsidR="00FF2A07">
        <w:rPr>
          <w:rFonts w:ascii="Times New Roman" w:hAnsi="Times New Roman" w:cs="Times New Roman"/>
          <w:sz w:val="28"/>
          <w:szCs w:val="28"/>
        </w:rPr>
        <w:t xml:space="preserve">и создавать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предсказательные </w:t>
      </w:r>
      <w:r w:rsidR="00FF2A07">
        <w:rPr>
          <w:rFonts w:ascii="Times New Roman" w:hAnsi="Times New Roman" w:cs="Times New Roman"/>
          <w:sz w:val="28"/>
          <w:szCs w:val="28"/>
        </w:rPr>
        <w:t>модели</w:t>
      </w:r>
      <w:bookmarkEnd w:id="9"/>
      <w:r w:rsidR="00FF2A07">
        <w:rPr>
          <w:rFonts w:ascii="Times New Roman" w:hAnsi="Times New Roman" w:cs="Times New Roman"/>
          <w:sz w:val="28"/>
          <w:szCs w:val="28"/>
        </w:rPr>
        <w:t>.</w:t>
      </w:r>
      <w:r w:rsidR="00FA5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A92AD" w14:textId="4DEB4467" w:rsidR="005C1CCE" w:rsidRDefault="0053712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работы и с целью проведения анализа взаимосвязи между безопасностью применения цифровых технологий и ее социально-экономическими эффектами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37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обнаружен набор данных, полученных по </w:t>
      </w:r>
      <w:r w:rsidR="00FA5933">
        <w:rPr>
          <w:rFonts w:ascii="Times New Roman" w:hAnsi="Times New Roman" w:cs="Times New Roman"/>
          <w:sz w:val="28"/>
          <w:szCs w:val="28"/>
        </w:rPr>
        <w:t>результа</w:t>
      </w:r>
      <w:r w:rsidR="008E01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A5933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A5933" w:rsidRPr="00FA5933">
        <w:rPr>
          <w:rFonts w:ascii="Times New Roman" w:hAnsi="Times New Roman" w:cs="Times New Roman"/>
          <w:sz w:val="28"/>
          <w:szCs w:val="28"/>
        </w:rPr>
        <w:t>[</w:t>
      </w:r>
      <w:r w:rsidR="00CB725B" w:rsidRPr="00CB725B">
        <w:rPr>
          <w:rFonts w:ascii="Times New Roman" w:hAnsi="Times New Roman" w:cs="Times New Roman"/>
          <w:sz w:val="28"/>
          <w:szCs w:val="28"/>
        </w:rPr>
        <w:t>1</w:t>
      </w:r>
      <w:r w:rsidR="00E457A5">
        <w:rPr>
          <w:rFonts w:ascii="Times New Roman" w:hAnsi="Times New Roman" w:cs="Times New Roman"/>
          <w:sz w:val="28"/>
          <w:szCs w:val="28"/>
        </w:rPr>
        <w:t>5</w:t>
      </w:r>
      <w:r w:rsidR="00FA5933" w:rsidRPr="00FA5933">
        <w:rPr>
          <w:rFonts w:ascii="Times New Roman" w:hAnsi="Times New Roman" w:cs="Times New Roman"/>
          <w:sz w:val="28"/>
          <w:szCs w:val="28"/>
        </w:rPr>
        <w:t>]</w:t>
      </w:r>
      <w:r w:rsidR="00FA5933">
        <w:rPr>
          <w:rFonts w:ascii="Times New Roman" w:hAnsi="Times New Roman" w:cs="Times New Roman"/>
          <w:sz w:val="28"/>
          <w:szCs w:val="28"/>
        </w:rPr>
        <w:t xml:space="preserve"> «Готовность российских компаний к киберугрозам.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Cyber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readiness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2018-2020</w:t>
      </w:r>
      <w:r w:rsidR="00FA5933">
        <w:rPr>
          <w:rFonts w:ascii="Times New Roman" w:hAnsi="Times New Roman" w:cs="Times New Roman"/>
          <w:sz w:val="28"/>
          <w:szCs w:val="28"/>
        </w:rPr>
        <w:t>».</w:t>
      </w:r>
      <w:r w:rsidR="008E0108">
        <w:rPr>
          <w:rFonts w:ascii="Times New Roman" w:hAnsi="Times New Roman" w:cs="Times New Roman"/>
          <w:sz w:val="28"/>
          <w:szCs w:val="28"/>
        </w:rPr>
        <w:t xml:space="preserve"> </w:t>
      </w:r>
      <w:r w:rsidR="003B6312" w:rsidRPr="003B6312">
        <w:rPr>
          <w:rFonts w:ascii="Times New Roman" w:hAnsi="Times New Roman" w:cs="Times New Roman"/>
          <w:sz w:val="28"/>
          <w:szCs w:val="28"/>
        </w:rPr>
        <w:t>Данные</w:t>
      </w:r>
      <w:r w:rsidR="008E0108">
        <w:rPr>
          <w:rFonts w:ascii="Times New Roman" w:hAnsi="Times New Roman" w:cs="Times New Roman"/>
          <w:sz w:val="28"/>
          <w:szCs w:val="28"/>
        </w:rPr>
        <w:t>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E0108">
        <w:rPr>
          <w:rFonts w:ascii="Times New Roman" w:hAnsi="Times New Roman" w:cs="Times New Roman"/>
          <w:sz w:val="28"/>
          <w:szCs w:val="28"/>
        </w:rPr>
        <w:t>н</w:t>
      </w:r>
      <w:r w:rsidR="003B6312" w:rsidRPr="003B6312">
        <w:rPr>
          <w:rFonts w:ascii="Times New Roman" w:hAnsi="Times New Roman" w:cs="Times New Roman"/>
          <w:sz w:val="28"/>
          <w:szCs w:val="28"/>
        </w:rPr>
        <w:t>ы</w:t>
      </w:r>
      <w:r w:rsidR="008E0108">
        <w:rPr>
          <w:rFonts w:ascii="Times New Roman" w:hAnsi="Times New Roman" w:cs="Times New Roman"/>
          <w:sz w:val="28"/>
          <w:szCs w:val="28"/>
        </w:rPr>
        <w:t>е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в </w:t>
      </w:r>
      <w:r w:rsidR="008E0108">
        <w:rPr>
          <w:rFonts w:ascii="Times New Roman" w:hAnsi="Times New Roman" w:cs="Times New Roman"/>
          <w:sz w:val="28"/>
          <w:szCs w:val="28"/>
        </w:rPr>
        <w:t xml:space="preserve">панельном </w:t>
      </w:r>
      <w:r w:rsidR="003B6312" w:rsidRPr="003B6312">
        <w:rPr>
          <w:rFonts w:ascii="Times New Roman" w:hAnsi="Times New Roman" w:cs="Times New Roman"/>
          <w:sz w:val="28"/>
          <w:szCs w:val="28"/>
        </w:rPr>
        <w:t>виде</w:t>
      </w:r>
      <w:r w:rsidR="008E0108">
        <w:rPr>
          <w:rFonts w:ascii="Times New Roman" w:hAnsi="Times New Roman" w:cs="Times New Roman"/>
          <w:sz w:val="28"/>
          <w:szCs w:val="28"/>
        </w:rPr>
        <w:t>, включают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1146 наблюдений за 3 года с 2018 по 2020 гг. для 382 российских компаний</w:t>
      </w:r>
      <w:r w:rsidR="008E0108">
        <w:rPr>
          <w:rFonts w:ascii="Times New Roman" w:hAnsi="Times New Roman" w:cs="Times New Roman"/>
          <w:sz w:val="28"/>
          <w:szCs w:val="28"/>
        </w:rPr>
        <w:t xml:space="preserve"> различных видов деятельности (информационные технологии и телекоммуникации,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финанс</w:t>
      </w:r>
      <w:r w:rsidR="008E0108">
        <w:rPr>
          <w:rFonts w:ascii="Times New Roman" w:hAnsi="Times New Roman" w:cs="Times New Roman"/>
          <w:sz w:val="28"/>
          <w:szCs w:val="28"/>
        </w:rPr>
        <w:t>ы</w:t>
      </w:r>
      <w:r w:rsidR="003B6312" w:rsidRPr="003B6312">
        <w:rPr>
          <w:rFonts w:ascii="Times New Roman" w:hAnsi="Times New Roman" w:cs="Times New Roman"/>
          <w:sz w:val="28"/>
          <w:szCs w:val="28"/>
        </w:rPr>
        <w:t>, строительств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производств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энергетик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>, медицин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и др.</w:t>
      </w:r>
      <w:r w:rsidR="008E0108">
        <w:rPr>
          <w:rFonts w:ascii="Times New Roman" w:hAnsi="Times New Roman" w:cs="Times New Roman"/>
          <w:sz w:val="28"/>
          <w:szCs w:val="28"/>
        </w:rPr>
        <w:t>).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 xml:space="preserve">Этот массив характеризуется как финансовыми показателями (среди которых, например, показатель собственного капитала </w:t>
      </w:r>
      <w:r w:rsidR="005C1CCE" w:rsidRPr="0013244A">
        <w:rPr>
          <w:rFonts w:ascii="Times New Roman" w:hAnsi="Times New Roman" w:cs="Times New Roman"/>
          <w:sz w:val="28"/>
          <w:szCs w:val="28"/>
        </w:rPr>
        <w:t>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ROE</w:t>
      </w:r>
      <w:r w:rsidR="005C1CCE" w:rsidRPr="0013244A">
        <w:rPr>
          <w:rFonts w:ascii="Times New Roman" w:hAnsi="Times New Roman" w:cs="Times New Roman"/>
          <w:sz w:val="28"/>
          <w:szCs w:val="28"/>
        </w:rPr>
        <w:t>)</w:t>
      </w:r>
      <w:r w:rsidR="005C1CCE">
        <w:rPr>
          <w:rFonts w:ascii="Times New Roman" w:hAnsi="Times New Roman" w:cs="Times New Roman"/>
          <w:sz w:val="28"/>
          <w:szCs w:val="28"/>
        </w:rPr>
        <w:t>, известный</w:t>
      </w:r>
      <w:r w:rsidR="005C1CCE" w:rsidRPr="0013244A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>по модели Дюпон 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DuPont</w:t>
      </w:r>
      <w:r w:rsidR="005C1CCE" w:rsidRPr="00EA6CD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C1CCE">
        <w:rPr>
          <w:rFonts w:ascii="Times New Roman" w:hAnsi="Times New Roman" w:cs="Times New Roman"/>
          <w:sz w:val="28"/>
          <w:szCs w:val="28"/>
        </w:rPr>
        <w:t xml:space="preserve">)), </w:t>
      </w:r>
      <w:r w:rsidR="00C914F7">
        <w:rPr>
          <w:rFonts w:ascii="Times New Roman" w:hAnsi="Times New Roman" w:cs="Times New Roman"/>
          <w:sz w:val="28"/>
          <w:szCs w:val="28"/>
        </w:rPr>
        <w:t>так и</w:t>
      </w:r>
      <w:r w:rsidR="005C1CCE">
        <w:rPr>
          <w:rFonts w:ascii="Times New Roman" w:hAnsi="Times New Roman" w:cs="Times New Roman"/>
          <w:sz w:val="28"/>
          <w:szCs w:val="28"/>
        </w:rPr>
        <w:t xml:space="preserve"> </w:t>
      </w:r>
      <w:r w:rsidR="00C45130">
        <w:rPr>
          <w:rFonts w:ascii="Times New Roman" w:hAnsi="Times New Roman" w:cs="Times New Roman"/>
          <w:sz w:val="28"/>
          <w:szCs w:val="28"/>
        </w:rPr>
        <w:t>результатами экспертных оценок готовности компаний к киберугрозам.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0A7E6" w14:textId="1A3CA650" w:rsidR="00F14425" w:rsidRDefault="004B7805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316667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F136A2">
        <w:rPr>
          <w:rFonts w:ascii="Times New Roman" w:hAnsi="Times New Roman" w:cs="Times New Roman"/>
          <w:sz w:val="28"/>
          <w:szCs w:val="28"/>
        </w:rPr>
        <w:t xml:space="preserve">из исходного пула индикаторов </w:t>
      </w:r>
      <w:r w:rsidR="00316667">
        <w:rPr>
          <w:rFonts w:ascii="Times New Roman" w:hAnsi="Times New Roman" w:cs="Times New Roman"/>
          <w:sz w:val="28"/>
          <w:szCs w:val="28"/>
        </w:rPr>
        <w:t>был отобран ряд показателей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их характеристики представлены в </w:t>
      </w:r>
      <w:r w:rsidR="0083359C">
        <w:rPr>
          <w:rFonts w:ascii="Times New Roman" w:hAnsi="Times New Roman" w:cs="Times New Roman"/>
          <w:sz w:val="28"/>
          <w:szCs w:val="28"/>
        </w:rPr>
        <w:t>т</w:t>
      </w:r>
      <w:r w:rsidR="0031666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16667">
        <w:rPr>
          <w:rFonts w:ascii="Times New Roman" w:hAnsi="Times New Roman" w:cs="Times New Roman"/>
          <w:sz w:val="28"/>
          <w:szCs w:val="28"/>
        </w:rPr>
        <w:t xml:space="preserve"> 6</w:t>
      </w:r>
      <w:r w:rsidR="00F136A2">
        <w:rPr>
          <w:rFonts w:ascii="Times New Roman" w:hAnsi="Times New Roman" w:cs="Times New Roman"/>
          <w:sz w:val="28"/>
          <w:szCs w:val="28"/>
        </w:rPr>
        <w:t>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 xml:space="preserve">Во избежание </w:t>
      </w:r>
      <w:r w:rsidR="00E6702E">
        <w:rPr>
          <w:rFonts w:ascii="Times New Roman" w:hAnsi="Times New Roman" w:cs="Times New Roman"/>
          <w:sz w:val="28"/>
          <w:szCs w:val="28"/>
        </w:rPr>
        <w:t>разночтений</w:t>
      </w:r>
      <w:r w:rsidR="00DF7318">
        <w:rPr>
          <w:rFonts w:ascii="Times New Roman" w:hAnsi="Times New Roman" w:cs="Times New Roman"/>
          <w:sz w:val="28"/>
          <w:szCs w:val="28"/>
        </w:rPr>
        <w:t xml:space="preserve"> и, что, несомненно, </w:t>
      </w:r>
      <w:r w:rsidR="008A32EC">
        <w:rPr>
          <w:rFonts w:ascii="Times New Roman" w:hAnsi="Times New Roman" w:cs="Times New Roman"/>
          <w:sz w:val="28"/>
          <w:szCs w:val="28"/>
        </w:rPr>
        <w:t xml:space="preserve">окажет </w:t>
      </w:r>
      <w:r w:rsidR="00DF7318">
        <w:rPr>
          <w:rFonts w:ascii="Times New Roman" w:hAnsi="Times New Roman" w:cs="Times New Roman"/>
          <w:sz w:val="28"/>
          <w:szCs w:val="28"/>
        </w:rPr>
        <w:t>влия</w:t>
      </w:r>
      <w:r w:rsidR="008A32EC">
        <w:rPr>
          <w:rFonts w:ascii="Times New Roman" w:hAnsi="Times New Roman" w:cs="Times New Roman"/>
          <w:sz w:val="28"/>
          <w:szCs w:val="28"/>
        </w:rPr>
        <w:t>ние</w:t>
      </w:r>
      <w:r w:rsidR="00DF7318">
        <w:rPr>
          <w:rFonts w:ascii="Times New Roman" w:hAnsi="Times New Roman" w:cs="Times New Roman"/>
          <w:sz w:val="28"/>
          <w:szCs w:val="28"/>
        </w:rPr>
        <w:t xml:space="preserve"> на особенности моделирования, </w:t>
      </w:r>
      <w:r w:rsidR="00B94B6D">
        <w:rPr>
          <w:rFonts w:ascii="Times New Roman" w:hAnsi="Times New Roman" w:cs="Times New Roman"/>
          <w:sz w:val="28"/>
          <w:szCs w:val="28"/>
        </w:rPr>
        <w:t>т</w:t>
      </w:r>
      <w:r w:rsidR="00F14425">
        <w:rPr>
          <w:rFonts w:ascii="Times New Roman" w:hAnsi="Times New Roman" w:cs="Times New Roman"/>
          <w:sz w:val="28"/>
          <w:szCs w:val="28"/>
        </w:rPr>
        <w:t xml:space="preserve">ипы </w:t>
      </w:r>
      <w:r w:rsidR="00DF7318">
        <w:rPr>
          <w:rFonts w:ascii="Times New Roman" w:hAnsi="Times New Roman" w:cs="Times New Roman"/>
          <w:sz w:val="28"/>
          <w:szCs w:val="28"/>
        </w:rPr>
        <w:t xml:space="preserve">этих </w:t>
      </w:r>
      <w:r w:rsidR="00DA0121">
        <w:rPr>
          <w:rFonts w:ascii="Times New Roman" w:hAnsi="Times New Roman" w:cs="Times New Roman"/>
          <w:sz w:val="28"/>
          <w:szCs w:val="28"/>
        </w:rPr>
        <w:t>величин</w:t>
      </w:r>
      <w:r w:rsidR="00B94B6D">
        <w:rPr>
          <w:rFonts w:ascii="Times New Roman" w:hAnsi="Times New Roman" w:cs="Times New Roman"/>
          <w:sz w:val="28"/>
          <w:szCs w:val="28"/>
        </w:rPr>
        <w:t xml:space="preserve"> определялись </w:t>
      </w:r>
      <w:r w:rsidR="00DF7318">
        <w:rPr>
          <w:rFonts w:ascii="Times New Roman" w:hAnsi="Times New Roman" w:cs="Times New Roman"/>
          <w:sz w:val="28"/>
          <w:szCs w:val="28"/>
        </w:rPr>
        <w:t>на основе</w:t>
      </w:r>
      <w:r w:rsidR="00B94B6D">
        <w:rPr>
          <w:rFonts w:ascii="Times New Roman" w:hAnsi="Times New Roman" w:cs="Times New Roman"/>
          <w:sz w:val="28"/>
          <w:szCs w:val="28"/>
        </w:rPr>
        <w:t xml:space="preserve"> следующей классификации</w:t>
      </w:r>
      <w:r w:rsidR="00F14425">
        <w:rPr>
          <w:rFonts w:ascii="Times New Roman" w:hAnsi="Times New Roman" w:cs="Times New Roman"/>
          <w:sz w:val="28"/>
          <w:szCs w:val="28"/>
        </w:rPr>
        <w:t>: числов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>(</w:t>
      </w:r>
      <w:r w:rsidR="00F14425">
        <w:rPr>
          <w:rFonts w:ascii="Times New Roman" w:hAnsi="Times New Roman" w:cs="Times New Roman"/>
          <w:sz w:val="28"/>
          <w:szCs w:val="28"/>
        </w:rPr>
        <w:t>непрерывные и дискретные</w:t>
      </w:r>
      <w:r w:rsidR="00B94B6D">
        <w:rPr>
          <w:rFonts w:ascii="Times New Roman" w:hAnsi="Times New Roman" w:cs="Times New Roman"/>
          <w:sz w:val="28"/>
          <w:szCs w:val="28"/>
        </w:rPr>
        <w:t>)</w:t>
      </w:r>
      <w:r w:rsidR="00F14425">
        <w:rPr>
          <w:rFonts w:ascii="Times New Roman" w:hAnsi="Times New Roman" w:cs="Times New Roman"/>
          <w:sz w:val="28"/>
          <w:szCs w:val="28"/>
        </w:rPr>
        <w:t xml:space="preserve"> и категориальн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(номинальны</w:t>
      </w:r>
      <w:r w:rsidR="00DF7318">
        <w:rPr>
          <w:rFonts w:ascii="Times New Roman" w:hAnsi="Times New Roman" w:cs="Times New Roman"/>
          <w:sz w:val="28"/>
          <w:szCs w:val="28"/>
        </w:rPr>
        <w:t>е, т.е. неупорядоченные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и</w:t>
      </w:r>
      <w:r w:rsidR="00DF7318">
        <w:rPr>
          <w:rFonts w:ascii="Times New Roman" w:hAnsi="Times New Roman" w:cs="Times New Roman"/>
          <w:sz w:val="28"/>
          <w:szCs w:val="28"/>
        </w:rPr>
        <w:t>, собственно,</w:t>
      </w:r>
      <w:r w:rsidR="00F14425">
        <w:rPr>
          <w:rFonts w:ascii="Times New Roman" w:hAnsi="Times New Roman" w:cs="Times New Roman"/>
          <w:sz w:val="28"/>
          <w:szCs w:val="28"/>
        </w:rPr>
        <w:t xml:space="preserve"> порядковы</w:t>
      </w:r>
      <w:r w:rsidR="00DF7318">
        <w:rPr>
          <w:rFonts w:ascii="Times New Roman" w:hAnsi="Times New Roman" w:cs="Times New Roman"/>
          <w:sz w:val="28"/>
          <w:szCs w:val="28"/>
        </w:rPr>
        <w:t>е или ординальные</w:t>
      </w:r>
      <w:r w:rsidR="00F14425">
        <w:rPr>
          <w:rFonts w:ascii="Times New Roman" w:hAnsi="Times New Roman" w:cs="Times New Roman"/>
          <w:sz w:val="28"/>
          <w:szCs w:val="28"/>
        </w:rPr>
        <w:t>)</w:t>
      </w:r>
      <w:r w:rsidR="00B94B6D">
        <w:rPr>
          <w:rFonts w:ascii="Times New Roman" w:hAnsi="Times New Roman" w:cs="Times New Roman"/>
          <w:sz w:val="28"/>
          <w:szCs w:val="28"/>
        </w:rPr>
        <w:t>.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112037">
        <w:rPr>
          <w:rFonts w:ascii="Times New Roman" w:hAnsi="Times New Roman" w:cs="Times New Roman"/>
          <w:sz w:val="28"/>
          <w:szCs w:val="28"/>
        </w:rPr>
        <w:t xml:space="preserve">Наряду с этим, в соответствии с целью анализа, </w:t>
      </w:r>
      <w:r w:rsidR="007A0C78">
        <w:rPr>
          <w:rFonts w:ascii="Times New Roman" w:hAnsi="Times New Roman" w:cs="Times New Roman"/>
          <w:sz w:val="28"/>
          <w:szCs w:val="28"/>
        </w:rPr>
        <w:t xml:space="preserve">отобранные </w:t>
      </w:r>
      <w:r w:rsidR="00112037">
        <w:rPr>
          <w:rFonts w:ascii="Times New Roman" w:hAnsi="Times New Roman" w:cs="Times New Roman"/>
          <w:sz w:val="28"/>
          <w:szCs w:val="28"/>
        </w:rPr>
        <w:t>показатели в зависимости от сво</w:t>
      </w:r>
      <w:r w:rsidR="007A0C78">
        <w:rPr>
          <w:rFonts w:ascii="Times New Roman" w:hAnsi="Times New Roman" w:cs="Times New Roman"/>
          <w:sz w:val="28"/>
          <w:szCs w:val="28"/>
        </w:rPr>
        <w:t>е</w:t>
      </w:r>
      <w:r w:rsidR="00112037">
        <w:rPr>
          <w:rFonts w:ascii="Times New Roman" w:hAnsi="Times New Roman" w:cs="Times New Roman"/>
          <w:sz w:val="28"/>
          <w:szCs w:val="28"/>
        </w:rPr>
        <w:t>й роли были поделены на факторные и результативные.</w:t>
      </w:r>
    </w:p>
    <w:p w14:paraId="1F49F117" w14:textId="77777777" w:rsidR="007C3FA0" w:rsidRDefault="007C3FA0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8CE0E" w14:textId="2365582E" w:rsidR="00335E1A" w:rsidRPr="00335E1A" w:rsidRDefault="00335E1A" w:rsidP="00335E1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35E1A">
        <w:rPr>
          <w:rFonts w:ascii="Times New Roman" w:hAnsi="Times New Roman" w:cs="Times New Roman"/>
          <w:sz w:val="24"/>
          <w:szCs w:val="24"/>
        </w:rPr>
        <w:t>6</w:t>
      </w:r>
    </w:p>
    <w:p w14:paraId="76C85D1F" w14:textId="323DBB19" w:rsidR="00335E1A" w:rsidRPr="00EC57D6" w:rsidRDefault="00547EDB" w:rsidP="00335E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Набор п</w:t>
      </w:r>
      <w:r w:rsidR="00335E1A">
        <w:rPr>
          <w:rFonts w:ascii="Times New Roman" w:hAnsi="Times New Roman" w:cs="Times New Roman"/>
          <w:b/>
          <w:bCs/>
          <w:sz w:val="24"/>
          <w:szCs w:val="24"/>
        </w:rPr>
        <w:t>оказател</w:t>
      </w:r>
      <w:r>
        <w:rPr>
          <w:rFonts w:ascii="Times New Roman" w:hAnsi="Times New Roman" w:cs="Times New Roman"/>
          <w:b/>
          <w:bCs/>
          <w:sz w:val="24"/>
          <w:szCs w:val="24"/>
        </w:rPr>
        <w:t>ей результатов исследования готовности российских компаний к киберугрозам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1443"/>
        <w:gridCol w:w="1203"/>
        <w:gridCol w:w="1628"/>
        <w:gridCol w:w="5360"/>
      </w:tblGrid>
      <w:tr w:rsidR="003627CF" w:rsidRPr="00335E1A" w14:paraId="0298F3A6" w14:textId="77777777" w:rsidTr="00963B1A">
        <w:trPr>
          <w:trHeight w:val="428"/>
          <w:jc w:val="center"/>
        </w:trPr>
        <w:tc>
          <w:tcPr>
            <w:tcW w:w="987" w:type="dxa"/>
            <w:vAlign w:val="center"/>
          </w:tcPr>
          <w:p w14:paraId="7FA95968" w14:textId="567EAC7B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203" w:type="dxa"/>
            <w:vAlign w:val="center"/>
          </w:tcPr>
          <w:p w14:paraId="1ED7E165" w14:textId="526067B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1127" w:type="dxa"/>
            <w:vAlign w:val="center"/>
          </w:tcPr>
          <w:p w14:paraId="5AEEA7D9" w14:textId="0E6AABE4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 w:rsidRPr="00335E1A">
              <w:rPr>
                <w:sz w:val="24"/>
                <w:szCs w:val="24"/>
              </w:rPr>
              <w:t>Тип</w:t>
            </w:r>
          </w:p>
        </w:tc>
        <w:tc>
          <w:tcPr>
            <w:tcW w:w="6317" w:type="dxa"/>
            <w:vAlign w:val="center"/>
          </w:tcPr>
          <w:p w14:paraId="10AA069A" w14:textId="26157CC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3627CF" w:rsidRPr="00335E1A" w14:paraId="77588B69" w14:textId="77777777" w:rsidTr="003627CF">
        <w:trPr>
          <w:jc w:val="center"/>
        </w:trPr>
        <w:tc>
          <w:tcPr>
            <w:tcW w:w="987" w:type="dxa"/>
            <w:vAlign w:val="center"/>
          </w:tcPr>
          <w:p w14:paraId="40C7E9FE" w14:textId="5A768BA3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ROE</w:t>
            </w:r>
          </w:p>
        </w:tc>
        <w:tc>
          <w:tcPr>
            <w:tcW w:w="1203" w:type="dxa"/>
            <w:vAlign w:val="center"/>
          </w:tcPr>
          <w:p w14:paraId="50688214" w14:textId="32A52210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4530AB6" w14:textId="1D8F15B6" w:rsidR="00335E1A" w:rsidRPr="003627CF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10CED2F8" w14:textId="4E916F1E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собственного капитала</w:t>
            </w:r>
            <w:r w:rsidR="001B5A29">
              <w:rPr>
                <w:i/>
                <w:iCs/>
                <w:sz w:val="24"/>
                <w:szCs w:val="24"/>
              </w:rPr>
              <w:t xml:space="preserve"> компании</w:t>
            </w:r>
          </w:p>
        </w:tc>
      </w:tr>
      <w:tr w:rsidR="003627CF" w:rsidRPr="00335E1A" w14:paraId="5C9FF72F" w14:textId="77777777" w:rsidTr="001B5A29">
        <w:trPr>
          <w:trHeight w:val="401"/>
          <w:jc w:val="center"/>
        </w:trPr>
        <w:tc>
          <w:tcPr>
            <w:tcW w:w="987" w:type="dxa"/>
            <w:vAlign w:val="center"/>
          </w:tcPr>
          <w:p w14:paraId="1AE9338F" w14:textId="7A6AC0EE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ROA</w:t>
            </w:r>
          </w:p>
        </w:tc>
        <w:tc>
          <w:tcPr>
            <w:tcW w:w="1203" w:type="dxa"/>
            <w:vAlign w:val="center"/>
          </w:tcPr>
          <w:p w14:paraId="7F6BA486" w14:textId="3EE26C4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F93B5FE" w14:textId="34C7B298" w:rsidR="00335E1A" w:rsidRPr="00335E1A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40B9C14B" w14:textId="3B58E6E7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 xml:space="preserve">Показатель рентабельности активов </w:t>
            </w:r>
            <w:r w:rsidR="001B5A29">
              <w:rPr>
                <w:i/>
                <w:iCs/>
                <w:sz w:val="24"/>
                <w:szCs w:val="24"/>
              </w:rPr>
              <w:t>компании</w:t>
            </w:r>
          </w:p>
        </w:tc>
      </w:tr>
      <w:tr w:rsidR="003627CF" w:rsidRPr="00335E1A" w14:paraId="5B127928" w14:textId="77777777" w:rsidTr="003627CF">
        <w:trPr>
          <w:jc w:val="center"/>
        </w:trPr>
        <w:tc>
          <w:tcPr>
            <w:tcW w:w="987" w:type="dxa"/>
            <w:vAlign w:val="center"/>
          </w:tcPr>
          <w:p w14:paraId="7FDAB198" w14:textId="5E06BAAF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</w:t>
            </w:r>
          </w:p>
        </w:tc>
        <w:tc>
          <w:tcPr>
            <w:tcW w:w="1203" w:type="dxa"/>
            <w:vAlign w:val="center"/>
          </w:tcPr>
          <w:p w14:paraId="03DC072A" w14:textId="3E2B79FF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2B0B7BF3" w14:textId="1E285D6E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</w:t>
            </w:r>
          </w:p>
        </w:tc>
        <w:tc>
          <w:tcPr>
            <w:tcW w:w="6317" w:type="dxa"/>
            <w:vAlign w:val="center"/>
          </w:tcPr>
          <w:p w14:paraId="729EDAC3" w14:textId="18AA62C6" w:rsidR="00335E1A" w:rsidRPr="00335E1A" w:rsidRDefault="001C3FBA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принадлежности компании к определенному виду экономической деятельности</w:t>
            </w:r>
            <w:r w:rsidR="00AF5112"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F51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ринимает значения от 1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IT</w:t>
            </w:r>
            <w:r w:rsidRPr="001C3F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Телеком компании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7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Другие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627CF" w:rsidRPr="00335E1A" w14:paraId="4A65E576" w14:textId="77777777" w:rsidTr="003627CF">
        <w:trPr>
          <w:jc w:val="center"/>
        </w:trPr>
        <w:tc>
          <w:tcPr>
            <w:tcW w:w="987" w:type="dxa"/>
            <w:vAlign w:val="center"/>
          </w:tcPr>
          <w:p w14:paraId="6EBEDB28" w14:textId="38A9106C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INFR</w:t>
            </w:r>
          </w:p>
        </w:tc>
        <w:tc>
          <w:tcPr>
            <w:tcW w:w="1203" w:type="dxa"/>
            <w:vAlign w:val="center"/>
          </w:tcPr>
          <w:p w14:paraId="2AEA6F64" w14:textId="41859F5A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EC00B7E" w14:textId="741320F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13BCBB49" w14:textId="1D786744" w:rsidR="00AF5112" w:rsidRDefault="00BA6125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уровня готовности организации к киберугрозам с точки зрения инфраструктуры</w:t>
            </w:r>
            <w:r>
              <w:rPr>
                <w:sz w:val="24"/>
                <w:szCs w:val="24"/>
              </w:rPr>
              <w:t xml:space="preserve">. </w:t>
            </w:r>
          </w:p>
          <w:p w14:paraId="2885DB82" w14:textId="6AA33F35" w:rsidR="00335E1A" w:rsidRPr="00335E1A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полученные на основе экспертных оценок значения от 1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низкий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5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высокий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</w:tr>
      <w:tr w:rsidR="003627CF" w:rsidRPr="00335E1A" w14:paraId="697C212C" w14:textId="77777777" w:rsidTr="003627CF">
        <w:trPr>
          <w:jc w:val="center"/>
        </w:trPr>
        <w:tc>
          <w:tcPr>
            <w:tcW w:w="987" w:type="dxa"/>
            <w:vAlign w:val="center"/>
          </w:tcPr>
          <w:p w14:paraId="4220C745" w14:textId="51E005C4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203" w:type="dxa"/>
            <w:vAlign w:val="center"/>
          </w:tcPr>
          <w:p w14:paraId="7E896F04" w14:textId="179AD93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974DB32" w14:textId="09A185E6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52A31ED6" w14:textId="52B6D5FE" w:rsidR="00BA6125" w:rsidRDefault="00857D76" w:rsidP="000C6CD5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менеджмента организации и уровня подготовленности сотрудников</w:t>
            </w:r>
            <w:r w:rsidR="00BA6125">
              <w:rPr>
                <w:sz w:val="24"/>
                <w:szCs w:val="24"/>
              </w:rPr>
              <w:t>.</w:t>
            </w:r>
          </w:p>
          <w:p w14:paraId="1309F8FD" w14:textId="38B438CE" w:rsidR="00335E1A" w:rsidRPr="00BA6125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и диапазон оценок те же</w:t>
            </w:r>
          </w:p>
        </w:tc>
      </w:tr>
      <w:tr w:rsidR="003627CF" w:rsidRPr="00335E1A" w14:paraId="568CACCB" w14:textId="77777777" w:rsidTr="003627CF">
        <w:trPr>
          <w:jc w:val="center"/>
        </w:trPr>
        <w:tc>
          <w:tcPr>
            <w:tcW w:w="987" w:type="dxa"/>
            <w:vAlign w:val="center"/>
          </w:tcPr>
          <w:p w14:paraId="5A1191BD" w14:textId="646D4561" w:rsidR="00335E1A" w:rsidRPr="003627CF" w:rsidRDefault="003627CF" w:rsidP="00561D4E">
            <w:pPr>
              <w:ind w:right="-108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203" w:type="dxa"/>
            <w:vAlign w:val="center"/>
          </w:tcPr>
          <w:p w14:paraId="6F10EA0E" w14:textId="6E2A2487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6F01896" w14:textId="7F17291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73EC3C48" w14:textId="59937C5E" w:rsidR="00335E1A" w:rsidRPr="00335E1A" w:rsidRDefault="00857D76" w:rsidP="00857D76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взаимодействия организации с партнерами и поставщиками</w:t>
            </w:r>
            <w:r w:rsidR="00BA6125">
              <w:rPr>
                <w:sz w:val="24"/>
                <w:szCs w:val="24"/>
              </w:rPr>
              <w:t>. Методика и диапазон оценок те же</w:t>
            </w:r>
          </w:p>
        </w:tc>
      </w:tr>
    </w:tbl>
    <w:p w14:paraId="7ABF3466" w14:textId="77777777" w:rsidR="00D74C39" w:rsidRDefault="00D74C39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209DD" w14:textId="4A4F8A01" w:rsidR="00485B5C" w:rsidRPr="00573B7C" w:rsidRDefault="00573B7C" w:rsidP="00335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значений матрицы коэффициентов парной корреляции (</w:t>
      </w:r>
      <w:r w:rsidR="006D745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7) показал наличие тесных связей между некоторыми показателями, в итоге из их числа были исключены две величины – Показатель собственного капитала (</w:t>
      </w:r>
      <w:r>
        <w:rPr>
          <w:rFonts w:ascii="Times New Roman" w:hAnsi="Times New Roman" w:cs="Times New Roman"/>
          <w:sz w:val="28"/>
          <w:szCs w:val="28"/>
          <w:lang w:val="en-US"/>
        </w:rPr>
        <w:t>ROA</w:t>
      </w:r>
      <w:r>
        <w:rPr>
          <w:rFonts w:ascii="Times New Roman" w:hAnsi="Times New Roman" w:cs="Times New Roman"/>
          <w:sz w:val="28"/>
          <w:szCs w:val="28"/>
        </w:rPr>
        <w:t>) и Показатель готовности персонала к киберугрозам</w:t>
      </w:r>
      <w:r w:rsidRPr="0057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C4527A" w14:textId="4531DE88" w:rsidR="00BF15F2" w:rsidRPr="00335E1A" w:rsidRDefault="00BF15F2" w:rsidP="00BF15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39CD203" w14:textId="5A68B2B6" w:rsidR="00BF15F2" w:rsidRPr="00EC57D6" w:rsidRDefault="00F17304" w:rsidP="00BF15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Коэффициенты парной корреляции </w:t>
      </w:r>
      <w:r w:rsidR="009B6A3E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абора показателей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F15F2" w:rsidRPr="00BF15F2" w14:paraId="64C9CA0D" w14:textId="77777777" w:rsidTr="00BF15F2">
        <w:tc>
          <w:tcPr>
            <w:tcW w:w="1604" w:type="dxa"/>
          </w:tcPr>
          <w:p w14:paraId="0260377F" w14:textId="72872437" w:rsidR="00BF15F2" w:rsidRPr="00B53982" w:rsidRDefault="00B53982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Метки</w:t>
            </w:r>
          </w:p>
        </w:tc>
        <w:tc>
          <w:tcPr>
            <w:tcW w:w="1604" w:type="dxa"/>
          </w:tcPr>
          <w:p w14:paraId="403DBBDC" w14:textId="6CD4CD3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5" w:type="dxa"/>
          </w:tcPr>
          <w:p w14:paraId="1B5CADA9" w14:textId="033F1C2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5" w:type="dxa"/>
          </w:tcPr>
          <w:p w14:paraId="4D7EE27E" w14:textId="18FDFA4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5" w:type="dxa"/>
          </w:tcPr>
          <w:p w14:paraId="17C3DB29" w14:textId="4AD65E20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5" w:type="dxa"/>
          </w:tcPr>
          <w:p w14:paraId="4FBB7023" w14:textId="045814A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</w:tr>
      <w:tr w:rsidR="00BF15F2" w:rsidRPr="00BF15F2" w14:paraId="459AF584" w14:textId="77777777" w:rsidTr="00BF15F2">
        <w:tc>
          <w:tcPr>
            <w:tcW w:w="1604" w:type="dxa"/>
          </w:tcPr>
          <w:p w14:paraId="2C593EAC" w14:textId="7C3A833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4" w:type="dxa"/>
          </w:tcPr>
          <w:p w14:paraId="76C6202D" w14:textId="11586819" w:rsidR="00BF15F2" w:rsidRPr="00FD496C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05" w:type="dxa"/>
          </w:tcPr>
          <w:p w14:paraId="29CD5A6E" w14:textId="33FAABA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46130002" w14:textId="1572BA96" w:rsidR="00FD496C" w:rsidRPr="00BF15F2" w:rsidRDefault="00FD496C" w:rsidP="00FD4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61F42298" w14:textId="61D29F4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0,0783</w:t>
            </w:r>
          </w:p>
        </w:tc>
        <w:tc>
          <w:tcPr>
            <w:tcW w:w="1605" w:type="dxa"/>
          </w:tcPr>
          <w:p w14:paraId="6DE00133" w14:textId="42E0244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BF15F2" w:rsidRPr="00BF15F2" w14:paraId="6AB4EC47" w14:textId="77777777" w:rsidTr="00BF15F2">
        <w:tc>
          <w:tcPr>
            <w:tcW w:w="1604" w:type="dxa"/>
          </w:tcPr>
          <w:p w14:paraId="64C9A9AF" w14:textId="6158709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4" w:type="dxa"/>
          </w:tcPr>
          <w:p w14:paraId="277F8B86" w14:textId="28E0592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63184B33" w14:textId="6A8D818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3609D438" w14:textId="2BA49D7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321F4961" w14:textId="73093E7A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754ECA54" w14:textId="7177997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</w:tr>
      <w:tr w:rsidR="00BF15F2" w:rsidRPr="00BF15F2" w14:paraId="1676DB4B" w14:textId="77777777" w:rsidTr="00BF15F2">
        <w:tc>
          <w:tcPr>
            <w:tcW w:w="1604" w:type="dxa"/>
          </w:tcPr>
          <w:p w14:paraId="39D9520F" w14:textId="0243F4B7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4" w:type="dxa"/>
          </w:tcPr>
          <w:p w14:paraId="612DE35D" w14:textId="6709FB7D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38783F6D" w14:textId="001B1F10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78260DDD" w14:textId="46FF21F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66EECC3F" w14:textId="5D32554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721E7B8E" w14:textId="2EE1518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</w:tr>
      <w:tr w:rsidR="00BF15F2" w:rsidRPr="00BF15F2" w14:paraId="0B61F234" w14:textId="77777777" w:rsidTr="00BF15F2">
        <w:tc>
          <w:tcPr>
            <w:tcW w:w="1604" w:type="dxa"/>
          </w:tcPr>
          <w:p w14:paraId="68C78484" w14:textId="50A8C4C3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4" w:type="dxa"/>
          </w:tcPr>
          <w:p w14:paraId="4933A59A" w14:textId="08045FF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</w:t>
            </w:r>
          </w:p>
        </w:tc>
        <w:tc>
          <w:tcPr>
            <w:tcW w:w="1605" w:type="dxa"/>
          </w:tcPr>
          <w:p w14:paraId="5D64E321" w14:textId="6DA4EC17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026A4F32" w14:textId="40FA378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436CDB59" w14:textId="7316631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4227C94A" w14:textId="07A86A89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BF15F2" w:rsidRPr="00BF15F2" w14:paraId="396CAD32" w14:textId="77777777" w:rsidTr="00BF15F2">
        <w:tc>
          <w:tcPr>
            <w:tcW w:w="1604" w:type="dxa"/>
          </w:tcPr>
          <w:p w14:paraId="479571F5" w14:textId="30F3946A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604" w:type="dxa"/>
          </w:tcPr>
          <w:p w14:paraId="4B419F44" w14:textId="698E301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05" w:type="dxa"/>
          </w:tcPr>
          <w:p w14:paraId="2F87D6AF" w14:textId="488BCA5F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  <w:tc>
          <w:tcPr>
            <w:tcW w:w="1605" w:type="dxa"/>
          </w:tcPr>
          <w:p w14:paraId="0943CF65" w14:textId="794CA20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  <w:tc>
          <w:tcPr>
            <w:tcW w:w="1605" w:type="dxa"/>
          </w:tcPr>
          <w:p w14:paraId="097804AD" w14:textId="4C626C7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  <w:tc>
          <w:tcPr>
            <w:tcW w:w="1605" w:type="dxa"/>
          </w:tcPr>
          <w:p w14:paraId="5C58100D" w14:textId="7D05C7E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1D7E43E1" w14:textId="77777777" w:rsidR="00657E49" w:rsidRDefault="00657E4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371F" w14:textId="0D18B8A5" w:rsidR="007E64A3" w:rsidRDefault="0091051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путем последовательного включения в </w:t>
      </w:r>
      <w:r w:rsidR="00573B7C">
        <w:rPr>
          <w:rFonts w:ascii="Times New Roman" w:hAnsi="Times New Roman" w:cs="Times New Roman"/>
          <w:sz w:val="28"/>
          <w:szCs w:val="28"/>
        </w:rPr>
        <w:t>уравнение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оставшихся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(8 показателей) </w:t>
      </w:r>
      <w:r w:rsidR="00573B7C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7A53E3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573B7C">
        <w:rPr>
          <w:rFonts w:ascii="Times New Roman" w:hAnsi="Times New Roman" w:cs="Times New Roman"/>
          <w:sz w:val="28"/>
          <w:szCs w:val="28"/>
        </w:rPr>
        <w:t>результат</w:t>
      </w:r>
      <w:r w:rsidR="007A53E3">
        <w:rPr>
          <w:rFonts w:ascii="Times New Roman" w:hAnsi="Times New Roman" w:cs="Times New Roman"/>
          <w:sz w:val="28"/>
          <w:szCs w:val="28"/>
        </w:rPr>
        <w:t>ам.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53E3">
        <w:rPr>
          <w:rFonts w:ascii="Times New Roman" w:hAnsi="Times New Roman" w:cs="Times New Roman"/>
          <w:sz w:val="28"/>
          <w:szCs w:val="28"/>
        </w:rPr>
        <w:t>Д</w:t>
      </w:r>
      <w:r w:rsidR="00573B7C">
        <w:rPr>
          <w:rFonts w:ascii="Times New Roman" w:hAnsi="Times New Roman" w:cs="Times New Roman"/>
          <w:sz w:val="28"/>
          <w:szCs w:val="28"/>
        </w:rPr>
        <w:t>оля об</w:t>
      </w:r>
      <w:r w:rsidR="00005E34">
        <w:rPr>
          <w:rFonts w:ascii="Times New Roman" w:hAnsi="Times New Roman" w:cs="Times New Roman"/>
          <w:sz w:val="28"/>
          <w:szCs w:val="28"/>
        </w:rPr>
        <w:t>ще</w:t>
      </w:r>
      <w:r w:rsidR="00573B7C">
        <w:rPr>
          <w:rFonts w:ascii="Times New Roman" w:hAnsi="Times New Roman" w:cs="Times New Roman"/>
          <w:sz w:val="28"/>
          <w:szCs w:val="28"/>
        </w:rPr>
        <w:t xml:space="preserve">й дисперсии </w:t>
      </w:r>
      <w:r w:rsidR="00B659EA">
        <w:rPr>
          <w:rFonts w:ascii="Times New Roman" w:hAnsi="Times New Roman" w:cs="Times New Roman"/>
          <w:sz w:val="28"/>
          <w:szCs w:val="28"/>
        </w:rPr>
        <w:t xml:space="preserve">определена на треть (значение </w:t>
      </w:r>
      <w:r w:rsidR="00B659EA"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</w:rPr>
        <w:t>корректированн</w:t>
      </w:r>
      <w:r w:rsidR="00B659E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B659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детерминации составил</w:t>
      </w:r>
      <w:r w:rsidR="00B659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0,323</w:t>
      </w:r>
      <w:r w:rsidR="00B659EA">
        <w:rPr>
          <w:rFonts w:ascii="Times New Roman" w:hAnsi="Times New Roman" w:cs="Times New Roman"/>
          <w:sz w:val="28"/>
          <w:szCs w:val="28"/>
        </w:rPr>
        <w:t>).</w:t>
      </w:r>
      <w:r w:rsidR="00657E49">
        <w:rPr>
          <w:rFonts w:ascii="Times New Roman" w:hAnsi="Times New Roman" w:cs="Times New Roman"/>
          <w:sz w:val="28"/>
          <w:szCs w:val="28"/>
        </w:rPr>
        <w:t xml:space="preserve"> По величине к</w:t>
      </w:r>
      <w:r>
        <w:rPr>
          <w:rFonts w:ascii="Times New Roman" w:hAnsi="Times New Roman" w:cs="Times New Roman"/>
          <w:sz w:val="28"/>
          <w:szCs w:val="28"/>
        </w:rPr>
        <w:t>оэффициент</w:t>
      </w:r>
      <w:r w:rsidR="00657E4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 xml:space="preserve">при вошедших в модель </w:t>
      </w:r>
      <w:r>
        <w:rPr>
          <w:rFonts w:ascii="Times New Roman" w:hAnsi="Times New Roman" w:cs="Times New Roman"/>
          <w:sz w:val="28"/>
          <w:szCs w:val="28"/>
        </w:rPr>
        <w:t>регресс</w:t>
      </w:r>
      <w:r w:rsidR="00657E49">
        <w:rPr>
          <w:rFonts w:ascii="Times New Roman" w:hAnsi="Times New Roman" w:cs="Times New Roman"/>
          <w:sz w:val="28"/>
          <w:szCs w:val="28"/>
        </w:rPr>
        <w:t>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C44">
        <w:rPr>
          <w:rFonts w:ascii="Times New Roman" w:hAnsi="Times New Roman" w:cs="Times New Roman"/>
          <w:sz w:val="28"/>
          <w:szCs w:val="28"/>
        </w:rPr>
        <w:t>оказалось</w:t>
      </w:r>
      <w:r w:rsidR="00657E49">
        <w:rPr>
          <w:rFonts w:ascii="Times New Roman" w:hAnsi="Times New Roman" w:cs="Times New Roman"/>
          <w:sz w:val="28"/>
          <w:szCs w:val="28"/>
        </w:rPr>
        <w:t>, что наибольшее влияние на эффективность экономической деятельности компаний оказывает «инфраструктурный» фактор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INFR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11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497)</w:t>
      </w:r>
      <w:r w:rsidR="00657E49">
        <w:rPr>
          <w:rFonts w:ascii="Times New Roman" w:hAnsi="Times New Roman" w:cs="Times New Roman"/>
          <w:sz w:val="28"/>
          <w:szCs w:val="28"/>
        </w:rPr>
        <w:t>, далее следует сотрудничество с деловыми партнерами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>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="00657E49">
        <w:rPr>
          <w:rFonts w:ascii="Times New Roman" w:hAnsi="Times New Roman" w:cs="Times New Roman"/>
          <w:sz w:val="28"/>
          <w:szCs w:val="28"/>
        </w:rPr>
        <w:t>: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316)</w:t>
      </w:r>
      <w:r w:rsidR="00657E49">
        <w:rPr>
          <w:rFonts w:ascii="Times New Roman" w:hAnsi="Times New Roman" w:cs="Times New Roman"/>
          <w:sz w:val="28"/>
          <w:szCs w:val="28"/>
        </w:rPr>
        <w:t>.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2A3B">
        <w:rPr>
          <w:rFonts w:ascii="Times New Roman" w:hAnsi="Times New Roman" w:cs="Times New Roman"/>
          <w:sz w:val="28"/>
          <w:szCs w:val="28"/>
        </w:rPr>
        <w:t xml:space="preserve">Оба эти показателя, учитывая их ординальный характер, были </w:t>
      </w:r>
      <w:r w:rsidR="00393AEC">
        <w:rPr>
          <w:rFonts w:ascii="Times New Roman" w:hAnsi="Times New Roman" w:cs="Times New Roman"/>
          <w:sz w:val="28"/>
          <w:szCs w:val="28"/>
        </w:rPr>
        <w:t>введены</w:t>
      </w:r>
      <w:r w:rsidR="007A2A3B">
        <w:rPr>
          <w:rFonts w:ascii="Times New Roman" w:hAnsi="Times New Roman" w:cs="Times New Roman"/>
          <w:sz w:val="28"/>
          <w:szCs w:val="28"/>
        </w:rPr>
        <w:t xml:space="preserve"> в модел</w:t>
      </w:r>
      <w:r w:rsidR="00393AEC">
        <w:rPr>
          <w:rFonts w:ascii="Times New Roman" w:hAnsi="Times New Roman" w:cs="Times New Roman"/>
          <w:sz w:val="28"/>
          <w:szCs w:val="28"/>
        </w:rPr>
        <w:t>ь</w:t>
      </w:r>
      <w:r w:rsidR="007A2A3B">
        <w:rPr>
          <w:rFonts w:ascii="Times New Roman" w:hAnsi="Times New Roman" w:cs="Times New Roman"/>
          <w:sz w:val="28"/>
          <w:szCs w:val="28"/>
        </w:rPr>
        <w:t xml:space="preserve"> как дискретные числовые переменные. </w:t>
      </w:r>
      <w:r w:rsidR="009551D9">
        <w:rPr>
          <w:rFonts w:ascii="Times New Roman" w:hAnsi="Times New Roman" w:cs="Times New Roman"/>
          <w:sz w:val="28"/>
          <w:szCs w:val="28"/>
        </w:rPr>
        <w:t>Исходный фактор (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IND</w:t>
      </w:r>
      <w:r w:rsidR="009551D9">
        <w:rPr>
          <w:rFonts w:ascii="Times New Roman" w:hAnsi="Times New Roman" w:cs="Times New Roman"/>
          <w:sz w:val="28"/>
          <w:szCs w:val="28"/>
        </w:rPr>
        <w:t xml:space="preserve">) в процессе моделирования был преобразован в шесть фиктивных переменных (седьмая, отражающая отраслевое значение «Другие», была исключена во избежание </w:t>
      </w:r>
      <w:r w:rsidR="009C379C">
        <w:rPr>
          <w:rFonts w:ascii="Times New Roman" w:hAnsi="Times New Roman" w:cs="Times New Roman"/>
          <w:sz w:val="28"/>
          <w:szCs w:val="28"/>
        </w:rPr>
        <w:t xml:space="preserve">проявления </w:t>
      </w:r>
      <w:r w:rsidR="009551D9">
        <w:rPr>
          <w:rFonts w:ascii="Times New Roman" w:hAnsi="Times New Roman" w:cs="Times New Roman"/>
          <w:sz w:val="28"/>
          <w:szCs w:val="28"/>
        </w:rPr>
        <w:t>мультиколлинеарности). Е</w:t>
      </w:r>
      <w:r w:rsidR="00657E49">
        <w:rPr>
          <w:rFonts w:ascii="Times New Roman" w:hAnsi="Times New Roman" w:cs="Times New Roman"/>
          <w:sz w:val="28"/>
          <w:szCs w:val="28"/>
        </w:rPr>
        <w:t xml:space="preserve">динственным из вошедших в уравнение регрессии </w:t>
      </w:r>
      <w:r w:rsidR="009551D9">
        <w:rPr>
          <w:rFonts w:ascii="Times New Roman" w:hAnsi="Times New Roman" w:cs="Times New Roman"/>
          <w:sz w:val="28"/>
          <w:szCs w:val="28"/>
        </w:rPr>
        <w:t xml:space="preserve">«отраслевых» </w:t>
      </w:r>
      <w:r w:rsidR="00657E49">
        <w:rPr>
          <w:rFonts w:ascii="Times New Roman" w:hAnsi="Times New Roman" w:cs="Times New Roman"/>
          <w:sz w:val="28"/>
          <w:szCs w:val="28"/>
        </w:rPr>
        <w:t>факторов стал индикатор принадлежности компании к сфере медицины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-1</w:t>
      </w:r>
      <w:r w:rsidR="00C660B7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271)</w:t>
      </w:r>
      <w:r w:rsidR="009551D9">
        <w:rPr>
          <w:rFonts w:ascii="Times New Roman" w:hAnsi="Times New Roman" w:cs="Times New Roman"/>
          <w:sz w:val="28"/>
          <w:szCs w:val="28"/>
        </w:rPr>
        <w:t xml:space="preserve">. Показатель 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51D9">
        <w:rPr>
          <w:rFonts w:ascii="Times New Roman" w:hAnsi="Times New Roman" w:cs="Times New Roman"/>
          <w:sz w:val="28"/>
          <w:szCs w:val="28"/>
        </w:rPr>
        <w:t xml:space="preserve">-статистики, характеризующий качество модели, составил </w:t>
      </w:r>
      <w:r w:rsidR="008E44AA">
        <w:rPr>
          <w:rFonts w:ascii="Times New Roman" w:hAnsi="Times New Roman" w:cs="Times New Roman"/>
          <w:sz w:val="28"/>
          <w:szCs w:val="28"/>
        </w:rPr>
        <w:t xml:space="preserve">140,8. </w:t>
      </w:r>
      <w:r w:rsidR="00657E49">
        <w:rPr>
          <w:rFonts w:ascii="Times New Roman" w:hAnsi="Times New Roman" w:cs="Times New Roman"/>
          <w:sz w:val="28"/>
          <w:szCs w:val="28"/>
        </w:rPr>
        <w:t xml:space="preserve">Все коэффициенты </w:t>
      </w:r>
      <w:r w:rsidR="008E44AA">
        <w:rPr>
          <w:rFonts w:ascii="Times New Roman" w:hAnsi="Times New Roman" w:cs="Times New Roman"/>
          <w:sz w:val="28"/>
          <w:szCs w:val="28"/>
        </w:rPr>
        <w:t xml:space="preserve">при регрессорах </w:t>
      </w:r>
      <w:r>
        <w:rPr>
          <w:rFonts w:ascii="Times New Roman" w:hAnsi="Times New Roman" w:cs="Times New Roman"/>
          <w:sz w:val="28"/>
          <w:szCs w:val="28"/>
        </w:rPr>
        <w:t>значимы при 1%-ом уровне</w:t>
      </w:r>
      <w:r w:rsidR="00657E49">
        <w:rPr>
          <w:rFonts w:ascii="Times New Roman" w:hAnsi="Times New Roman" w:cs="Times New Roman"/>
          <w:sz w:val="28"/>
          <w:szCs w:val="28"/>
        </w:rPr>
        <w:t xml:space="preserve">. </w:t>
      </w:r>
      <w:r w:rsidR="007E64A3">
        <w:rPr>
          <w:rFonts w:ascii="Times New Roman" w:hAnsi="Times New Roman" w:cs="Times New Roman"/>
          <w:sz w:val="28"/>
          <w:szCs w:val="28"/>
        </w:rPr>
        <w:t>В целом, можно утверждать, что, учитывая все же опосредованное влияние безопасности применения цифровых технологий на экономическую деятельность, модель выполнила свою функцию – четко показала вклад технологий в процесс экономического производства</w:t>
      </w:r>
      <w:r w:rsidR="00875E83">
        <w:rPr>
          <w:rFonts w:ascii="Times New Roman" w:hAnsi="Times New Roman" w:cs="Times New Roman"/>
          <w:sz w:val="28"/>
          <w:szCs w:val="28"/>
        </w:rPr>
        <w:t xml:space="preserve"> в размере 32,</w:t>
      </w:r>
      <w:r w:rsidR="005A6414">
        <w:rPr>
          <w:rFonts w:ascii="Times New Roman" w:hAnsi="Times New Roman" w:cs="Times New Roman"/>
          <w:sz w:val="28"/>
          <w:szCs w:val="28"/>
        </w:rPr>
        <w:t>3</w:t>
      </w:r>
      <w:r w:rsidR="00875E83">
        <w:rPr>
          <w:rFonts w:ascii="Times New Roman" w:hAnsi="Times New Roman" w:cs="Times New Roman"/>
          <w:sz w:val="28"/>
          <w:szCs w:val="28"/>
        </w:rPr>
        <w:t xml:space="preserve"> процента</w:t>
      </w:r>
      <w:r w:rsidR="007E64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FEA3E" w14:textId="43BD8C07" w:rsidR="00573B7C" w:rsidRPr="00151C92" w:rsidRDefault="007E64A3" w:rsidP="00573B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настоящий набор данных </w:t>
      </w:r>
      <w:r w:rsidR="00156E0A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расширить границы анализа</w:t>
      </w:r>
      <w:r w:rsidR="00162FDE">
        <w:rPr>
          <w:rFonts w:ascii="Times New Roman" w:hAnsi="Times New Roman" w:cs="Times New Roman"/>
          <w:sz w:val="28"/>
          <w:szCs w:val="28"/>
        </w:rPr>
        <w:t>, проводимого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77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радиционны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66775">
        <w:rPr>
          <w:rFonts w:ascii="Times New Roman" w:hAnsi="Times New Roman" w:cs="Times New Roman"/>
          <w:sz w:val="28"/>
          <w:szCs w:val="28"/>
        </w:rPr>
        <w:t>ами</w:t>
      </w:r>
      <w:r w:rsidR="00162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4F7">
        <w:rPr>
          <w:rFonts w:ascii="Times New Roman" w:hAnsi="Times New Roman" w:cs="Times New Roman"/>
          <w:sz w:val="28"/>
          <w:szCs w:val="28"/>
        </w:rPr>
        <w:t>в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2A54F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обучения, что вполне приемлемо:</w:t>
      </w:r>
      <w:r w:rsidR="00162FDE">
        <w:rPr>
          <w:rFonts w:ascii="Times New Roman" w:hAnsi="Times New Roman" w:cs="Times New Roman"/>
          <w:sz w:val="28"/>
          <w:szCs w:val="28"/>
        </w:rPr>
        <w:t xml:space="preserve"> </w:t>
      </w:r>
      <w:r w:rsidR="00573B7C" w:rsidRPr="00116A86">
        <w:rPr>
          <w:rFonts w:ascii="Times New Roman" w:hAnsi="Times New Roman" w:cs="Times New Roman"/>
          <w:sz w:val="28"/>
          <w:szCs w:val="28"/>
        </w:rPr>
        <w:t>«В контексте предсказательного моделирования какова разница между машинным обучением и статистикой? Четкой разграничительной линии, которая разделяет эти две дисциплины, нет. Машинное обучение тяготеет к большему вниманию к разработке эффективных алгоритмов, которые масштабируются до больших данных в целях оптимизации предсказательной модели. Статистика обычно больше сосредоточена на теории вероятностей и опорной структуре модели» [</w:t>
      </w:r>
      <w:r w:rsidR="00CB725B" w:rsidRPr="00CB725B">
        <w:rPr>
          <w:rFonts w:ascii="Times New Roman" w:hAnsi="Times New Roman" w:cs="Times New Roman"/>
          <w:sz w:val="28"/>
          <w:szCs w:val="28"/>
        </w:rPr>
        <w:t>1</w:t>
      </w:r>
      <w:r w:rsidR="00E457A5">
        <w:rPr>
          <w:rFonts w:ascii="Times New Roman" w:hAnsi="Times New Roman" w:cs="Times New Roman"/>
          <w:sz w:val="28"/>
          <w:szCs w:val="28"/>
        </w:rPr>
        <w:t>6</w:t>
      </w:r>
      <w:r w:rsidR="00573B7C" w:rsidRPr="00116A86">
        <w:rPr>
          <w:rFonts w:ascii="Times New Roman" w:hAnsi="Times New Roman" w:cs="Times New Roman"/>
          <w:sz w:val="28"/>
          <w:szCs w:val="28"/>
        </w:rPr>
        <w:t xml:space="preserve">, </w:t>
      </w:r>
      <w:r w:rsidR="00573B7C">
        <w:rPr>
          <w:rFonts w:ascii="Times New Roman" w:hAnsi="Times New Roman" w:cs="Times New Roman"/>
          <w:sz w:val="28"/>
          <w:szCs w:val="28"/>
        </w:rPr>
        <w:t>с</w:t>
      </w:r>
      <w:r w:rsidR="00573B7C" w:rsidRPr="00116A86">
        <w:rPr>
          <w:rFonts w:ascii="Times New Roman" w:hAnsi="Times New Roman" w:cs="Times New Roman"/>
          <w:sz w:val="28"/>
          <w:szCs w:val="28"/>
        </w:rPr>
        <w:t>. 252].</w:t>
      </w:r>
      <w:r w:rsidR="00167510">
        <w:rPr>
          <w:rFonts w:ascii="Times New Roman" w:hAnsi="Times New Roman" w:cs="Times New Roman"/>
          <w:sz w:val="28"/>
          <w:szCs w:val="28"/>
        </w:rPr>
        <w:t xml:space="preserve"> В этой связи было решено осуществить построение и обучение модели классификации набора данных, где целевой переменной (выходом,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67510">
        <w:rPr>
          <w:rFonts w:ascii="Times New Roman" w:hAnsi="Times New Roman" w:cs="Times New Roman"/>
          <w:sz w:val="28"/>
          <w:szCs w:val="28"/>
        </w:rPr>
        <w:t>)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</w:rPr>
        <w:t xml:space="preserve">является принадлежность компании к определенному классу, объединившему </w:t>
      </w:r>
      <w:r w:rsidR="00167510">
        <w:rPr>
          <w:rFonts w:ascii="Times New Roman" w:hAnsi="Times New Roman" w:cs="Times New Roman"/>
          <w:sz w:val="28"/>
          <w:szCs w:val="28"/>
        </w:rPr>
        <w:lastRenderedPageBreak/>
        <w:t>ряд видов деятельности, а факторами (предикторами,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67510">
        <w:rPr>
          <w:rFonts w:ascii="Times New Roman" w:hAnsi="Times New Roman" w:cs="Times New Roman"/>
          <w:sz w:val="28"/>
          <w:szCs w:val="28"/>
        </w:rPr>
        <w:t>) – полученные экспертным путем оценки степени готовности компании к киберугрозам. Для формирования таких классов, прежде всего, из совокупности в силу понятных причин были исключены компании информационно-технологической и телекоммуникационной сферы, после чего оставшиеся компании были распределены на два класса: «сервисные» (финансовые и медицинские) и «производственные» (промышленность, строительство, энергетика).</w:t>
      </w:r>
    </w:p>
    <w:p w14:paraId="1F0AE807" w14:textId="5527C611" w:rsidR="00D62BB7" w:rsidRPr="00D629D4" w:rsidRDefault="00DC653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Классифицирование проводилось несколькими широко известными методами: от самого простого в вычислительном отношении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3CA3">
        <w:rPr>
          <w:rFonts w:ascii="Times New Roman" w:hAnsi="Times New Roman" w:cs="Times New Roman"/>
          <w:sz w:val="28"/>
          <w:szCs w:val="28"/>
        </w:rPr>
        <w:t xml:space="preserve"> ближайших соседей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Nearest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Neighbors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CA3">
        <w:rPr>
          <w:rFonts w:ascii="Times New Roman" w:hAnsi="Times New Roman" w:cs="Times New Roman"/>
          <w:sz w:val="28"/>
          <w:szCs w:val="28"/>
        </w:rPr>
        <w:t xml:space="preserve"> </w:t>
      </w:r>
      <w:r w:rsidR="00DC4DF8">
        <w:rPr>
          <w:rFonts w:ascii="Times New Roman" w:hAnsi="Times New Roman" w:cs="Times New Roman"/>
          <w:sz w:val="28"/>
          <w:szCs w:val="28"/>
        </w:rPr>
        <w:t>и до</w:t>
      </w:r>
      <w:r w:rsidR="00C009D0">
        <w:rPr>
          <w:rFonts w:ascii="Times New Roman" w:hAnsi="Times New Roman" w:cs="Times New Roman"/>
          <w:sz w:val="28"/>
          <w:szCs w:val="28"/>
        </w:rPr>
        <w:t xml:space="preserve"> основанны</w:t>
      </w:r>
      <w:r w:rsidR="00DC4DF8">
        <w:rPr>
          <w:rFonts w:ascii="Times New Roman" w:hAnsi="Times New Roman" w:cs="Times New Roman"/>
          <w:sz w:val="28"/>
          <w:szCs w:val="28"/>
        </w:rPr>
        <w:t>х</w:t>
      </w:r>
      <w:r w:rsidR="00C009D0">
        <w:rPr>
          <w:rFonts w:ascii="Times New Roman" w:hAnsi="Times New Roman" w:cs="Times New Roman"/>
          <w:sz w:val="28"/>
          <w:szCs w:val="28"/>
        </w:rPr>
        <w:t xml:space="preserve"> на алгоритме «Дерево решений» (собственно, сам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C009D0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C009D0">
        <w:rPr>
          <w:rFonts w:ascii="Times New Roman" w:hAnsi="Times New Roman" w:cs="Times New Roman"/>
          <w:sz w:val="28"/>
          <w:szCs w:val="28"/>
        </w:rPr>
        <w:t xml:space="preserve"> и один из вариантов семейства методов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C009D0">
        <w:rPr>
          <w:rFonts w:ascii="Times New Roman" w:hAnsi="Times New Roman" w:cs="Times New Roman"/>
          <w:sz w:val="28"/>
          <w:szCs w:val="28"/>
        </w:rPr>
        <w:t>).</w:t>
      </w:r>
      <w:r w:rsidR="00D629D4">
        <w:rPr>
          <w:rFonts w:ascii="Times New Roman" w:hAnsi="Times New Roman" w:cs="Times New Roman"/>
          <w:sz w:val="28"/>
          <w:szCs w:val="28"/>
        </w:rPr>
        <w:t xml:space="preserve"> В качестве оценки использовалась метрика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(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aria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3008F4" w:rsidRPr="00D629D4">
        <w:rPr>
          <w:rFonts w:ascii="Times New Roman" w:hAnsi="Times New Roman" w:cs="Times New Roman"/>
          <w:sz w:val="28"/>
          <w:szCs w:val="28"/>
        </w:rPr>
        <w:t>)</w:t>
      </w:r>
      <w:r w:rsidR="00D629D4">
        <w:rPr>
          <w:rFonts w:ascii="Times New Roman" w:hAnsi="Times New Roman" w:cs="Times New Roman"/>
          <w:sz w:val="28"/>
          <w:szCs w:val="28"/>
        </w:rPr>
        <w:t xml:space="preserve">, </w:t>
      </w:r>
      <w:r w:rsidR="003E5E25">
        <w:rPr>
          <w:rFonts w:ascii="Times New Roman" w:hAnsi="Times New Roman" w:cs="Times New Roman"/>
          <w:sz w:val="28"/>
          <w:szCs w:val="28"/>
        </w:rPr>
        <w:t xml:space="preserve">т. е. </w:t>
      </w:r>
      <w:r w:rsidR="00D629D4">
        <w:rPr>
          <w:rFonts w:ascii="Times New Roman" w:hAnsi="Times New Roman" w:cs="Times New Roman"/>
          <w:sz w:val="28"/>
          <w:szCs w:val="28"/>
        </w:rPr>
        <w:t xml:space="preserve">площадь под кривой, </w:t>
      </w:r>
      <w:r w:rsidR="009F0E46">
        <w:rPr>
          <w:rFonts w:ascii="Times New Roman" w:hAnsi="Times New Roman" w:cs="Times New Roman"/>
          <w:sz w:val="28"/>
          <w:szCs w:val="28"/>
        </w:rPr>
        <w:t xml:space="preserve">характеризующей </w:t>
      </w:r>
      <w:r w:rsidR="00D629D4">
        <w:rPr>
          <w:rFonts w:ascii="Times New Roman" w:hAnsi="Times New Roman" w:cs="Times New Roman"/>
          <w:sz w:val="28"/>
          <w:szCs w:val="28"/>
        </w:rPr>
        <w:t xml:space="preserve">скорость обучения модели, основанной на том или ином алгоритме классификации: чем больше площадь, чем выше качество </w:t>
      </w:r>
      <w:r w:rsidR="009F0E46">
        <w:rPr>
          <w:rFonts w:ascii="Times New Roman" w:hAnsi="Times New Roman" w:cs="Times New Roman"/>
          <w:sz w:val="28"/>
          <w:szCs w:val="28"/>
        </w:rPr>
        <w:t xml:space="preserve">обученной </w:t>
      </w:r>
      <w:r w:rsidR="00732924">
        <w:rPr>
          <w:rFonts w:ascii="Times New Roman" w:hAnsi="Times New Roman" w:cs="Times New Roman"/>
          <w:sz w:val="28"/>
          <w:szCs w:val="28"/>
        </w:rPr>
        <w:t>модели (результаты представлен</w:t>
      </w:r>
      <w:r w:rsidR="00213098">
        <w:rPr>
          <w:rFonts w:ascii="Times New Roman" w:hAnsi="Times New Roman" w:cs="Times New Roman"/>
          <w:sz w:val="28"/>
          <w:szCs w:val="28"/>
        </w:rPr>
        <w:t>ы</w:t>
      </w:r>
      <w:r w:rsidR="00732924">
        <w:rPr>
          <w:rFonts w:ascii="Times New Roman" w:hAnsi="Times New Roman" w:cs="Times New Roman"/>
          <w:sz w:val="28"/>
          <w:szCs w:val="28"/>
        </w:rPr>
        <w:t xml:space="preserve"> на рис. 3).</w:t>
      </w:r>
    </w:p>
    <w:p w14:paraId="186BC066" w14:textId="3950A036" w:rsidR="00177E79" w:rsidRDefault="00B2657E" w:rsidP="002B0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57B78" wp14:editId="2B175625">
            <wp:extent cx="548640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CC0" w14:textId="302567D2" w:rsidR="002A0C77" w:rsidRPr="00B216EC" w:rsidRDefault="002A0C77" w:rsidP="002A0C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FA0">
        <w:rPr>
          <w:rFonts w:ascii="Times New Roman" w:hAnsi="Times New Roman" w:cs="Times New Roman"/>
          <w:sz w:val="24"/>
          <w:szCs w:val="24"/>
        </w:rPr>
        <w:t>3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7C3FA0">
        <w:rPr>
          <w:rFonts w:ascii="Times New Roman" w:hAnsi="Times New Roman" w:cs="Times New Roman"/>
          <w:sz w:val="24"/>
          <w:szCs w:val="24"/>
        </w:rPr>
        <w:t xml:space="preserve"> </w:t>
      </w:r>
      <w:r w:rsidR="007C3FA0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 xml:space="preserve">рафики </w:t>
      </w:r>
      <w:r w:rsidR="00B216EC">
        <w:rPr>
          <w:rFonts w:ascii="Times New Roman" w:hAnsi="Times New Roman" w:cs="Times New Roman"/>
          <w:b/>
          <w:bCs/>
          <w:sz w:val="24"/>
          <w:szCs w:val="24"/>
          <w:lang w:val="en-US"/>
        </w:rPr>
        <w:t>ROC</w:t>
      </w:r>
      <w:r w:rsidR="00B216EC" w:rsidRPr="00B21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>выбранного пула классификаторов</w:t>
      </w:r>
    </w:p>
    <w:p w14:paraId="651C48EC" w14:textId="071BA57D" w:rsidR="00D74C39" w:rsidRDefault="003971C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все три «древесных» </w:t>
      </w:r>
      <w:r w:rsidR="0010270D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начинают старт одинаково эффективно (их графики буквально сливаются в одну линию), после чего, </w:t>
      </w:r>
      <w:r w:rsidR="0010270D">
        <w:rPr>
          <w:rFonts w:ascii="Times New Roman" w:hAnsi="Times New Roman" w:cs="Times New Roman"/>
          <w:sz w:val="28"/>
          <w:szCs w:val="28"/>
        </w:rPr>
        <w:t>те из 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270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 xml:space="preserve">не одно </w:t>
      </w:r>
      <w:r>
        <w:rPr>
          <w:rFonts w:ascii="Times New Roman" w:hAnsi="Times New Roman" w:cs="Times New Roman"/>
          <w:sz w:val="28"/>
          <w:szCs w:val="28"/>
        </w:rPr>
        <w:t>«дерев</w:t>
      </w:r>
      <w:r w:rsidR="001027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270D">
        <w:rPr>
          <w:rFonts w:ascii="Times New Roman" w:hAnsi="Times New Roman" w:cs="Times New Roman"/>
          <w:sz w:val="28"/>
          <w:szCs w:val="28"/>
        </w:rPr>
        <w:t>, а множество</w:t>
      </w:r>
      <w:r w:rsidR="007E65F0">
        <w:rPr>
          <w:rFonts w:ascii="Times New Roman" w:hAnsi="Times New Roman" w:cs="Times New Roman"/>
          <w:sz w:val="28"/>
          <w:szCs w:val="28"/>
        </w:rPr>
        <w:t xml:space="preserve"> (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</w:rPr>
        <w:t xml:space="preserve">и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7E65F0">
        <w:rPr>
          <w:rFonts w:ascii="Times New Roman" w:hAnsi="Times New Roman" w:cs="Times New Roman"/>
          <w:sz w:val="28"/>
          <w:szCs w:val="28"/>
        </w:rPr>
        <w:t>)</w:t>
      </w:r>
      <w:r w:rsidR="0010270D">
        <w:rPr>
          <w:rFonts w:ascii="Times New Roman" w:hAnsi="Times New Roman" w:cs="Times New Roman"/>
          <w:sz w:val="28"/>
          <w:szCs w:val="28"/>
        </w:rPr>
        <w:t xml:space="preserve">, показывают лучший результат. </w:t>
      </w:r>
      <w:r w:rsidR="00083F78">
        <w:rPr>
          <w:rFonts w:ascii="Times New Roman" w:hAnsi="Times New Roman" w:cs="Times New Roman"/>
          <w:sz w:val="28"/>
          <w:szCs w:val="28"/>
        </w:rPr>
        <w:t xml:space="preserve">Таким образом, с помощью методов машинного обучения удалось обобщить особенности </w:t>
      </w:r>
      <w:r w:rsidR="0010270D">
        <w:rPr>
          <w:rFonts w:ascii="Times New Roman" w:hAnsi="Times New Roman" w:cs="Times New Roman"/>
          <w:sz w:val="28"/>
          <w:szCs w:val="28"/>
        </w:rPr>
        <w:t>отраслев</w:t>
      </w:r>
      <w:r w:rsidR="00083F78">
        <w:rPr>
          <w:rFonts w:ascii="Times New Roman" w:hAnsi="Times New Roman" w:cs="Times New Roman"/>
          <w:sz w:val="28"/>
          <w:szCs w:val="28"/>
        </w:rPr>
        <w:t>ой</w:t>
      </w:r>
      <w:r w:rsidR="0010270D">
        <w:rPr>
          <w:rFonts w:ascii="Times New Roman" w:hAnsi="Times New Roman" w:cs="Times New Roman"/>
          <w:sz w:val="28"/>
          <w:szCs w:val="28"/>
        </w:rPr>
        <w:t xml:space="preserve"> дифференциаци</w:t>
      </w:r>
      <w:r w:rsidR="00083F78">
        <w:rPr>
          <w:rFonts w:ascii="Times New Roman" w:hAnsi="Times New Roman" w:cs="Times New Roman"/>
          <w:sz w:val="28"/>
          <w:szCs w:val="28"/>
        </w:rPr>
        <w:t>и</w:t>
      </w:r>
      <w:r w:rsidR="0010270D">
        <w:rPr>
          <w:rFonts w:ascii="Times New Roman" w:hAnsi="Times New Roman" w:cs="Times New Roman"/>
          <w:sz w:val="28"/>
          <w:szCs w:val="28"/>
        </w:rPr>
        <w:t xml:space="preserve"> компаний по степени их готовности к киберугрозам.</w:t>
      </w:r>
    </w:p>
    <w:p w14:paraId="0B132700" w14:textId="77777777" w:rsidR="00E36ED1" w:rsidRPr="00E36ED1" w:rsidRDefault="00E36ED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0D86E530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выводы</w:t>
      </w:r>
    </w:p>
    <w:p w14:paraId="3F10CF3B" w14:textId="6EF53602" w:rsidR="00CB66B3" w:rsidRDefault="00A450C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применения цифровых технологий</w:t>
      </w:r>
      <w:r w:rsidR="000C4646">
        <w:rPr>
          <w:rFonts w:ascii="Times New Roman" w:hAnsi="Times New Roman" w:cs="Times New Roman"/>
          <w:sz w:val="28"/>
          <w:szCs w:val="28"/>
        </w:rPr>
        <w:t>, в силу их важности для жизни современного общества и функционирования экономики,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AE0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актуальн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предметн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6C5AE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для статистических исследований.</w:t>
      </w:r>
      <w:r w:rsidR="0003495D">
        <w:rPr>
          <w:rFonts w:ascii="Times New Roman" w:hAnsi="Times New Roman" w:cs="Times New Roman"/>
          <w:sz w:val="28"/>
          <w:szCs w:val="28"/>
        </w:rPr>
        <w:t xml:space="preserve"> </w:t>
      </w:r>
      <w:r w:rsidR="000C4646">
        <w:rPr>
          <w:rFonts w:ascii="Times New Roman" w:hAnsi="Times New Roman" w:cs="Times New Roman"/>
          <w:sz w:val="28"/>
          <w:szCs w:val="28"/>
        </w:rPr>
        <w:t xml:space="preserve"> Современные методологические разработки международных организаций способствуют решению задач по количественному измерению процессов безопасности применения цифровых технологий, но лишь фрагментарно</w:t>
      </w:r>
      <w:r w:rsidR="00FE2D81">
        <w:rPr>
          <w:rFonts w:ascii="Times New Roman" w:hAnsi="Times New Roman" w:cs="Times New Roman"/>
          <w:sz w:val="28"/>
          <w:szCs w:val="28"/>
        </w:rPr>
        <w:t>.</w:t>
      </w:r>
    </w:p>
    <w:p w14:paraId="245C2D67" w14:textId="50917A7D" w:rsidR="00302DA2" w:rsidRDefault="0003495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Комплексный охват предмета исследования требует формирования профильной системы показателей, для чего целесообразно использовать представление об исследуемом процессе как звеньях логической цепи: субъект – мотив – объект – метод – последствия. Подобный подход позволяет структурировать </w:t>
      </w:r>
      <w:r w:rsidR="009A10CC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9A10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сферы безопасности применения цифровых технологий</w:t>
      </w:r>
      <w:r w:rsidR="00F768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проецировать их развитие </w:t>
      </w:r>
      <w:r>
        <w:rPr>
          <w:rFonts w:ascii="Times New Roman" w:hAnsi="Times New Roman" w:cs="Times New Roman"/>
          <w:sz w:val="28"/>
          <w:szCs w:val="28"/>
        </w:rPr>
        <w:t>по направлениям (социальное, экономическое, технологическое)</w:t>
      </w:r>
      <w:r w:rsidR="005F7896"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и </w:t>
      </w:r>
      <w:r w:rsidR="005F7896">
        <w:rPr>
          <w:rFonts w:ascii="Times New Roman" w:hAnsi="Times New Roman" w:cs="Times New Roman"/>
          <w:sz w:val="28"/>
          <w:szCs w:val="28"/>
        </w:rPr>
        <w:t>по</w:t>
      </w:r>
      <w:r w:rsidR="0066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</w:t>
      </w:r>
      <w:r w:rsidR="005F789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(микро-, мезо-, макроуровни).</w:t>
      </w:r>
    </w:p>
    <w:p w14:paraId="3E45F042" w14:textId="12E74D52" w:rsidR="00302DA2" w:rsidRDefault="0013086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Проведенный анализ результатов </w:t>
      </w:r>
      <w:r w:rsidR="00B51665">
        <w:rPr>
          <w:rFonts w:ascii="Times New Roman" w:hAnsi="Times New Roman" w:cs="Times New Roman"/>
          <w:sz w:val="28"/>
          <w:szCs w:val="28"/>
        </w:rPr>
        <w:t xml:space="preserve">тематического </w:t>
      </w:r>
      <w:r>
        <w:rPr>
          <w:rFonts w:ascii="Times New Roman" w:hAnsi="Times New Roman" w:cs="Times New Roman"/>
          <w:sz w:val="28"/>
          <w:szCs w:val="28"/>
        </w:rPr>
        <w:t>опроса компаний показал, что экономическая эффективность организаций-респондентов на треть зависела от их уверенности в способности противостоять киберугрозам</w:t>
      </w:r>
      <w:r w:rsidR="00381DBC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ыявлена отраслевая дифференциация уверенности респондентов</w:t>
      </w:r>
      <w:r w:rsidR="00381DBC">
        <w:rPr>
          <w:rFonts w:ascii="Times New Roman" w:hAnsi="Times New Roman" w:cs="Times New Roman"/>
          <w:sz w:val="28"/>
          <w:szCs w:val="28"/>
        </w:rPr>
        <w:t xml:space="preserve"> в этом вопросе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E54F9" w14:textId="4B977C29" w:rsidR="00A60E8A" w:rsidRDefault="004A5FF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A2AA7">
        <w:rPr>
          <w:rFonts w:ascii="Times New Roman" w:hAnsi="Times New Roman" w:cs="Times New Roman"/>
          <w:sz w:val="28"/>
          <w:szCs w:val="28"/>
        </w:rPr>
        <w:t>атериалы статьи, в т. ч. данны</w:t>
      </w:r>
      <w:r w:rsidR="005B6E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программные скрипты</w:t>
      </w:r>
      <w:r w:rsidR="00D01B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размещены в репозитории</w:t>
      </w:r>
      <w:r w:rsidR="005C1F67">
        <w:rPr>
          <w:rFonts w:ascii="Times New Roman" w:hAnsi="Times New Roman" w:cs="Times New Roman"/>
          <w:sz w:val="28"/>
          <w:szCs w:val="28"/>
        </w:rPr>
        <w:t xml:space="preserve"> </w:t>
      </w:r>
      <w:r w:rsidR="005B4A29">
        <w:rPr>
          <w:rFonts w:ascii="Times New Roman" w:hAnsi="Times New Roman" w:cs="Times New Roman"/>
          <w:sz w:val="28"/>
          <w:szCs w:val="28"/>
        </w:rPr>
        <w:t xml:space="preserve">автора </w:t>
      </w:r>
      <w:r w:rsidR="005C1F67">
        <w:rPr>
          <w:rFonts w:ascii="Times New Roman" w:hAnsi="Times New Roman" w:cs="Times New Roman"/>
          <w:sz w:val="28"/>
          <w:szCs w:val="28"/>
        </w:rPr>
        <w:t>по адресу</w:t>
      </w:r>
      <w:r w:rsidR="001A2AA7">
        <w:rPr>
          <w:rFonts w:ascii="Times New Roman" w:hAnsi="Times New Roman" w:cs="Times New Roman"/>
          <w:sz w:val="28"/>
          <w:szCs w:val="28"/>
        </w:rPr>
        <w:t xml:space="preserve">: </w:t>
      </w:r>
      <w:r w:rsidR="00302DA2" w:rsidRPr="00302DA2">
        <w:rPr>
          <w:rFonts w:ascii="Times New Roman" w:hAnsi="Times New Roman" w:cs="Times New Roman"/>
          <w:sz w:val="28"/>
          <w:szCs w:val="28"/>
        </w:rPr>
        <w:t>https://github.com/karyshev63rus/it_security</w:t>
      </w:r>
      <w:r w:rsidR="00C035C4">
        <w:rPr>
          <w:rFonts w:ascii="Times New Roman" w:hAnsi="Times New Roman" w:cs="Times New Roman"/>
          <w:sz w:val="28"/>
          <w:szCs w:val="28"/>
        </w:rPr>
        <w:t>.</w:t>
      </w: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4F519604" w14:textId="6390FC4B" w:rsidR="00872DEB" w:rsidRPr="00872DEB" w:rsidRDefault="00872DEB" w:rsidP="00D80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Hlk127862961"/>
      <w:r w:rsidRPr="00B40D91">
        <w:rPr>
          <w:rFonts w:ascii="Times New Roman" w:hAnsi="Times New Roman" w:cs="Times New Roman"/>
          <w:b/>
          <w:bCs/>
          <w:sz w:val="28"/>
          <w:szCs w:val="28"/>
        </w:rPr>
        <w:t>Хочуева Ф.А., Шугунов Т.Л., Жуков А.З., Ингушев Ч.Х.</w:t>
      </w:r>
      <w:r w:rsidRPr="00B40D91">
        <w:rPr>
          <w:rFonts w:ascii="Times New Roman" w:hAnsi="Times New Roman" w:cs="Times New Roman"/>
          <w:sz w:val="28"/>
          <w:szCs w:val="28"/>
        </w:rPr>
        <w:t xml:space="preserve"> Информационная безопасность сквозь призму цифровой экономики // Современные наукоемкие технологии. 2018. № 11 (часть 1) С. 65–71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027BB6" w14:textId="5270E016" w:rsidR="00B40D91" w:rsidRPr="00B40D91" w:rsidRDefault="00B40D91" w:rsidP="00D80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0D91">
        <w:rPr>
          <w:rFonts w:ascii="Times New Roman" w:hAnsi="Times New Roman" w:cs="Times New Roman"/>
          <w:b/>
          <w:bCs/>
          <w:sz w:val="28"/>
          <w:szCs w:val="28"/>
          <w:lang w:val="en-US"/>
        </w:rPr>
        <w:t>Schatz D., Bashroush R.</w:t>
      </w:r>
      <w:r w:rsidRPr="00B40D91">
        <w:rPr>
          <w:rFonts w:ascii="Times New Roman" w:hAnsi="Times New Roman" w:cs="Times New Roman"/>
          <w:sz w:val="28"/>
          <w:szCs w:val="28"/>
          <w:lang w:val="en-US"/>
        </w:rPr>
        <w:t xml:space="preserve"> Economic valuation for information security investment: a systematic literature review // Inf Syst Front. 2017. 19. P. 1205–1228. doi: </w:t>
      </w:r>
      <w:r w:rsidRPr="005174A9">
        <w:rPr>
          <w:rFonts w:ascii="Times New Roman" w:hAnsi="Times New Roman" w:cs="Times New Roman"/>
          <w:sz w:val="28"/>
          <w:szCs w:val="28"/>
          <w:lang w:val="en-US"/>
        </w:rPr>
        <w:t>https://doi.org/10.1007/s10796-016-9648-8</w:t>
      </w:r>
      <w:r w:rsidRPr="00872D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A2CEC7" w14:textId="5F470853" w:rsidR="00A45D16" w:rsidRDefault="00A45D16" w:rsidP="00D80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D16">
        <w:rPr>
          <w:rFonts w:ascii="Times New Roman" w:hAnsi="Times New Roman" w:cs="Times New Roman"/>
          <w:b/>
          <w:bCs/>
          <w:sz w:val="28"/>
          <w:szCs w:val="28"/>
          <w:lang w:val="en-US"/>
        </w:rPr>
        <w:t>Yerina A. M., Honchar I. A., Zaiets S. V.</w:t>
      </w:r>
      <w:r w:rsidRPr="00A45D16">
        <w:rPr>
          <w:rFonts w:ascii="Times New Roman" w:hAnsi="Times New Roman" w:cs="Times New Roman"/>
          <w:sz w:val="28"/>
          <w:szCs w:val="28"/>
          <w:lang w:val="en-US"/>
        </w:rPr>
        <w:t xml:space="preserve"> Statistical indicators of cybersecurity Development in the context of Digital transformation of economy and Society // Sci. in nov. 2021. V. 17, no. 3. P. 3—13. doi: https:// doi.org/10.15407/scine17.03.003</w:t>
      </w:r>
      <w:r w:rsidRPr="00A91E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147840" w14:textId="5A37D9E0" w:rsidR="00B76EB6" w:rsidRDefault="00F51C02" w:rsidP="00D80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Листопад М. Е., Коротченко С.Е.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методики оценки системы информационной безопасности в России </w:t>
      </w:r>
      <w:r w:rsidRPr="00F51C0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Национальные интересы: приоритеты и безопасность. 2017. № 6(13). С. 1162–1175.</w:t>
      </w:r>
      <w:r w:rsidR="008E014B">
        <w:rPr>
          <w:rFonts w:ascii="Times New Roman" w:hAnsi="Times New Roman" w:cs="Times New Roman"/>
          <w:sz w:val="28"/>
          <w:szCs w:val="28"/>
          <w:lang w:val="en-US"/>
        </w:rPr>
        <w:t xml:space="preserve"> doi: </w:t>
      </w:r>
      <w:r w:rsidR="008E014B" w:rsidRPr="008E014B">
        <w:rPr>
          <w:rFonts w:ascii="Times New Roman" w:hAnsi="Times New Roman" w:cs="Times New Roman"/>
          <w:sz w:val="28"/>
          <w:szCs w:val="28"/>
          <w:lang w:val="en-US"/>
        </w:rPr>
        <w:t>https://doi.org/10.24891/ni.13.6.1162</w:t>
      </w:r>
      <w:r w:rsidR="008E01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17446D" w14:textId="1FE66AC0" w:rsidR="00F51C02" w:rsidRPr="00F51C02" w:rsidRDefault="00B76EB6" w:rsidP="00D80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Прокопьев А.</w:t>
      </w:r>
      <w:r w:rsidRPr="00B76EB6">
        <w:rPr>
          <w:rFonts w:ascii="Times New Roman" w:hAnsi="Times New Roman" w:cs="Times New Roman"/>
          <w:b/>
          <w:bCs/>
          <w:sz w:val="28"/>
          <w:szCs w:val="28"/>
        </w:rPr>
        <w:t>В., Прокопьева Т.А.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Теоретические аспекты разработки критериев эффективности национальной политики Российской Федерации в сфере информационной безопасности </w:t>
      </w:r>
      <w:r w:rsidRPr="00B76EB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Теория и практика общественного развития. 2021. № 12(166). С. 110-120.</w:t>
      </w:r>
      <w:r w:rsidR="00F51C02">
        <w:rPr>
          <w:rFonts w:ascii="Times New Roman" w:hAnsi="Times New Roman" w:cs="Times New Roman"/>
          <w:sz w:val="28"/>
          <w:szCs w:val="28"/>
        </w:rPr>
        <w:t xml:space="preserve"> </w:t>
      </w:r>
      <w:r w:rsidR="005B19F3">
        <w:rPr>
          <w:rFonts w:ascii="Times New Roman" w:hAnsi="Times New Roman" w:cs="Times New Roman"/>
          <w:sz w:val="28"/>
          <w:szCs w:val="28"/>
          <w:lang w:val="en-US"/>
        </w:rPr>
        <w:t xml:space="preserve">doi: </w:t>
      </w:r>
      <w:r w:rsidR="005B19F3" w:rsidRPr="005B19F3">
        <w:rPr>
          <w:rFonts w:ascii="Times New Roman" w:hAnsi="Times New Roman" w:cs="Times New Roman"/>
          <w:sz w:val="28"/>
          <w:szCs w:val="28"/>
          <w:lang w:val="en-US"/>
        </w:rPr>
        <w:t>https://doi.org/10.24158/tipor.2021.12.14</w:t>
      </w:r>
      <w:r w:rsidR="005B19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8B2699" w14:textId="282E2B2F" w:rsidR="00A45D16" w:rsidRDefault="00A45D16" w:rsidP="00D80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D16">
        <w:rPr>
          <w:rFonts w:ascii="Times New Roman" w:hAnsi="Times New Roman" w:cs="Times New Roman"/>
          <w:b/>
          <w:bCs/>
          <w:sz w:val="28"/>
          <w:szCs w:val="28"/>
          <w:lang w:val="en-US"/>
        </w:rPr>
        <w:t>Bernik I., Prislan K.</w:t>
      </w:r>
      <w:r w:rsidRPr="00A45D16">
        <w:rPr>
          <w:rFonts w:ascii="Times New Roman" w:hAnsi="Times New Roman" w:cs="Times New Roman"/>
          <w:sz w:val="28"/>
          <w:szCs w:val="28"/>
          <w:lang w:val="en-US"/>
        </w:rPr>
        <w:t xml:space="preserve"> (2016) Measuring Information Security Performance with 10 by 10 Model for Holistic State Evaluation // PLoS ONE. 11(9): e0163050. doi: </w:t>
      </w:r>
      <w:r w:rsidR="00A91EBE" w:rsidRPr="00A91EBE">
        <w:rPr>
          <w:rFonts w:ascii="Times New Roman" w:hAnsi="Times New Roman" w:cs="Times New Roman"/>
          <w:sz w:val="28"/>
          <w:szCs w:val="28"/>
          <w:lang w:val="en-US"/>
        </w:rPr>
        <w:t>https://doi.org/10.1371/journal.pone.0163050</w:t>
      </w:r>
      <w:r w:rsidRPr="00A45D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10"/>
    <w:p w14:paraId="2C3AC1C0" w14:textId="209B6F1D" w:rsidR="00D80097" w:rsidRDefault="00D80097" w:rsidP="00D80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Security: Cybersecurity for Prosperity. P.: OECD Publishing, 2022. 38 p.</w:t>
      </w:r>
      <w:r w:rsidR="00DB545B">
        <w:rPr>
          <w:rFonts w:ascii="Times New Roman" w:hAnsi="Times New Roman" w:cs="Times New Roman"/>
          <w:sz w:val="28"/>
          <w:szCs w:val="28"/>
          <w:lang w:val="en-US"/>
        </w:rPr>
        <w:t xml:space="preserve"> doi: </w:t>
      </w:r>
      <w:r w:rsidR="00DB545B" w:rsidRPr="00DB545B">
        <w:rPr>
          <w:rFonts w:ascii="Times New Roman" w:hAnsi="Times New Roman" w:cs="Times New Roman"/>
          <w:sz w:val="28"/>
          <w:szCs w:val="28"/>
          <w:lang w:val="en-US"/>
        </w:rPr>
        <w:t>https://doi.org/10.1787/a69df866-en</w:t>
      </w:r>
      <w:r w:rsidR="00DB54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91D341" w14:textId="14BBCDD8" w:rsidR="00D80097" w:rsidRDefault="00D8009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Hlk127857962"/>
      <w:r>
        <w:rPr>
          <w:rFonts w:ascii="Times New Roman" w:hAnsi="Times New Roman" w:cs="Times New Roman"/>
          <w:sz w:val="28"/>
          <w:szCs w:val="28"/>
          <w:lang w:val="en-US"/>
        </w:rPr>
        <w:t>OECD Measuring digital security risk management practices in business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 xml:space="preserve">. P.: OECD Publishing, 2019. 63 p. </w:t>
      </w:r>
      <w:r w:rsidR="00AE0D1A">
        <w:rPr>
          <w:rFonts w:ascii="Times New Roman" w:hAnsi="Times New Roman" w:cs="Times New Roman"/>
          <w:sz w:val="28"/>
          <w:szCs w:val="28"/>
          <w:lang w:val="en-US"/>
        </w:rPr>
        <w:t xml:space="preserve">doi: </w:t>
      </w:r>
      <w:r w:rsidRPr="00D80097">
        <w:rPr>
          <w:rFonts w:ascii="Times New Roman" w:hAnsi="Times New Roman" w:cs="Times New Roman"/>
          <w:sz w:val="28"/>
          <w:szCs w:val="28"/>
          <w:lang w:val="en-US"/>
        </w:rPr>
        <w:t>https://doi.org/10.1787/7b93c1f1-en</w:t>
      </w:r>
      <w:r w:rsidR="00D30B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D4A33A" w14:textId="60EA71F9" w:rsidR="009552FD" w:rsidRDefault="009552FD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2FD">
        <w:rPr>
          <w:rFonts w:ascii="Times New Roman" w:hAnsi="Times New Roman" w:cs="Times New Roman"/>
          <w:sz w:val="28"/>
          <w:szCs w:val="28"/>
          <w:lang w:val="en-US"/>
        </w:rPr>
        <w:t>ITU Publications. Global Cybersecurity Index 2015. URL: https://www.itu.int/pub/D-STR-SECU-2015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544F97" w14:textId="0A0E0C3B" w:rsidR="009552FD" w:rsidRDefault="009552FD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ITU Publications. Global Cybersecurity Index 2020. URL: </w:t>
      </w:r>
      <w:r w:rsidRPr="00D80097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14E670" w14:textId="55A841C6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0048D3" w:rsidRPr="000048D3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  <w:r w:rsidR="00D800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7EB80F" w14:textId="137AD7C8" w:rsidR="00804BE6" w:rsidRPr="00F640E6" w:rsidRDefault="00A45D1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51C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640E6" w:rsidRPr="007044F8">
        <w:rPr>
          <w:rFonts w:ascii="Times New Roman" w:hAnsi="Times New Roman" w:cs="Times New Roman"/>
          <w:b/>
          <w:bCs/>
          <w:sz w:val="28"/>
          <w:szCs w:val="28"/>
        </w:rPr>
        <w:t>Зарова Е. В., Проскурина Н. В.</w:t>
      </w:r>
      <w:r w:rsidR="00F640E6">
        <w:rPr>
          <w:rFonts w:ascii="Times New Roman" w:hAnsi="Times New Roman" w:cs="Times New Roman"/>
          <w:sz w:val="28"/>
          <w:szCs w:val="28"/>
        </w:rPr>
        <w:t xml:space="preserve">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7044F8">
        <w:rPr>
          <w:rFonts w:ascii="Times New Roman" w:hAnsi="Times New Roman" w:cs="Times New Roman"/>
          <w:b/>
          <w:bCs/>
          <w:sz w:val="28"/>
          <w:szCs w:val="28"/>
        </w:rPr>
        <w:t>Суслов И. П.</w:t>
      </w:r>
      <w:r w:rsidRPr="004A52FC">
        <w:rPr>
          <w:rFonts w:ascii="Times New Roman" w:hAnsi="Times New Roman" w:cs="Times New Roman"/>
          <w:sz w:val="28"/>
          <w:szCs w:val="28"/>
        </w:rPr>
        <w:t xml:space="preserve">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44F0E8BB" w14:textId="320EBFAF" w:rsidR="00060A74" w:rsidRDefault="00682038" w:rsidP="00F226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4F8">
        <w:rPr>
          <w:rFonts w:ascii="Times New Roman" w:hAnsi="Times New Roman" w:cs="Times New Roman"/>
          <w:b/>
          <w:bCs/>
          <w:sz w:val="28"/>
          <w:szCs w:val="28"/>
        </w:rPr>
        <w:t>Алетдинова А. А.</w:t>
      </w:r>
      <w:r w:rsidRPr="00682038">
        <w:rPr>
          <w:rFonts w:ascii="Times New Roman" w:hAnsi="Times New Roman" w:cs="Times New Roman"/>
          <w:sz w:val="28"/>
          <w:szCs w:val="28"/>
        </w:rPr>
        <w:t xml:space="preserve">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  <w:r w:rsidR="00EB2C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1F985" w14:textId="0A03CEDC" w:rsidR="00F642E8" w:rsidRPr="006C53B8" w:rsidRDefault="00896398" w:rsidP="00B63F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53B8">
        <w:rPr>
          <w:rFonts w:ascii="Times New Roman" w:hAnsi="Times New Roman" w:cs="Times New Roman"/>
          <w:sz w:val="28"/>
          <w:szCs w:val="28"/>
        </w:rPr>
        <w:t xml:space="preserve"> </w:t>
      </w:r>
      <w:r w:rsidR="00F642E8" w:rsidRPr="006C53B8">
        <w:rPr>
          <w:rFonts w:ascii="Times New Roman" w:hAnsi="Times New Roman" w:cs="Times New Roman"/>
          <w:sz w:val="28"/>
          <w:szCs w:val="28"/>
        </w:rPr>
        <w:t xml:space="preserve">Готовность российских компаний к киберугрозам. </w:t>
      </w:r>
      <w:r w:rsidR="00F642E8" w:rsidRPr="006C53B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1C2BC9" w:rsidRPr="006C53B8">
        <w:rPr>
          <w:rFonts w:ascii="Times New Roman" w:hAnsi="Times New Roman" w:cs="Times New Roman"/>
          <w:sz w:val="28"/>
          <w:szCs w:val="28"/>
          <w:lang w:val="en-US"/>
        </w:rPr>
        <w:t>https://www.kaggle.com/datasets/stanislavkurovskiy/cybersecurity-russia2018-2020</w:t>
      </w:r>
      <w:r w:rsidR="00D800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9F9552" w14:textId="48BC8982" w:rsidR="00E263C8" w:rsidRPr="001C2BC9" w:rsidRDefault="001C2BC9" w:rsidP="00A356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4F8" w:rsidRPr="007044F8">
        <w:rPr>
          <w:rFonts w:ascii="Times New Roman" w:hAnsi="Times New Roman" w:cs="Times New Roman"/>
          <w:b/>
          <w:bCs/>
          <w:sz w:val="28"/>
          <w:szCs w:val="28"/>
        </w:rPr>
        <w:t>Брюс П., Брюс Э., Гедек П.</w:t>
      </w:r>
      <w:r w:rsidR="00704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Практическая статистика для специалистов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8D15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СПб.: БВХ-Петербург, 2021. 352 с.</w:t>
      </w:r>
    </w:p>
    <w:sectPr w:rsidR="00E263C8" w:rsidRPr="001C2BC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3290"/>
    <w:rsid w:val="00003704"/>
    <w:rsid w:val="000048D3"/>
    <w:rsid w:val="00005E34"/>
    <w:rsid w:val="00006E98"/>
    <w:rsid w:val="0000761C"/>
    <w:rsid w:val="00010D27"/>
    <w:rsid w:val="00010D99"/>
    <w:rsid w:val="00010DB9"/>
    <w:rsid w:val="0001261B"/>
    <w:rsid w:val="000139C9"/>
    <w:rsid w:val="00015590"/>
    <w:rsid w:val="00015DE8"/>
    <w:rsid w:val="00016CF5"/>
    <w:rsid w:val="00020223"/>
    <w:rsid w:val="000210B6"/>
    <w:rsid w:val="00021116"/>
    <w:rsid w:val="000277A4"/>
    <w:rsid w:val="00030BCC"/>
    <w:rsid w:val="00030F5A"/>
    <w:rsid w:val="00032BCE"/>
    <w:rsid w:val="00032D53"/>
    <w:rsid w:val="000332B9"/>
    <w:rsid w:val="0003495D"/>
    <w:rsid w:val="000401F3"/>
    <w:rsid w:val="00040884"/>
    <w:rsid w:val="0004195C"/>
    <w:rsid w:val="00043694"/>
    <w:rsid w:val="0005166A"/>
    <w:rsid w:val="00055CF7"/>
    <w:rsid w:val="00056AB3"/>
    <w:rsid w:val="00060A74"/>
    <w:rsid w:val="000619C2"/>
    <w:rsid w:val="00061DCC"/>
    <w:rsid w:val="00065661"/>
    <w:rsid w:val="00074844"/>
    <w:rsid w:val="000815A4"/>
    <w:rsid w:val="00083F78"/>
    <w:rsid w:val="000876D4"/>
    <w:rsid w:val="000A1BD2"/>
    <w:rsid w:val="000A375A"/>
    <w:rsid w:val="000A3A6C"/>
    <w:rsid w:val="000B19AE"/>
    <w:rsid w:val="000B2E8B"/>
    <w:rsid w:val="000B6C23"/>
    <w:rsid w:val="000C1B1E"/>
    <w:rsid w:val="000C23C8"/>
    <w:rsid w:val="000C4646"/>
    <w:rsid w:val="000C4680"/>
    <w:rsid w:val="000C6096"/>
    <w:rsid w:val="000C6392"/>
    <w:rsid w:val="000C6CD5"/>
    <w:rsid w:val="000D08F1"/>
    <w:rsid w:val="000D4F80"/>
    <w:rsid w:val="000E0629"/>
    <w:rsid w:val="000E2777"/>
    <w:rsid w:val="000E4A34"/>
    <w:rsid w:val="000E4B4D"/>
    <w:rsid w:val="000E6A90"/>
    <w:rsid w:val="000F44D5"/>
    <w:rsid w:val="001004DF"/>
    <w:rsid w:val="001014B4"/>
    <w:rsid w:val="00101BBF"/>
    <w:rsid w:val="0010270D"/>
    <w:rsid w:val="001075B0"/>
    <w:rsid w:val="00107850"/>
    <w:rsid w:val="00112037"/>
    <w:rsid w:val="00112700"/>
    <w:rsid w:val="00115FFB"/>
    <w:rsid w:val="0011630C"/>
    <w:rsid w:val="00116A86"/>
    <w:rsid w:val="00120F3D"/>
    <w:rsid w:val="00126429"/>
    <w:rsid w:val="001277AB"/>
    <w:rsid w:val="00127913"/>
    <w:rsid w:val="0013086C"/>
    <w:rsid w:val="0013244A"/>
    <w:rsid w:val="00132B0D"/>
    <w:rsid w:val="00134A42"/>
    <w:rsid w:val="001374AD"/>
    <w:rsid w:val="001421A3"/>
    <w:rsid w:val="00146BD4"/>
    <w:rsid w:val="00151C92"/>
    <w:rsid w:val="001542B8"/>
    <w:rsid w:val="00154735"/>
    <w:rsid w:val="001556AB"/>
    <w:rsid w:val="00155A06"/>
    <w:rsid w:val="00156657"/>
    <w:rsid w:val="00156E0A"/>
    <w:rsid w:val="00161B89"/>
    <w:rsid w:val="00162790"/>
    <w:rsid w:val="00162FDE"/>
    <w:rsid w:val="001646E7"/>
    <w:rsid w:val="00166775"/>
    <w:rsid w:val="00167510"/>
    <w:rsid w:val="00177E79"/>
    <w:rsid w:val="00184176"/>
    <w:rsid w:val="0018739A"/>
    <w:rsid w:val="001911CE"/>
    <w:rsid w:val="0019187C"/>
    <w:rsid w:val="00191C0C"/>
    <w:rsid w:val="001946B8"/>
    <w:rsid w:val="001959F3"/>
    <w:rsid w:val="00196180"/>
    <w:rsid w:val="001A1156"/>
    <w:rsid w:val="001A2AA7"/>
    <w:rsid w:val="001A4900"/>
    <w:rsid w:val="001A4D8D"/>
    <w:rsid w:val="001A7E3A"/>
    <w:rsid w:val="001B5A29"/>
    <w:rsid w:val="001B6A7E"/>
    <w:rsid w:val="001C271B"/>
    <w:rsid w:val="001C2BC9"/>
    <w:rsid w:val="001C3FBA"/>
    <w:rsid w:val="001C44BE"/>
    <w:rsid w:val="001C5140"/>
    <w:rsid w:val="001D2866"/>
    <w:rsid w:val="001D3657"/>
    <w:rsid w:val="001D3A8F"/>
    <w:rsid w:val="001D4C4B"/>
    <w:rsid w:val="001D721F"/>
    <w:rsid w:val="001D7893"/>
    <w:rsid w:val="001D7F58"/>
    <w:rsid w:val="001E0AD1"/>
    <w:rsid w:val="001F3990"/>
    <w:rsid w:val="001F4498"/>
    <w:rsid w:val="002011DB"/>
    <w:rsid w:val="0020222C"/>
    <w:rsid w:val="00202D37"/>
    <w:rsid w:val="002058E9"/>
    <w:rsid w:val="00205C6D"/>
    <w:rsid w:val="00210074"/>
    <w:rsid w:val="00211B7D"/>
    <w:rsid w:val="00212AFC"/>
    <w:rsid w:val="00213098"/>
    <w:rsid w:val="00213E17"/>
    <w:rsid w:val="00213E49"/>
    <w:rsid w:val="0021552C"/>
    <w:rsid w:val="00221D55"/>
    <w:rsid w:val="00222EFE"/>
    <w:rsid w:val="00223577"/>
    <w:rsid w:val="002238D7"/>
    <w:rsid w:val="0023013A"/>
    <w:rsid w:val="00232657"/>
    <w:rsid w:val="0024135F"/>
    <w:rsid w:val="0024259B"/>
    <w:rsid w:val="00252471"/>
    <w:rsid w:val="00253A36"/>
    <w:rsid w:val="002576DA"/>
    <w:rsid w:val="00260ABA"/>
    <w:rsid w:val="00272353"/>
    <w:rsid w:val="002732EF"/>
    <w:rsid w:val="00273DE5"/>
    <w:rsid w:val="0027565C"/>
    <w:rsid w:val="00276183"/>
    <w:rsid w:val="0027696C"/>
    <w:rsid w:val="00280E2C"/>
    <w:rsid w:val="002810D1"/>
    <w:rsid w:val="00281902"/>
    <w:rsid w:val="00282535"/>
    <w:rsid w:val="00283326"/>
    <w:rsid w:val="00285AE7"/>
    <w:rsid w:val="002866B8"/>
    <w:rsid w:val="0028700A"/>
    <w:rsid w:val="0029001C"/>
    <w:rsid w:val="00290BF5"/>
    <w:rsid w:val="0029696D"/>
    <w:rsid w:val="002A0C77"/>
    <w:rsid w:val="002A1880"/>
    <w:rsid w:val="002A20D5"/>
    <w:rsid w:val="002A54F7"/>
    <w:rsid w:val="002A6EF9"/>
    <w:rsid w:val="002B0388"/>
    <w:rsid w:val="002B0D1D"/>
    <w:rsid w:val="002B2AFD"/>
    <w:rsid w:val="002B440E"/>
    <w:rsid w:val="002B53F2"/>
    <w:rsid w:val="002C7337"/>
    <w:rsid w:val="002D3301"/>
    <w:rsid w:val="002E0D7B"/>
    <w:rsid w:val="002E257F"/>
    <w:rsid w:val="002E2F64"/>
    <w:rsid w:val="002F3EC4"/>
    <w:rsid w:val="002F4951"/>
    <w:rsid w:val="002F7050"/>
    <w:rsid w:val="003008F4"/>
    <w:rsid w:val="00302DA2"/>
    <w:rsid w:val="00306ED1"/>
    <w:rsid w:val="00307895"/>
    <w:rsid w:val="0031095C"/>
    <w:rsid w:val="00316667"/>
    <w:rsid w:val="00320ADB"/>
    <w:rsid w:val="0032120D"/>
    <w:rsid w:val="00321B1A"/>
    <w:rsid w:val="003227FF"/>
    <w:rsid w:val="00331343"/>
    <w:rsid w:val="0033137D"/>
    <w:rsid w:val="0033289E"/>
    <w:rsid w:val="00335E1A"/>
    <w:rsid w:val="00337A6B"/>
    <w:rsid w:val="00345E36"/>
    <w:rsid w:val="00350108"/>
    <w:rsid w:val="0035089A"/>
    <w:rsid w:val="00352256"/>
    <w:rsid w:val="00354A9E"/>
    <w:rsid w:val="003577D1"/>
    <w:rsid w:val="00357F68"/>
    <w:rsid w:val="003627CF"/>
    <w:rsid w:val="003640AD"/>
    <w:rsid w:val="00365616"/>
    <w:rsid w:val="00371339"/>
    <w:rsid w:val="00371ECD"/>
    <w:rsid w:val="003738C2"/>
    <w:rsid w:val="003738EA"/>
    <w:rsid w:val="0037397A"/>
    <w:rsid w:val="003803BF"/>
    <w:rsid w:val="00381DBC"/>
    <w:rsid w:val="0038307C"/>
    <w:rsid w:val="00385506"/>
    <w:rsid w:val="003861D1"/>
    <w:rsid w:val="003902E9"/>
    <w:rsid w:val="00390C9A"/>
    <w:rsid w:val="00392481"/>
    <w:rsid w:val="00393AEC"/>
    <w:rsid w:val="00394547"/>
    <w:rsid w:val="003971C5"/>
    <w:rsid w:val="003A10F3"/>
    <w:rsid w:val="003A2E28"/>
    <w:rsid w:val="003A32B3"/>
    <w:rsid w:val="003A4520"/>
    <w:rsid w:val="003A59CF"/>
    <w:rsid w:val="003A7CA5"/>
    <w:rsid w:val="003B2969"/>
    <w:rsid w:val="003B4AB1"/>
    <w:rsid w:val="003B6312"/>
    <w:rsid w:val="003B7A31"/>
    <w:rsid w:val="003C064C"/>
    <w:rsid w:val="003C14CC"/>
    <w:rsid w:val="003C2457"/>
    <w:rsid w:val="003C6B30"/>
    <w:rsid w:val="003C6BD8"/>
    <w:rsid w:val="003C7065"/>
    <w:rsid w:val="003D2B1C"/>
    <w:rsid w:val="003D3306"/>
    <w:rsid w:val="003D46AE"/>
    <w:rsid w:val="003E0D60"/>
    <w:rsid w:val="003E11EC"/>
    <w:rsid w:val="003E1EEF"/>
    <w:rsid w:val="003E5E25"/>
    <w:rsid w:val="003F19FC"/>
    <w:rsid w:val="003F4306"/>
    <w:rsid w:val="004013F0"/>
    <w:rsid w:val="00402144"/>
    <w:rsid w:val="00402D9A"/>
    <w:rsid w:val="00405DA7"/>
    <w:rsid w:val="00406124"/>
    <w:rsid w:val="004104AA"/>
    <w:rsid w:val="00413D31"/>
    <w:rsid w:val="00416760"/>
    <w:rsid w:val="0042226B"/>
    <w:rsid w:val="00426062"/>
    <w:rsid w:val="0042633D"/>
    <w:rsid w:val="004266A4"/>
    <w:rsid w:val="0043006E"/>
    <w:rsid w:val="00430C4A"/>
    <w:rsid w:val="004313FD"/>
    <w:rsid w:val="00432651"/>
    <w:rsid w:val="00432F52"/>
    <w:rsid w:val="0043428B"/>
    <w:rsid w:val="004422B1"/>
    <w:rsid w:val="004452D3"/>
    <w:rsid w:val="00451391"/>
    <w:rsid w:val="00451EA1"/>
    <w:rsid w:val="00453029"/>
    <w:rsid w:val="004549C7"/>
    <w:rsid w:val="0045600E"/>
    <w:rsid w:val="00462879"/>
    <w:rsid w:val="0046338C"/>
    <w:rsid w:val="00471FFC"/>
    <w:rsid w:val="00472733"/>
    <w:rsid w:val="00477BEE"/>
    <w:rsid w:val="00477DD5"/>
    <w:rsid w:val="00480BBE"/>
    <w:rsid w:val="00485B5C"/>
    <w:rsid w:val="004879EA"/>
    <w:rsid w:val="00492BA2"/>
    <w:rsid w:val="004A2EDD"/>
    <w:rsid w:val="004A3009"/>
    <w:rsid w:val="004A52FC"/>
    <w:rsid w:val="004A5FF4"/>
    <w:rsid w:val="004A7693"/>
    <w:rsid w:val="004B10F6"/>
    <w:rsid w:val="004B2A8A"/>
    <w:rsid w:val="004B4F22"/>
    <w:rsid w:val="004B66BC"/>
    <w:rsid w:val="004B7805"/>
    <w:rsid w:val="004C3C74"/>
    <w:rsid w:val="004D2B09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4F7228"/>
    <w:rsid w:val="004F74D5"/>
    <w:rsid w:val="004F7F3A"/>
    <w:rsid w:val="00500D72"/>
    <w:rsid w:val="005028B2"/>
    <w:rsid w:val="0050313B"/>
    <w:rsid w:val="005143CB"/>
    <w:rsid w:val="00514A41"/>
    <w:rsid w:val="005155D7"/>
    <w:rsid w:val="005173B7"/>
    <w:rsid w:val="005174A9"/>
    <w:rsid w:val="00517AFA"/>
    <w:rsid w:val="005202DF"/>
    <w:rsid w:val="00520A1B"/>
    <w:rsid w:val="005228F0"/>
    <w:rsid w:val="00523CE3"/>
    <w:rsid w:val="00533A68"/>
    <w:rsid w:val="005358C6"/>
    <w:rsid w:val="00537120"/>
    <w:rsid w:val="0054154A"/>
    <w:rsid w:val="00547EDB"/>
    <w:rsid w:val="00550A8C"/>
    <w:rsid w:val="005519EF"/>
    <w:rsid w:val="0055320F"/>
    <w:rsid w:val="005533B5"/>
    <w:rsid w:val="00553553"/>
    <w:rsid w:val="00556CFE"/>
    <w:rsid w:val="00561C1A"/>
    <w:rsid w:val="00564FB8"/>
    <w:rsid w:val="005668C8"/>
    <w:rsid w:val="00567EF5"/>
    <w:rsid w:val="005720D2"/>
    <w:rsid w:val="005722F5"/>
    <w:rsid w:val="00573B7C"/>
    <w:rsid w:val="00574F7A"/>
    <w:rsid w:val="00581187"/>
    <w:rsid w:val="005859D7"/>
    <w:rsid w:val="00591C45"/>
    <w:rsid w:val="00593B85"/>
    <w:rsid w:val="00594273"/>
    <w:rsid w:val="00594ADE"/>
    <w:rsid w:val="005A0EBF"/>
    <w:rsid w:val="005A1CCA"/>
    <w:rsid w:val="005A6414"/>
    <w:rsid w:val="005B19F3"/>
    <w:rsid w:val="005B1AC0"/>
    <w:rsid w:val="005B4A29"/>
    <w:rsid w:val="005B6E15"/>
    <w:rsid w:val="005C113A"/>
    <w:rsid w:val="005C1CCE"/>
    <w:rsid w:val="005C1DA2"/>
    <w:rsid w:val="005C1F67"/>
    <w:rsid w:val="005C763B"/>
    <w:rsid w:val="005D3456"/>
    <w:rsid w:val="005D41FF"/>
    <w:rsid w:val="005D50AE"/>
    <w:rsid w:val="005E2993"/>
    <w:rsid w:val="005E3A3C"/>
    <w:rsid w:val="005E5601"/>
    <w:rsid w:val="005E607E"/>
    <w:rsid w:val="005E61A7"/>
    <w:rsid w:val="005F33B8"/>
    <w:rsid w:val="005F4E54"/>
    <w:rsid w:val="005F5624"/>
    <w:rsid w:val="005F7896"/>
    <w:rsid w:val="00600306"/>
    <w:rsid w:val="006009AC"/>
    <w:rsid w:val="00612C0C"/>
    <w:rsid w:val="00622841"/>
    <w:rsid w:val="00625D47"/>
    <w:rsid w:val="006345FF"/>
    <w:rsid w:val="00646729"/>
    <w:rsid w:val="00647113"/>
    <w:rsid w:val="0064756B"/>
    <w:rsid w:val="006514F5"/>
    <w:rsid w:val="00652F58"/>
    <w:rsid w:val="00653766"/>
    <w:rsid w:val="00653F3C"/>
    <w:rsid w:val="00657E49"/>
    <w:rsid w:val="00661647"/>
    <w:rsid w:val="006627D4"/>
    <w:rsid w:val="00665664"/>
    <w:rsid w:val="0067129E"/>
    <w:rsid w:val="00672929"/>
    <w:rsid w:val="00682038"/>
    <w:rsid w:val="006824EE"/>
    <w:rsid w:val="00682D99"/>
    <w:rsid w:val="006843A2"/>
    <w:rsid w:val="00684C2F"/>
    <w:rsid w:val="00685D12"/>
    <w:rsid w:val="00686899"/>
    <w:rsid w:val="0068738C"/>
    <w:rsid w:val="00691DF9"/>
    <w:rsid w:val="006920EE"/>
    <w:rsid w:val="00694B87"/>
    <w:rsid w:val="00695B08"/>
    <w:rsid w:val="00697028"/>
    <w:rsid w:val="00697E5D"/>
    <w:rsid w:val="006A41C9"/>
    <w:rsid w:val="006A4B05"/>
    <w:rsid w:val="006A5A9A"/>
    <w:rsid w:val="006A76C4"/>
    <w:rsid w:val="006B5CE2"/>
    <w:rsid w:val="006C1E94"/>
    <w:rsid w:val="006C53B8"/>
    <w:rsid w:val="006C5AE0"/>
    <w:rsid w:val="006C640D"/>
    <w:rsid w:val="006C668C"/>
    <w:rsid w:val="006D31D9"/>
    <w:rsid w:val="006D58A2"/>
    <w:rsid w:val="006D695B"/>
    <w:rsid w:val="006D6BE3"/>
    <w:rsid w:val="006D7454"/>
    <w:rsid w:val="006E0730"/>
    <w:rsid w:val="006E17EF"/>
    <w:rsid w:val="006E3449"/>
    <w:rsid w:val="006E63BA"/>
    <w:rsid w:val="006F1244"/>
    <w:rsid w:val="006F3279"/>
    <w:rsid w:val="006F6BBF"/>
    <w:rsid w:val="007044F8"/>
    <w:rsid w:val="00704986"/>
    <w:rsid w:val="00705B0F"/>
    <w:rsid w:val="0071132A"/>
    <w:rsid w:val="0071157A"/>
    <w:rsid w:val="00711EA5"/>
    <w:rsid w:val="00713AC1"/>
    <w:rsid w:val="007147C3"/>
    <w:rsid w:val="00717A59"/>
    <w:rsid w:val="00725013"/>
    <w:rsid w:val="007252D4"/>
    <w:rsid w:val="00727861"/>
    <w:rsid w:val="00727D8B"/>
    <w:rsid w:val="00731F9A"/>
    <w:rsid w:val="00732924"/>
    <w:rsid w:val="00746004"/>
    <w:rsid w:val="00747300"/>
    <w:rsid w:val="0075403A"/>
    <w:rsid w:val="00754C3D"/>
    <w:rsid w:val="00756180"/>
    <w:rsid w:val="007624A9"/>
    <w:rsid w:val="00764758"/>
    <w:rsid w:val="007678C9"/>
    <w:rsid w:val="00771AFE"/>
    <w:rsid w:val="00771B41"/>
    <w:rsid w:val="0078450E"/>
    <w:rsid w:val="00784870"/>
    <w:rsid w:val="00787A01"/>
    <w:rsid w:val="00791022"/>
    <w:rsid w:val="007917B9"/>
    <w:rsid w:val="007949EA"/>
    <w:rsid w:val="00794E40"/>
    <w:rsid w:val="007963CF"/>
    <w:rsid w:val="007A0C78"/>
    <w:rsid w:val="007A1683"/>
    <w:rsid w:val="007A2A3B"/>
    <w:rsid w:val="007A2AE3"/>
    <w:rsid w:val="007A53E3"/>
    <w:rsid w:val="007A647E"/>
    <w:rsid w:val="007A7AEB"/>
    <w:rsid w:val="007B1710"/>
    <w:rsid w:val="007B46E3"/>
    <w:rsid w:val="007C3FA0"/>
    <w:rsid w:val="007C6B25"/>
    <w:rsid w:val="007C75F0"/>
    <w:rsid w:val="007D02A3"/>
    <w:rsid w:val="007D29AF"/>
    <w:rsid w:val="007D2D96"/>
    <w:rsid w:val="007D44C8"/>
    <w:rsid w:val="007D45A8"/>
    <w:rsid w:val="007D45FE"/>
    <w:rsid w:val="007E0293"/>
    <w:rsid w:val="007E131F"/>
    <w:rsid w:val="007E4B8C"/>
    <w:rsid w:val="007E5FE6"/>
    <w:rsid w:val="007E64A3"/>
    <w:rsid w:val="007E65F0"/>
    <w:rsid w:val="007F433E"/>
    <w:rsid w:val="007F57D2"/>
    <w:rsid w:val="007F649C"/>
    <w:rsid w:val="007F6697"/>
    <w:rsid w:val="00801E15"/>
    <w:rsid w:val="00801EE4"/>
    <w:rsid w:val="00804BE6"/>
    <w:rsid w:val="0080528C"/>
    <w:rsid w:val="0080623C"/>
    <w:rsid w:val="00806893"/>
    <w:rsid w:val="00806CF5"/>
    <w:rsid w:val="00806D9A"/>
    <w:rsid w:val="008146E0"/>
    <w:rsid w:val="00816F36"/>
    <w:rsid w:val="00817791"/>
    <w:rsid w:val="0081790A"/>
    <w:rsid w:val="00820F6B"/>
    <w:rsid w:val="008210EE"/>
    <w:rsid w:val="00823EE1"/>
    <w:rsid w:val="008252EC"/>
    <w:rsid w:val="00832799"/>
    <w:rsid w:val="00833190"/>
    <w:rsid w:val="0083359C"/>
    <w:rsid w:val="00840261"/>
    <w:rsid w:val="00842311"/>
    <w:rsid w:val="00845341"/>
    <w:rsid w:val="00851C1F"/>
    <w:rsid w:val="00856DC3"/>
    <w:rsid w:val="00857D76"/>
    <w:rsid w:val="00860219"/>
    <w:rsid w:val="0086137B"/>
    <w:rsid w:val="00862D1F"/>
    <w:rsid w:val="00862EC4"/>
    <w:rsid w:val="008652C7"/>
    <w:rsid w:val="00866901"/>
    <w:rsid w:val="00872DEB"/>
    <w:rsid w:val="008740E7"/>
    <w:rsid w:val="00875E83"/>
    <w:rsid w:val="008762D4"/>
    <w:rsid w:val="00877135"/>
    <w:rsid w:val="00882E98"/>
    <w:rsid w:val="00884EB0"/>
    <w:rsid w:val="00886C0C"/>
    <w:rsid w:val="008931E4"/>
    <w:rsid w:val="008959F4"/>
    <w:rsid w:val="00896398"/>
    <w:rsid w:val="0089674E"/>
    <w:rsid w:val="00897FD8"/>
    <w:rsid w:val="008A09FE"/>
    <w:rsid w:val="008A32EC"/>
    <w:rsid w:val="008B0171"/>
    <w:rsid w:val="008B0A0C"/>
    <w:rsid w:val="008B1C1C"/>
    <w:rsid w:val="008B789E"/>
    <w:rsid w:val="008C1EFD"/>
    <w:rsid w:val="008C303E"/>
    <w:rsid w:val="008C307F"/>
    <w:rsid w:val="008C3D59"/>
    <w:rsid w:val="008C590D"/>
    <w:rsid w:val="008D1271"/>
    <w:rsid w:val="008D154A"/>
    <w:rsid w:val="008E0108"/>
    <w:rsid w:val="008E014B"/>
    <w:rsid w:val="008E44AA"/>
    <w:rsid w:val="008F1904"/>
    <w:rsid w:val="008F1ACC"/>
    <w:rsid w:val="008F4D03"/>
    <w:rsid w:val="00903571"/>
    <w:rsid w:val="00904C44"/>
    <w:rsid w:val="009054BA"/>
    <w:rsid w:val="0090569A"/>
    <w:rsid w:val="00906F88"/>
    <w:rsid w:val="00907FC5"/>
    <w:rsid w:val="00910510"/>
    <w:rsid w:val="00911BC1"/>
    <w:rsid w:val="009126E7"/>
    <w:rsid w:val="00914FAC"/>
    <w:rsid w:val="00916107"/>
    <w:rsid w:val="00917575"/>
    <w:rsid w:val="0092034F"/>
    <w:rsid w:val="00920A2F"/>
    <w:rsid w:val="009222B3"/>
    <w:rsid w:val="00922A65"/>
    <w:rsid w:val="00923187"/>
    <w:rsid w:val="009254DA"/>
    <w:rsid w:val="00925D25"/>
    <w:rsid w:val="009268B2"/>
    <w:rsid w:val="0093569D"/>
    <w:rsid w:val="00936C59"/>
    <w:rsid w:val="00942BAD"/>
    <w:rsid w:val="00945D24"/>
    <w:rsid w:val="00946C14"/>
    <w:rsid w:val="00950EAF"/>
    <w:rsid w:val="00951192"/>
    <w:rsid w:val="00952A7C"/>
    <w:rsid w:val="009551D9"/>
    <w:rsid w:val="009552FD"/>
    <w:rsid w:val="00955CD4"/>
    <w:rsid w:val="00960A12"/>
    <w:rsid w:val="00963B1A"/>
    <w:rsid w:val="00963D82"/>
    <w:rsid w:val="00966BA0"/>
    <w:rsid w:val="00967311"/>
    <w:rsid w:val="00970F15"/>
    <w:rsid w:val="00973CA3"/>
    <w:rsid w:val="00984D24"/>
    <w:rsid w:val="00987DF0"/>
    <w:rsid w:val="009910D9"/>
    <w:rsid w:val="00991870"/>
    <w:rsid w:val="00992ADE"/>
    <w:rsid w:val="009953D8"/>
    <w:rsid w:val="00997071"/>
    <w:rsid w:val="00997451"/>
    <w:rsid w:val="00997A64"/>
    <w:rsid w:val="009A10CC"/>
    <w:rsid w:val="009A2F2E"/>
    <w:rsid w:val="009B040B"/>
    <w:rsid w:val="009B08E2"/>
    <w:rsid w:val="009B3AAC"/>
    <w:rsid w:val="009B6A3E"/>
    <w:rsid w:val="009B739F"/>
    <w:rsid w:val="009C1155"/>
    <w:rsid w:val="009C190B"/>
    <w:rsid w:val="009C379C"/>
    <w:rsid w:val="009C4056"/>
    <w:rsid w:val="009D13BE"/>
    <w:rsid w:val="009D1FFF"/>
    <w:rsid w:val="009D2FA1"/>
    <w:rsid w:val="009D3D8D"/>
    <w:rsid w:val="009D5A26"/>
    <w:rsid w:val="009D7178"/>
    <w:rsid w:val="009E179A"/>
    <w:rsid w:val="009E1944"/>
    <w:rsid w:val="009F0BBD"/>
    <w:rsid w:val="009F0E46"/>
    <w:rsid w:val="009F59B8"/>
    <w:rsid w:val="00A10128"/>
    <w:rsid w:val="00A210CC"/>
    <w:rsid w:val="00A26D81"/>
    <w:rsid w:val="00A3342B"/>
    <w:rsid w:val="00A356DB"/>
    <w:rsid w:val="00A42B2D"/>
    <w:rsid w:val="00A450C7"/>
    <w:rsid w:val="00A45503"/>
    <w:rsid w:val="00A45D16"/>
    <w:rsid w:val="00A46805"/>
    <w:rsid w:val="00A4681B"/>
    <w:rsid w:val="00A51A95"/>
    <w:rsid w:val="00A51B55"/>
    <w:rsid w:val="00A536A0"/>
    <w:rsid w:val="00A6033D"/>
    <w:rsid w:val="00A60E8A"/>
    <w:rsid w:val="00A621A8"/>
    <w:rsid w:val="00A637ED"/>
    <w:rsid w:val="00A63B8D"/>
    <w:rsid w:val="00A65ED5"/>
    <w:rsid w:val="00A70149"/>
    <w:rsid w:val="00A7761D"/>
    <w:rsid w:val="00A8022B"/>
    <w:rsid w:val="00A8031C"/>
    <w:rsid w:val="00A856F2"/>
    <w:rsid w:val="00A91EBE"/>
    <w:rsid w:val="00A94DE5"/>
    <w:rsid w:val="00A9571C"/>
    <w:rsid w:val="00A96EFB"/>
    <w:rsid w:val="00AB08CD"/>
    <w:rsid w:val="00AB4BD7"/>
    <w:rsid w:val="00AB6976"/>
    <w:rsid w:val="00AD1564"/>
    <w:rsid w:val="00AD1895"/>
    <w:rsid w:val="00AD4C58"/>
    <w:rsid w:val="00AE08FD"/>
    <w:rsid w:val="00AE0D1A"/>
    <w:rsid w:val="00AE2184"/>
    <w:rsid w:val="00AE394F"/>
    <w:rsid w:val="00AE7D6E"/>
    <w:rsid w:val="00AF0D6E"/>
    <w:rsid w:val="00AF444C"/>
    <w:rsid w:val="00AF5112"/>
    <w:rsid w:val="00AF6847"/>
    <w:rsid w:val="00AF6B1D"/>
    <w:rsid w:val="00B00C71"/>
    <w:rsid w:val="00B02982"/>
    <w:rsid w:val="00B034D5"/>
    <w:rsid w:val="00B03620"/>
    <w:rsid w:val="00B05B0D"/>
    <w:rsid w:val="00B075C1"/>
    <w:rsid w:val="00B10B6E"/>
    <w:rsid w:val="00B139E9"/>
    <w:rsid w:val="00B17CD5"/>
    <w:rsid w:val="00B20233"/>
    <w:rsid w:val="00B216EC"/>
    <w:rsid w:val="00B24AA3"/>
    <w:rsid w:val="00B2657E"/>
    <w:rsid w:val="00B3057F"/>
    <w:rsid w:val="00B37232"/>
    <w:rsid w:val="00B40C59"/>
    <w:rsid w:val="00B40D91"/>
    <w:rsid w:val="00B41D46"/>
    <w:rsid w:val="00B45F7A"/>
    <w:rsid w:val="00B50AA7"/>
    <w:rsid w:val="00B51665"/>
    <w:rsid w:val="00B528C0"/>
    <w:rsid w:val="00B5365E"/>
    <w:rsid w:val="00B53982"/>
    <w:rsid w:val="00B549D4"/>
    <w:rsid w:val="00B61B33"/>
    <w:rsid w:val="00B659EA"/>
    <w:rsid w:val="00B666EC"/>
    <w:rsid w:val="00B670A3"/>
    <w:rsid w:val="00B70FEF"/>
    <w:rsid w:val="00B71FF3"/>
    <w:rsid w:val="00B736D4"/>
    <w:rsid w:val="00B7410D"/>
    <w:rsid w:val="00B756A0"/>
    <w:rsid w:val="00B75DAC"/>
    <w:rsid w:val="00B76EB6"/>
    <w:rsid w:val="00B77050"/>
    <w:rsid w:val="00B8090F"/>
    <w:rsid w:val="00B80B76"/>
    <w:rsid w:val="00B84A2B"/>
    <w:rsid w:val="00B84DAF"/>
    <w:rsid w:val="00B85121"/>
    <w:rsid w:val="00B860FA"/>
    <w:rsid w:val="00B90D23"/>
    <w:rsid w:val="00B92549"/>
    <w:rsid w:val="00B94B6D"/>
    <w:rsid w:val="00B9530E"/>
    <w:rsid w:val="00B9548F"/>
    <w:rsid w:val="00B96BB9"/>
    <w:rsid w:val="00BA01C3"/>
    <w:rsid w:val="00BA26D1"/>
    <w:rsid w:val="00BA6125"/>
    <w:rsid w:val="00BA7CB6"/>
    <w:rsid w:val="00BB2F22"/>
    <w:rsid w:val="00BB626C"/>
    <w:rsid w:val="00BC5D5F"/>
    <w:rsid w:val="00BD1E8D"/>
    <w:rsid w:val="00BD45F7"/>
    <w:rsid w:val="00BD5C2A"/>
    <w:rsid w:val="00BE08AE"/>
    <w:rsid w:val="00BE74FF"/>
    <w:rsid w:val="00BE753A"/>
    <w:rsid w:val="00BE7B36"/>
    <w:rsid w:val="00BF11D9"/>
    <w:rsid w:val="00BF15F2"/>
    <w:rsid w:val="00BF2387"/>
    <w:rsid w:val="00BF5837"/>
    <w:rsid w:val="00BF5BE1"/>
    <w:rsid w:val="00BF7F68"/>
    <w:rsid w:val="00C0004D"/>
    <w:rsid w:val="00C009D0"/>
    <w:rsid w:val="00C02BC6"/>
    <w:rsid w:val="00C035C4"/>
    <w:rsid w:val="00C2159D"/>
    <w:rsid w:val="00C23689"/>
    <w:rsid w:val="00C23F8E"/>
    <w:rsid w:val="00C253C0"/>
    <w:rsid w:val="00C25F49"/>
    <w:rsid w:val="00C37FC4"/>
    <w:rsid w:val="00C430AF"/>
    <w:rsid w:val="00C43D2F"/>
    <w:rsid w:val="00C44C6D"/>
    <w:rsid w:val="00C45130"/>
    <w:rsid w:val="00C550CD"/>
    <w:rsid w:val="00C6198A"/>
    <w:rsid w:val="00C63A66"/>
    <w:rsid w:val="00C64256"/>
    <w:rsid w:val="00C65710"/>
    <w:rsid w:val="00C660B7"/>
    <w:rsid w:val="00C73195"/>
    <w:rsid w:val="00C74AB0"/>
    <w:rsid w:val="00C75E1B"/>
    <w:rsid w:val="00C767BF"/>
    <w:rsid w:val="00C8165B"/>
    <w:rsid w:val="00C85D6C"/>
    <w:rsid w:val="00C86D89"/>
    <w:rsid w:val="00C90ECF"/>
    <w:rsid w:val="00C914F7"/>
    <w:rsid w:val="00C91CE7"/>
    <w:rsid w:val="00C96732"/>
    <w:rsid w:val="00C97E60"/>
    <w:rsid w:val="00CA27DE"/>
    <w:rsid w:val="00CA2C44"/>
    <w:rsid w:val="00CA7D5D"/>
    <w:rsid w:val="00CB1D6D"/>
    <w:rsid w:val="00CB45F1"/>
    <w:rsid w:val="00CB5C2B"/>
    <w:rsid w:val="00CB5F3B"/>
    <w:rsid w:val="00CB66B3"/>
    <w:rsid w:val="00CB725B"/>
    <w:rsid w:val="00CB7503"/>
    <w:rsid w:val="00CC1922"/>
    <w:rsid w:val="00CC4FC1"/>
    <w:rsid w:val="00CD0AD4"/>
    <w:rsid w:val="00CD3FA1"/>
    <w:rsid w:val="00CD4AF9"/>
    <w:rsid w:val="00CD56E2"/>
    <w:rsid w:val="00CE711F"/>
    <w:rsid w:val="00CF2613"/>
    <w:rsid w:val="00CF5D4E"/>
    <w:rsid w:val="00D008D6"/>
    <w:rsid w:val="00D01B95"/>
    <w:rsid w:val="00D02C99"/>
    <w:rsid w:val="00D04FA3"/>
    <w:rsid w:val="00D06029"/>
    <w:rsid w:val="00D0635D"/>
    <w:rsid w:val="00D0660B"/>
    <w:rsid w:val="00D07DF1"/>
    <w:rsid w:val="00D13B9D"/>
    <w:rsid w:val="00D14AED"/>
    <w:rsid w:val="00D15DA1"/>
    <w:rsid w:val="00D224AE"/>
    <w:rsid w:val="00D23E6C"/>
    <w:rsid w:val="00D24BE3"/>
    <w:rsid w:val="00D25A16"/>
    <w:rsid w:val="00D30BC1"/>
    <w:rsid w:val="00D3292A"/>
    <w:rsid w:val="00D32E55"/>
    <w:rsid w:val="00D32ECD"/>
    <w:rsid w:val="00D356E1"/>
    <w:rsid w:val="00D3621F"/>
    <w:rsid w:val="00D3783C"/>
    <w:rsid w:val="00D40133"/>
    <w:rsid w:val="00D47A8A"/>
    <w:rsid w:val="00D5289C"/>
    <w:rsid w:val="00D53159"/>
    <w:rsid w:val="00D629D4"/>
    <w:rsid w:val="00D62BB7"/>
    <w:rsid w:val="00D66456"/>
    <w:rsid w:val="00D67519"/>
    <w:rsid w:val="00D718DD"/>
    <w:rsid w:val="00D721F0"/>
    <w:rsid w:val="00D74C39"/>
    <w:rsid w:val="00D76312"/>
    <w:rsid w:val="00D77E68"/>
    <w:rsid w:val="00D80097"/>
    <w:rsid w:val="00D80952"/>
    <w:rsid w:val="00D83412"/>
    <w:rsid w:val="00D85EE3"/>
    <w:rsid w:val="00D86564"/>
    <w:rsid w:val="00D866D4"/>
    <w:rsid w:val="00D871FE"/>
    <w:rsid w:val="00D912CB"/>
    <w:rsid w:val="00D91C05"/>
    <w:rsid w:val="00D924FA"/>
    <w:rsid w:val="00D92957"/>
    <w:rsid w:val="00D92D5F"/>
    <w:rsid w:val="00D93994"/>
    <w:rsid w:val="00D9635B"/>
    <w:rsid w:val="00DA0121"/>
    <w:rsid w:val="00DA18BC"/>
    <w:rsid w:val="00DA2A0D"/>
    <w:rsid w:val="00DA3DB9"/>
    <w:rsid w:val="00DA4597"/>
    <w:rsid w:val="00DA467E"/>
    <w:rsid w:val="00DA6EF2"/>
    <w:rsid w:val="00DB147C"/>
    <w:rsid w:val="00DB545B"/>
    <w:rsid w:val="00DB7CFB"/>
    <w:rsid w:val="00DC1AD3"/>
    <w:rsid w:val="00DC2864"/>
    <w:rsid w:val="00DC4DF8"/>
    <w:rsid w:val="00DC6530"/>
    <w:rsid w:val="00DD0D08"/>
    <w:rsid w:val="00DD0EB5"/>
    <w:rsid w:val="00DD4AFD"/>
    <w:rsid w:val="00DD530E"/>
    <w:rsid w:val="00DD7990"/>
    <w:rsid w:val="00DE421E"/>
    <w:rsid w:val="00DF00C5"/>
    <w:rsid w:val="00DF5AC5"/>
    <w:rsid w:val="00DF7318"/>
    <w:rsid w:val="00E02C5C"/>
    <w:rsid w:val="00E06973"/>
    <w:rsid w:val="00E06B6D"/>
    <w:rsid w:val="00E12017"/>
    <w:rsid w:val="00E1741F"/>
    <w:rsid w:val="00E20185"/>
    <w:rsid w:val="00E263C8"/>
    <w:rsid w:val="00E33CB0"/>
    <w:rsid w:val="00E34A51"/>
    <w:rsid w:val="00E3505D"/>
    <w:rsid w:val="00E36ED1"/>
    <w:rsid w:val="00E43AFF"/>
    <w:rsid w:val="00E44915"/>
    <w:rsid w:val="00E457A5"/>
    <w:rsid w:val="00E52F2E"/>
    <w:rsid w:val="00E60A0B"/>
    <w:rsid w:val="00E62A3C"/>
    <w:rsid w:val="00E633AE"/>
    <w:rsid w:val="00E652C1"/>
    <w:rsid w:val="00E6701F"/>
    <w:rsid w:val="00E6702E"/>
    <w:rsid w:val="00E707E4"/>
    <w:rsid w:val="00E722B9"/>
    <w:rsid w:val="00E8289A"/>
    <w:rsid w:val="00E91A1D"/>
    <w:rsid w:val="00E92C96"/>
    <w:rsid w:val="00EA149F"/>
    <w:rsid w:val="00EA191D"/>
    <w:rsid w:val="00EA2EA7"/>
    <w:rsid w:val="00EA341F"/>
    <w:rsid w:val="00EA6CD2"/>
    <w:rsid w:val="00EB10D1"/>
    <w:rsid w:val="00EB2C7E"/>
    <w:rsid w:val="00EC29D5"/>
    <w:rsid w:val="00EC3579"/>
    <w:rsid w:val="00EC57D6"/>
    <w:rsid w:val="00EC779E"/>
    <w:rsid w:val="00ED1188"/>
    <w:rsid w:val="00ED1A60"/>
    <w:rsid w:val="00ED2F9D"/>
    <w:rsid w:val="00ED36E8"/>
    <w:rsid w:val="00ED3D34"/>
    <w:rsid w:val="00ED5D8C"/>
    <w:rsid w:val="00EF052C"/>
    <w:rsid w:val="00EF0721"/>
    <w:rsid w:val="00EF1B88"/>
    <w:rsid w:val="00EF7827"/>
    <w:rsid w:val="00F04B9C"/>
    <w:rsid w:val="00F05232"/>
    <w:rsid w:val="00F057C2"/>
    <w:rsid w:val="00F06F60"/>
    <w:rsid w:val="00F112D6"/>
    <w:rsid w:val="00F12C3F"/>
    <w:rsid w:val="00F136A2"/>
    <w:rsid w:val="00F13F99"/>
    <w:rsid w:val="00F14425"/>
    <w:rsid w:val="00F145F8"/>
    <w:rsid w:val="00F17304"/>
    <w:rsid w:val="00F2260B"/>
    <w:rsid w:val="00F23C00"/>
    <w:rsid w:val="00F40244"/>
    <w:rsid w:val="00F4533B"/>
    <w:rsid w:val="00F45990"/>
    <w:rsid w:val="00F46D23"/>
    <w:rsid w:val="00F514FB"/>
    <w:rsid w:val="00F51C02"/>
    <w:rsid w:val="00F51F06"/>
    <w:rsid w:val="00F6156A"/>
    <w:rsid w:val="00F640E6"/>
    <w:rsid w:val="00F642E8"/>
    <w:rsid w:val="00F65E03"/>
    <w:rsid w:val="00F6736F"/>
    <w:rsid w:val="00F70DA7"/>
    <w:rsid w:val="00F713B4"/>
    <w:rsid w:val="00F76852"/>
    <w:rsid w:val="00F76DCE"/>
    <w:rsid w:val="00F7753C"/>
    <w:rsid w:val="00F832D9"/>
    <w:rsid w:val="00F83B7A"/>
    <w:rsid w:val="00F83BB6"/>
    <w:rsid w:val="00F84B80"/>
    <w:rsid w:val="00F84D49"/>
    <w:rsid w:val="00F85194"/>
    <w:rsid w:val="00F87F91"/>
    <w:rsid w:val="00F932C6"/>
    <w:rsid w:val="00F935C8"/>
    <w:rsid w:val="00F95F3A"/>
    <w:rsid w:val="00FA153A"/>
    <w:rsid w:val="00FA3D37"/>
    <w:rsid w:val="00FA5307"/>
    <w:rsid w:val="00FA5933"/>
    <w:rsid w:val="00FB54A9"/>
    <w:rsid w:val="00FB6CFC"/>
    <w:rsid w:val="00FB76A1"/>
    <w:rsid w:val="00FC157C"/>
    <w:rsid w:val="00FC1ED4"/>
    <w:rsid w:val="00FC4709"/>
    <w:rsid w:val="00FC611B"/>
    <w:rsid w:val="00FD076B"/>
    <w:rsid w:val="00FD496C"/>
    <w:rsid w:val="00FD69B2"/>
    <w:rsid w:val="00FD6E2A"/>
    <w:rsid w:val="00FE2833"/>
    <w:rsid w:val="00FE2D81"/>
    <w:rsid w:val="00FE2DCF"/>
    <w:rsid w:val="00FE755A"/>
    <w:rsid w:val="00FF1BB2"/>
    <w:rsid w:val="00FF2043"/>
    <w:rsid w:val="00FF2A07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8B0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23</Pages>
  <Words>5799</Words>
  <Characters>33055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871</cp:revision>
  <dcterms:created xsi:type="dcterms:W3CDTF">2022-12-19T05:35:00Z</dcterms:created>
  <dcterms:modified xsi:type="dcterms:W3CDTF">2023-02-23T07:17:00Z</dcterms:modified>
</cp:coreProperties>
</file>