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60"/>
      </w:pPr>
      <w:r>
        <w:rPr>
          <w:rFonts w:ascii="Times New Roman" w:hAnsi="Times New Roman"/>
          <w:b/>
          <w:color w:val="000000"/>
          <w:sz w:val="28"/>
        </w:rPr>
        <w:t>Assignment 5 - Part 2</w:t>
      </w:r>
    </w:p>
    <w:p>
      <w:pPr>
        <w:spacing w:before="0" w:after="240"/>
      </w:pPr>
      <w:r>
        <w:rPr>
          <w:rFonts w:ascii="Times New Roman" w:hAnsi="Times New Roman"/>
          <w:b/>
          <w:color w:val="000000"/>
          <w:sz w:val="36"/>
        </w:rPr>
        <w:t>Data Wrangling with R</w:t>
      </w:r>
    </w:p>
    <w:tbl>
      <w:tblPr>
        <w:jc w:val="left"/>
        <w:tblLook w:firstColumn="1" w:firstRow="1" w:lastColumn="0" w:lastRow="0" w:noHBand="0" w:noVBand="1" w:val="04A0"/>
        <w:tblW w:w="9360" w:type="dxa"/>
        <w:tblInd w:w="120" w:type="dxa"/>
        <w:tblLayout w:type="fixed"/>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700"/>
        <w:gridCol w:w="6660"/>
      </w:tblGrid>
      <w:tr>
        <w:tc>
          <w:tcPr>
            <w:tcW w:type="dxa" w:w="2700"/>
            <w:tcMar>
              <w:top w:w="80" w:type="dxa"/>
              <w:bottom w:w="80" w:type="dxa"/>
              <w:start w:w="120" w:type="dxa"/>
              <w:end w:w="120" w:type="dxa"/>
            </w:tcMar>
            <w:vAlign w:val="center"/>
            <w:shd w:fill="F2F4F7"/>
          </w:tcPr>
          <w:p>
            <w:pPr>
              <w:spacing w:after="0"/>
            </w:pPr>
            <w:r>
              <w:rPr>
                <w:rFonts w:ascii="Times New Roman" w:hAnsi="Times New Roman"/>
                <w:b/>
                <w:color w:val="0B2545"/>
                <w:sz w:val="19"/>
              </w:rPr>
              <w:t>Team Number</w:t>
            </w:r>
          </w:p>
        </w:tc>
        <w:tc>
          <w:tcPr>
            <w:tcW w:type="dxa" w:w="6660"/>
            <w:tcMar>
              <w:top w:w="80" w:type="dxa"/>
              <w:bottom w:w="80" w:type="dxa"/>
              <w:start w:w="120" w:type="dxa"/>
              <w:end w:w="120" w:type="dxa"/>
            </w:tcMar>
            <w:vAlign w:val="center"/>
          </w:tcPr>
          <w:p>
            <w:pPr>
              <w:spacing w:after="0"/>
            </w:pPr>
            <w:r>
              <w:rPr>
                <w:rFonts w:ascii="Times New Roman" w:hAnsi="Times New Roman"/>
                <w:sz w:val="19"/>
              </w:rPr>
              <w:t>2</w:t>
            </w:r>
          </w:p>
        </w:tc>
      </w:tr>
      <w:tr>
        <w:tc>
          <w:tcPr>
            <w:tcW w:type="dxa" w:w="2700"/>
            <w:tcMar>
              <w:top w:w="80" w:type="dxa"/>
              <w:bottom w:w="80" w:type="dxa"/>
              <w:start w:w="120" w:type="dxa"/>
              <w:end w:w="120" w:type="dxa"/>
            </w:tcMar>
            <w:vAlign w:val="center"/>
            <w:shd w:fill="F2F4F7"/>
          </w:tcPr>
          <w:p>
            <w:pPr>
              <w:spacing w:after="0"/>
            </w:pPr>
            <w:r>
              <w:rPr>
                <w:rFonts w:ascii="Times New Roman" w:hAnsi="Times New Roman"/>
                <w:b/>
                <w:color w:val="0B2545"/>
                <w:sz w:val="19"/>
              </w:rPr>
              <w:t>Project Title</w:t>
            </w:r>
          </w:p>
        </w:tc>
        <w:tc>
          <w:tcPr>
            <w:tcW w:type="dxa" w:w="6660"/>
            <w:tcMar>
              <w:top w:w="80" w:type="dxa"/>
              <w:bottom w:w="80" w:type="dxa"/>
              <w:start w:w="120" w:type="dxa"/>
              <w:end w:w="120" w:type="dxa"/>
            </w:tcMar>
            <w:vAlign w:val="center"/>
          </w:tcPr>
          <w:p>
            <w:pPr>
              <w:spacing w:after="0"/>
            </w:pPr>
            <w:r>
              <w:rPr>
                <w:rFonts w:ascii="Times New Roman" w:hAnsi="Times New Roman"/>
                <w:sz w:val="19"/>
              </w:rPr>
              <w:t>Historical Stock Analysis</w:t>
            </w:r>
          </w:p>
        </w:tc>
      </w:tr>
      <w:tr>
        <w:tc>
          <w:tcPr>
            <w:tcW w:type="dxa" w:w="2700"/>
            <w:tcMar>
              <w:top w:w="80" w:type="dxa"/>
              <w:bottom w:w="80" w:type="dxa"/>
              <w:start w:w="120" w:type="dxa"/>
              <w:end w:w="120" w:type="dxa"/>
            </w:tcMar>
            <w:vAlign w:val="center"/>
            <w:shd w:fill="F2F4F7"/>
          </w:tcPr>
          <w:p>
            <w:pPr>
              <w:spacing w:after="0"/>
            </w:pPr>
            <w:r>
              <w:rPr>
                <w:rFonts w:ascii="Times New Roman" w:hAnsi="Times New Roman"/>
                <w:b/>
                <w:color w:val="0B2545"/>
                <w:sz w:val="19"/>
              </w:rPr>
              <w:t>Dataset</w:t>
            </w:r>
          </w:p>
        </w:tc>
        <w:tc>
          <w:tcPr>
            <w:tcW w:type="dxa" w:w="6660"/>
            <w:tcMar>
              <w:top w:w="80" w:type="dxa"/>
              <w:bottom w:w="80" w:type="dxa"/>
              <w:start w:w="120" w:type="dxa"/>
              <w:end w:w="120" w:type="dxa"/>
            </w:tcMar>
            <w:vAlign w:val="center"/>
          </w:tcPr>
          <w:p>
            <w:pPr>
              <w:spacing w:after="0"/>
            </w:pPr>
            <w:r>
              <w:rPr>
                <w:rFonts w:ascii="Times New Roman" w:hAnsi="Times New Roman"/>
                <w:sz w:val="19"/>
              </w:rPr>
              <w:t>data/stock_data.csv - https://www.kaggle.com/datasets/ibrahimshahrukh/top-50-companies-dataset (the source page has since been removed by its uploader)</w:t>
            </w:r>
          </w:p>
        </w:tc>
      </w:tr>
      <w:tr>
        <w:tc>
          <w:tcPr>
            <w:tcW w:type="dxa" w:w="2700"/>
            <w:tcMar>
              <w:top w:w="80" w:type="dxa"/>
              <w:bottom w:w="80" w:type="dxa"/>
              <w:start w:w="120" w:type="dxa"/>
              <w:end w:w="120" w:type="dxa"/>
            </w:tcMar>
            <w:vAlign w:val="center"/>
            <w:shd w:fill="F2F4F7"/>
          </w:tcPr>
          <w:p>
            <w:pPr>
              <w:spacing w:after="0"/>
            </w:pPr>
            <w:r>
              <w:rPr>
                <w:rFonts w:ascii="Times New Roman" w:hAnsi="Times New Roman"/>
                <w:b/>
                <w:color w:val="0B2545"/>
                <w:sz w:val="19"/>
              </w:rPr>
              <w:t>Team Members</w:t>
            </w:r>
          </w:p>
        </w:tc>
        <w:tc>
          <w:tcPr>
            <w:tcW w:type="dxa" w:w="6660"/>
            <w:tcMar>
              <w:top w:w="80" w:type="dxa"/>
              <w:bottom w:w="80" w:type="dxa"/>
              <w:start w:w="120" w:type="dxa"/>
              <w:end w:w="120" w:type="dxa"/>
            </w:tcMar>
            <w:vAlign w:val="center"/>
          </w:tcPr>
          <w:p>
            <w:pPr>
              <w:spacing w:after="0"/>
            </w:pPr>
            <w:r>
              <w:rPr>
                <w:rFonts w:ascii="Times New Roman" w:hAnsi="Times New Roman"/>
                <w:sz w:val="19"/>
              </w:rPr>
              <w:t>Karthikeyan M (26120004), Mirthula M (26120121), Lakshmi Mayuri Kavya N (26120161)</w:t>
            </w:r>
          </w:p>
        </w:tc>
      </w:tr>
      <w:tr>
        <w:tc>
          <w:tcPr>
            <w:tcW w:type="dxa" w:w="2700"/>
            <w:tcMar>
              <w:top w:w="80" w:type="dxa"/>
              <w:bottom w:w="80" w:type="dxa"/>
              <w:start w:w="120" w:type="dxa"/>
              <w:end w:w="120" w:type="dxa"/>
            </w:tcMar>
            <w:vAlign w:val="center"/>
            <w:shd w:fill="F2F4F7"/>
          </w:tcPr>
          <w:p>
            <w:pPr>
              <w:spacing w:after="0"/>
            </w:pPr>
            <w:r>
              <w:rPr>
                <w:rFonts w:ascii="Times New Roman" w:hAnsi="Times New Roman"/>
                <w:b/>
                <w:color w:val="0B2545"/>
                <w:sz w:val="19"/>
              </w:rPr>
              <w:t>Date</w:t>
            </w:r>
          </w:p>
        </w:tc>
        <w:tc>
          <w:tcPr>
            <w:tcW w:type="dxa" w:w="6660"/>
            <w:tcMar>
              <w:top w:w="80" w:type="dxa"/>
              <w:bottom w:w="80" w:type="dxa"/>
              <w:start w:w="120" w:type="dxa"/>
              <w:end w:w="120" w:type="dxa"/>
            </w:tcMar>
            <w:vAlign w:val="center"/>
          </w:tcPr>
          <w:p>
            <w:pPr>
              <w:spacing w:after="0"/>
            </w:pPr>
            <w:r>
              <w:rPr>
                <w:rFonts w:ascii="Times New Roman" w:hAnsi="Times New Roman"/>
                <w:sz w:val="19"/>
              </w:rPr>
              <w:t>19 August 2026</w:t>
            </w:r>
          </w:p>
        </w:tc>
      </w:tr>
    </w:tbl>
    <w:p>
      <w:pPr>
        <w:spacing w:before="240" w:after="120"/>
      </w:pPr>
      <w:r>
        <w:t>This is the same stock dataset we used in Assignment 4, with 230,111 rows. For this part, we used tidyr to switch between wide and long data, lubridate to work with the Date column, and dplyr and data.table to calculate the same grouped summary in two ways. Since the stocks trade in different currencies, we compare indexed prices or returns instead of comparing raw prices directly.</w:t>
      </w:r>
    </w:p>
    <w:p>
      <w:r>
        <w:br w:type="page"/>
      </w:r>
    </w:p>
    <w:p>
      <w:pPr>
        <w:pStyle w:val="Heading1"/>
      </w:pPr>
      <w:r>
        <w:t>B.1 Reshape your data</w:t>
      </w:r>
    </w:p>
    <w:p>
      <w:r>
        <w:t>We used AAPL, MSFT, NVDA, and AVGO for 2025 and kept the last trading day in each month. We then indexed every stock to 100 in January. All four stocks are listed in the US, and indexing them makes the change over time comparable even though their starting prices are different.</w:t>
      </w:r>
    </w:p>
    <w:p>
      <w:pPr>
        <w:pStyle w:val="Heading2"/>
      </w:pPr>
      <w:r>
        <w:t>Wide and long forms</w:t>
      </w:r>
    </w:p>
    <w:p>
      <w:pPr>
        <w:pStyle w:val="Caption"/>
      </w:pPr>
      <w:r>
        <w:t>Table 1. Wide form (first four months; January 2025 = 100)</w:t>
      </w:r>
    </w:p>
    <w:tbl>
      <w:tblPr>
        <w:tblLook w:firstColumn="1" w:firstRow="1" w:lastColumn="0" w:lastRow="0" w:noHBand="0" w:noVBand="1" w:val="04A0"/>
        <w:jc w:val="lef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W w:w="9360" w:type="dxa"/>
        <w:tblInd w:w="120" w:type="dxa"/>
        <w:tblLayout w:type="fixed"/>
      </w:tblPr>
      <w:tblGrid>
        <w:gridCol w:w="1800"/>
        <w:gridCol w:w="1890"/>
        <w:gridCol w:w="1890"/>
        <w:gridCol w:w="1890"/>
        <w:gridCol w:w="1890"/>
      </w:tblGrid>
      <w:tr>
        <w:trPr>
          <w:tblHeader w:val="true"/>
        </w:trPr>
        <w:tc>
          <w:tcPr>
            <w:tcW w:type="dxa" w:w="18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Month</w:t>
            </w:r>
          </w:p>
        </w:tc>
        <w:tc>
          <w:tcPr>
            <w:tcW w:type="dxa" w:w="189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AAPL</w:t>
            </w:r>
          </w:p>
        </w:tc>
        <w:tc>
          <w:tcPr>
            <w:tcW w:type="dxa" w:w="189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AVGO</w:t>
            </w:r>
          </w:p>
        </w:tc>
        <w:tc>
          <w:tcPr>
            <w:tcW w:type="dxa" w:w="189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MSFT</w:t>
            </w:r>
          </w:p>
        </w:tc>
        <w:tc>
          <w:tcPr>
            <w:tcW w:type="dxa" w:w="189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NVDA</w:t>
            </w:r>
          </w:p>
        </w:tc>
      </w:tr>
      <w:tr>
        <w:tc>
          <w:tcPr>
            <w:tcW w:type="dxa" w:w="1800"/>
            <w:tcMar>
              <w:top w:w="80" w:type="dxa"/>
              <w:bottom w:w="80" w:type="dxa"/>
              <w:start w:w="120" w:type="dxa"/>
              <w:end w:w="120" w:type="dxa"/>
            </w:tcMar>
            <w:vAlign w:val="center"/>
          </w:tcPr>
          <w:p>
            <w:pPr>
              <w:spacing w:after="0"/>
              <w:jc w:val="left"/>
            </w:pPr>
            <w:r>
              <w:rPr>
                <w:rFonts w:ascii="Times New Roman" w:hAnsi="Times New Roman"/>
                <w:sz w:val="17"/>
              </w:rPr>
              <w:t>Jan 2025</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100.0</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100.0</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100.0</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100.0</w:t>
            </w:r>
          </w:p>
        </w:tc>
      </w:tr>
      <w:tr>
        <w:tc>
          <w:tcPr>
            <w:tcW w:type="dxa" w:w="1800"/>
            <w:tcMar>
              <w:top w:w="80" w:type="dxa"/>
              <w:bottom w:w="80" w:type="dxa"/>
              <w:start w:w="120" w:type="dxa"/>
              <w:end w:w="120" w:type="dxa"/>
            </w:tcMar>
            <w:vAlign w:val="center"/>
          </w:tcPr>
          <w:p>
            <w:pPr>
              <w:spacing w:after="0"/>
              <w:jc w:val="left"/>
            </w:pPr>
            <w:r>
              <w:rPr>
                <w:rFonts w:ascii="Times New Roman" w:hAnsi="Times New Roman"/>
                <w:sz w:val="17"/>
              </w:rPr>
              <w:t>Feb 2025</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102.6</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90.1</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95.8</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104.0</w:t>
            </w:r>
          </w:p>
        </w:tc>
      </w:tr>
      <w:tr>
        <w:tc>
          <w:tcPr>
            <w:tcW w:type="dxa" w:w="1800"/>
            <w:tcMar>
              <w:top w:w="80" w:type="dxa"/>
              <w:bottom w:w="80" w:type="dxa"/>
              <w:start w:w="120" w:type="dxa"/>
              <w:end w:w="120" w:type="dxa"/>
            </w:tcMar>
            <w:vAlign w:val="center"/>
          </w:tcPr>
          <w:p>
            <w:pPr>
              <w:spacing w:after="0"/>
              <w:jc w:val="left"/>
            </w:pPr>
            <w:r>
              <w:rPr>
                <w:rFonts w:ascii="Times New Roman" w:hAnsi="Times New Roman"/>
                <w:sz w:val="17"/>
              </w:rPr>
              <w:t>Mar 2025</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94.2</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75.9</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90.6</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90.3</w:t>
            </w:r>
          </w:p>
        </w:tc>
      </w:tr>
      <w:tr>
        <w:tc>
          <w:tcPr>
            <w:tcW w:type="dxa" w:w="1800"/>
            <w:tcMar>
              <w:top w:w="80" w:type="dxa"/>
              <w:bottom w:w="80" w:type="dxa"/>
              <w:start w:w="120" w:type="dxa"/>
              <w:end w:w="120" w:type="dxa"/>
            </w:tcMar>
            <w:vAlign w:val="center"/>
          </w:tcPr>
          <w:p>
            <w:pPr>
              <w:spacing w:after="0"/>
              <w:jc w:val="left"/>
            </w:pPr>
            <w:r>
              <w:rPr>
                <w:rFonts w:ascii="Times New Roman" w:hAnsi="Times New Roman"/>
                <w:sz w:val="17"/>
              </w:rPr>
              <w:t>Apr 2025</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90.1</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87.2</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95.4</w:t>
            </w:r>
          </w:p>
        </w:tc>
        <w:tc>
          <w:tcPr>
            <w:tcW w:type="dxa" w:w="1890"/>
            <w:tcMar>
              <w:top w:w="80" w:type="dxa"/>
              <w:bottom w:w="80" w:type="dxa"/>
              <w:start w:w="120" w:type="dxa"/>
              <w:end w:w="120" w:type="dxa"/>
            </w:tcMar>
            <w:vAlign w:val="center"/>
          </w:tcPr>
          <w:p>
            <w:pPr>
              <w:spacing w:after="0"/>
              <w:jc w:val="center"/>
            </w:pPr>
            <w:r>
              <w:rPr>
                <w:rFonts w:ascii="Times New Roman" w:hAnsi="Times New Roman"/>
                <w:sz w:val="17"/>
              </w:rPr>
              <w:t>90.7</w:t>
            </w:r>
          </w:p>
        </w:tc>
      </w:tr>
    </w:tbl>
    <w:p>
      <w:pPr>
        <w:pStyle w:val="Caption"/>
      </w:pPr>
      <w:r>
        <w:t>Table 2. Long form (first eight rows)</w:t>
      </w:r>
    </w:p>
    <w:tbl>
      <w:tblPr>
        <w:tblLook w:firstColumn="1" w:firstRow="1" w:lastColumn="0" w:lastRow="0" w:noHBand="0" w:noVBand="1" w:val="04A0"/>
        <w:jc w:val="lef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W w:w="9360" w:type="dxa"/>
        <w:tblInd w:w="120" w:type="dxa"/>
        <w:tblLayout w:type="fixed"/>
      </w:tblPr>
      <w:tblGrid>
        <w:gridCol w:w="2800"/>
        <w:gridCol w:w="2300"/>
        <w:gridCol w:w="4260"/>
      </w:tblGrid>
      <w:tr>
        <w:trPr>
          <w:tblHeader w:val="true"/>
        </w:trPr>
        <w:tc>
          <w:tcPr>
            <w:tcW w:type="dxa" w:w="28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Month</w:t>
            </w:r>
          </w:p>
        </w:tc>
        <w:tc>
          <w:tcPr>
            <w:tcW w:type="dxa" w:w="230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Ticker</w:t>
            </w:r>
          </w:p>
        </w:tc>
        <w:tc>
          <w:tcPr>
            <w:tcW w:type="dxa" w:w="426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Indexed Price</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Jan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AAPL</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100.0</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Jan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AVGO</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100.0</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Jan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MSFT</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100.0</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Jan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NVDA</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100.0</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Feb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AAPL</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102.6</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Feb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AVGO</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90.1</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Feb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MSFT</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95.8</w:t>
            </w:r>
          </w:p>
        </w:tc>
      </w:tr>
      <w:tr>
        <w:tc>
          <w:tcPr>
            <w:tcW w:type="dxa" w:w="2800"/>
            <w:tcMar>
              <w:top w:w="80" w:type="dxa"/>
              <w:bottom w:w="80" w:type="dxa"/>
              <w:start w:w="120" w:type="dxa"/>
              <w:end w:w="120" w:type="dxa"/>
            </w:tcMar>
            <w:vAlign w:val="center"/>
          </w:tcPr>
          <w:p>
            <w:pPr>
              <w:spacing w:after="0"/>
              <w:jc w:val="left"/>
            </w:pPr>
            <w:r>
              <w:rPr>
                <w:rFonts w:ascii="Times New Roman" w:hAnsi="Times New Roman"/>
                <w:sz w:val="17"/>
              </w:rPr>
              <w:t>Feb 2025</w:t>
            </w:r>
          </w:p>
        </w:tc>
        <w:tc>
          <w:tcPr>
            <w:tcW w:type="dxa" w:w="2300"/>
            <w:tcMar>
              <w:top w:w="80" w:type="dxa"/>
              <w:bottom w:w="80" w:type="dxa"/>
              <w:start w:w="120" w:type="dxa"/>
              <w:end w:w="120" w:type="dxa"/>
            </w:tcMar>
            <w:vAlign w:val="center"/>
          </w:tcPr>
          <w:p>
            <w:pPr>
              <w:spacing w:after="0"/>
              <w:jc w:val="center"/>
            </w:pPr>
            <w:r>
              <w:rPr>
                <w:rFonts w:ascii="Times New Roman" w:hAnsi="Times New Roman"/>
                <w:sz w:val="17"/>
              </w:rPr>
              <w:t>NVDA</w:t>
            </w:r>
          </w:p>
        </w:tc>
        <w:tc>
          <w:tcPr>
            <w:tcW w:type="dxa" w:w="4260"/>
            <w:tcMar>
              <w:top w:w="80" w:type="dxa"/>
              <w:bottom w:w="80" w:type="dxa"/>
              <w:start w:w="120" w:type="dxa"/>
              <w:end w:w="120" w:type="dxa"/>
            </w:tcMar>
            <w:vAlign w:val="center"/>
          </w:tcPr>
          <w:p>
            <w:pPr>
              <w:spacing w:after="0"/>
              <w:jc w:val="center"/>
            </w:pPr>
            <w:r>
              <w:rPr>
                <w:rFonts w:ascii="Times New Roman" w:hAnsi="Times New Roman"/>
                <w:sz w:val="17"/>
              </w:rPr>
              <w:t>104.0</w:t>
            </w:r>
          </w:p>
        </w:tc>
      </w:tr>
    </w:tbl>
    <w:p>
      <w:pPr>
        <w:keepLines/>
        <w:spacing w:before="80" w:after="160" w:line="240" w:lineRule="auto"/>
        <w:ind w:left="115" w:right="115"/>
        <w:shd w:fill="F6F8FA"/>
      </w:pPr>
      <w:r>
        <w:rPr>
          <w:rFonts w:ascii="Courier New" w:hAnsi="Courier New"/>
          <w:color w:val="24292F"/>
          <w:sz w:val="16"/>
        </w:rPr>
        <w:t>monthly_wide &lt;- monthly_long_source %&gt;%</w:t>
        <w:br/>
      </w:r>
      <w:r>
        <w:rPr>
          <w:rFonts w:ascii="Courier New" w:hAnsi="Courier New"/>
          <w:color w:val="24292F"/>
          <w:sz w:val="16"/>
        </w:rPr>
        <w:t xml:space="preserve">  pivot_wider(names_from = Ticker, values_from = Indexed.Price)</w:t>
        <w:br/>
      </w:r>
      <w:r>
        <w:rPr>
          <w:rFonts w:ascii="Courier New" w:hAnsi="Courier New"/>
          <w:color w:val="24292F"/>
          <w:sz w:val="16"/>
        </w:rPr>
        <w:br/>
      </w:r>
      <w:r>
        <w:rPr>
          <w:rFonts w:ascii="Courier New" w:hAnsi="Courier New"/>
          <w:color w:val="24292F"/>
          <w:sz w:val="16"/>
        </w:rPr>
        <w:t>monthly_long &lt;- monthly_wide %&gt;%</w:t>
        <w:br/>
      </w:r>
      <w:r>
        <w:rPr>
          <w:rFonts w:ascii="Courier New" w:hAnsi="Courier New"/>
          <w:color w:val="24292F"/>
          <w:sz w:val="16"/>
        </w:rPr>
        <w:t xml:space="preserve">  pivot_longer(cols = all_of(selected_tickers),</w:t>
        <w:br/>
      </w:r>
      <w:r>
        <w:rPr>
          <w:rFonts w:ascii="Courier New" w:hAnsi="Courier New"/>
          <w:color w:val="24292F"/>
          <w:sz w:val="16"/>
        </w:rPr>
        <w:t xml:space="preserve">               names_to = "Ticker", values_to = "Indexed.Price")</w:t>
      </w:r>
    </w:p>
    <w:p>
      <w:pPr>
        <w:pStyle w:val="Caption"/>
      </w:pPr>
      <w:r>
        <w:t>Figure 1. Monthly adjusted prices in 2025, indexed to 100 in January.</w:t>
      </w:r>
    </w:p>
    <w:p>
      <w:pPr>
        <w:spacing w:after="120"/>
        <w:jc w:val="center"/>
      </w:pPr>
      <w:r>
        <w:drawing>
          <wp:inline xmlns:a="http://schemas.openxmlformats.org/drawingml/2006/main" xmlns:pic="http://schemas.openxmlformats.org/drawingml/2006/picture">
            <wp:extent cx="5303520" cy="3041883"/>
            <wp:docPr id="1" name="Picture 1"/>
            <wp:cNvGraphicFramePr>
              <a:graphicFrameLocks noChangeAspect="1"/>
            </wp:cNvGraphicFramePr>
            <a:graphic>
              <a:graphicData uri="http://schemas.openxmlformats.org/drawingml/2006/picture">
                <pic:pic>
                  <pic:nvPicPr>
                    <pic:cNvPr id="0" name="b1_reshape_indexed_prices.png"/>
                    <pic:cNvPicPr/>
                  </pic:nvPicPr>
                  <pic:blipFill>
                    <a:blip r:embed="rId11"/>
                    <a:stretch>
                      <a:fillRect/>
                    </a:stretch>
                  </pic:blipFill>
                  <pic:spPr>
                    <a:xfrm>
                      <a:off x="0" y="0"/>
                      <a:ext cx="5303520" cy="3041883"/>
                    </a:xfrm>
                    <a:prstGeom prst="rect"/>
                  </pic:spPr>
                </pic:pic>
              </a:graphicData>
            </a:graphic>
          </wp:inline>
        </w:drawing>
      </w:r>
    </w:p>
    <w:p>
      <w:r>
        <w:t>The long form was easier to plot. ggplot2 could use the Ticker column for the line colour and draw all four stocks with one geom_line() layer. In the wide form, every ticker is a separate column, which is useful for reading the table but less convenient for this chart. Figure 1 also shows the difference clearly: AVGO and NVDA finished 2025 near 158 and 155, while AAPL and MSFT finished near 116 and 117.</w:t>
      </w:r>
    </w:p>
    <w:p>
      <w:r>
        <w:br w:type="page"/>
      </w:r>
    </w:p>
    <w:p>
      <w:pPr>
        <w:pStyle w:val="Heading1"/>
      </w:pPr>
      <w:r>
        <w:t>B.2 Parse and use a date/time field</w:t>
      </w:r>
    </w:p>
    <w:p>
      <w:r>
        <w:t>The Date column came into R as plain text, which was the same issue we saw in Assignment 4. We converted it with ymd(), pulled out the year, month, and weekday, and used floor_date() to put the daily rows into monthly groups.</w:t>
      </w:r>
    </w:p>
    <w:p>
      <w:pPr>
        <w:pStyle w:val="Caption"/>
      </w:pPr>
      <w:r>
        <w:t>Table 3. Parsed date fields (sample)</w:t>
      </w:r>
    </w:p>
    <w:tbl>
      <w:tblPr>
        <w:tblLook w:firstColumn="1" w:firstRow="1" w:lastColumn="0" w:lastRow="0" w:noHBand="0" w:noVBand="1" w:val="04A0"/>
        <w:jc w:val="lef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W w:w="9360" w:type="dxa"/>
        <w:tblInd w:w="120" w:type="dxa"/>
        <w:tblLayout w:type="fixed"/>
      </w:tblPr>
      <w:tblGrid>
        <w:gridCol w:w="1900"/>
        <w:gridCol w:w="1800"/>
        <w:gridCol w:w="1200"/>
        <w:gridCol w:w="2100"/>
        <w:gridCol w:w="2360"/>
      </w:tblGrid>
      <w:tr>
        <w:trPr>
          <w:tblHeader w:val="true"/>
        </w:trPr>
        <w:tc>
          <w:tcPr>
            <w:tcW w:type="dxa" w:w="19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Date</w:t>
            </w:r>
          </w:p>
        </w:tc>
        <w:tc>
          <w:tcPr>
            <w:tcW w:type="dxa" w:w="18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Ticker</w:t>
            </w:r>
          </w:p>
        </w:tc>
        <w:tc>
          <w:tcPr>
            <w:tcW w:type="dxa" w:w="120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Year</w:t>
            </w:r>
          </w:p>
        </w:tc>
        <w:tc>
          <w:tcPr>
            <w:tcW w:type="dxa" w:w="21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Month</w:t>
            </w:r>
          </w:p>
        </w:tc>
        <w:tc>
          <w:tcPr>
            <w:tcW w:type="dxa" w:w="236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Weekday</w:t>
            </w:r>
          </w:p>
        </w:tc>
      </w:tr>
      <w:tr>
        <w:tc>
          <w:tcPr>
            <w:tcW w:type="dxa" w:w="1900"/>
            <w:tcMar>
              <w:top w:w="80" w:type="dxa"/>
              <w:bottom w:w="80" w:type="dxa"/>
              <w:start w:w="120" w:type="dxa"/>
              <w:end w:w="120" w:type="dxa"/>
            </w:tcMar>
            <w:vAlign w:val="center"/>
          </w:tcPr>
          <w:p>
            <w:pPr>
              <w:spacing w:after="0"/>
              <w:jc w:val="left"/>
            </w:pPr>
            <w:r>
              <w:rPr>
                <w:rFonts w:ascii="Times New Roman" w:hAnsi="Times New Roman"/>
                <w:sz w:val="17"/>
              </w:rPr>
              <w:t>2006-01-02</w:t>
            </w:r>
          </w:p>
        </w:tc>
        <w:tc>
          <w:tcPr>
            <w:tcW w:type="dxa" w:w="1800"/>
            <w:tcMar>
              <w:top w:w="80" w:type="dxa"/>
              <w:bottom w:w="80" w:type="dxa"/>
              <w:start w:w="120" w:type="dxa"/>
              <w:end w:w="120" w:type="dxa"/>
            </w:tcMar>
            <w:vAlign w:val="center"/>
          </w:tcPr>
          <w:p>
            <w:pPr>
              <w:spacing w:after="0"/>
              <w:jc w:val="left"/>
            </w:pPr>
            <w:r>
              <w:rPr>
                <w:rFonts w:ascii="Times New Roman" w:hAnsi="Times New Roman"/>
                <w:sz w:val="17"/>
              </w:rPr>
              <w:t>000660.KS</w:t>
            </w:r>
          </w:p>
        </w:tc>
        <w:tc>
          <w:tcPr>
            <w:tcW w:type="dxa" w:w="1200"/>
            <w:tcMar>
              <w:top w:w="80" w:type="dxa"/>
              <w:bottom w:w="80" w:type="dxa"/>
              <w:start w:w="120" w:type="dxa"/>
              <w:end w:w="120" w:type="dxa"/>
            </w:tcMar>
            <w:vAlign w:val="center"/>
          </w:tcPr>
          <w:p>
            <w:pPr>
              <w:spacing w:after="0"/>
              <w:jc w:val="center"/>
            </w:pPr>
            <w:r>
              <w:rPr>
                <w:rFonts w:ascii="Times New Roman" w:hAnsi="Times New Roman"/>
                <w:sz w:val="17"/>
              </w:rPr>
              <w:t>2006</w:t>
            </w:r>
          </w:p>
        </w:tc>
        <w:tc>
          <w:tcPr>
            <w:tcW w:type="dxa" w:w="2100"/>
            <w:tcMar>
              <w:top w:w="80" w:type="dxa"/>
              <w:bottom w:w="80" w:type="dxa"/>
              <w:start w:w="120" w:type="dxa"/>
              <w:end w:w="120" w:type="dxa"/>
            </w:tcMar>
            <w:vAlign w:val="center"/>
          </w:tcPr>
          <w:p>
            <w:pPr>
              <w:spacing w:after="0"/>
              <w:jc w:val="left"/>
            </w:pPr>
            <w:r>
              <w:rPr>
                <w:rFonts w:ascii="Times New Roman" w:hAnsi="Times New Roman"/>
                <w:sz w:val="17"/>
              </w:rPr>
              <w:t>January</w:t>
            </w:r>
          </w:p>
        </w:tc>
        <w:tc>
          <w:tcPr>
            <w:tcW w:type="dxa" w:w="2360"/>
            <w:tcMar>
              <w:top w:w="80" w:type="dxa"/>
              <w:bottom w:w="80" w:type="dxa"/>
              <w:start w:w="120" w:type="dxa"/>
              <w:end w:w="120" w:type="dxa"/>
            </w:tcMar>
            <w:vAlign w:val="center"/>
          </w:tcPr>
          <w:p>
            <w:pPr>
              <w:spacing w:after="0"/>
              <w:jc w:val="left"/>
            </w:pPr>
            <w:r>
              <w:rPr>
                <w:rFonts w:ascii="Times New Roman" w:hAnsi="Times New Roman"/>
                <w:sz w:val="17"/>
              </w:rPr>
              <w:t>Monday</w:t>
            </w:r>
          </w:p>
        </w:tc>
      </w:tr>
      <w:tr>
        <w:tc>
          <w:tcPr>
            <w:tcW w:type="dxa" w:w="1900"/>
            <w:tcMar>
              <w:top w:w="80" w:type="dxa"/>
              <w:bottom w:w="80" w:type="dxa"/>
              <w:start w:w="120" w:type="dxa"/>
              <w:end w:w="120" w:type="dxa"/>
            </w:tcMar>
            <w:vAlign w:val="center"/>
          </w:tcPr>
          <w:p>
            <w:pPr>
              <w:spacing w:after="0"/>
              <w:jc w:val="left"/>
            </w:pPr>
            <w:r>
              <w:rPr>
                <w:rFonts w:ascii="Times New Roman" w:hAnsi="Times New Roman"/>
                <w:sz w:val="17"/>
              </w:rPr>
              <w:t>2006-01-03</w:t>
            </w:r>
          </w:p>
        </w:tc>
        <w:tc>
          <w:tcPr>
            <w:tcW w:type="dxa" w:w="1800"/>
            <w:tcMar>
              <w:top w:w="80" w:type="dxa"/>
              <w:bottom w:w="80" w:type="dxa"/>
              <w:start w:w="120" w:type="dxa"/>
              <w:end w:w="120" w:type="dxa"/>
            </w:tcMar>
            <w:vAlign w:val="center"/>
          </w:tcPr>
          <w:p>
            <w:pPr>
              <w:spacing w:after="0"/>
              <w:jc w:val="left"/>
            </w:pPr>
            <w:r>
              <w:rPr>
                <w:rFonts w:ascii="Times New Roman" w:hAnsi="Times New Roman"/>
                <w:sz w:val="17"/>
              </w:rPr>
              <w:t>000660.KS</w:t>
            </w:r>
          </w:p>
        </w:tc>
        <w:tc>
          <w:tcPr>
            <w:tcW w:type="dxa" w:w="1200"/>
            <w:tcMar>
              <w:top w:w="80" w:type="dxa"/>
              <w:bottom w:w="80" w:type="dxa"/>
              <w:start w:w="120" w:type="dxa"/>
              <w:end w:w="120" w:type="dxa"/>
            </w:tcMar>
            <w:vAlign w:val="center"/>
          </w:tcPr>
          <w:p>
            <w:pPr>
              <w:spacing w:after="0"/>
              <w:jc w:val="center"/>
            </w:pPr>
            <w:r>
              <w:rPr>
                <w:rFonts w:ascii="Times New Roman" w:hAnsi="Times New Roman"/>
                <w:sz w:val="17"/>
              </w:rPr>
              <w:t>2006</w:t>
            </w:r>
          </w:p>
        </w:tc>
        <w:tc>
          <w:tcPr>
            <w:tcW w:type="dxa" w:w="2100"/>
            <w:tcMar>
              <w:top w:w="80" w:type="dxa"/>
              <w:bottom w:w="80" w:type="dxa"/>
              <w:start w:w="120" w:type="dxa"/>
              <w:end w:w="120" w:type="dxa"/>
            </w:tcMar>
            <w:vAlign w:val="center"/>
          </w:tcPr>
          <w:p>
            <w:pPr>
              <w:spacing w:after="0"/>
              <w:jc w:val="left"/>
            </w:pPr>
            <w:r>
              <w:rPr>
                <w:rFonts w:ascii="Times New Roman" w:hAnsi="Times New Roman"/>
                <w:sz w:val="17"/>
              </w:rPr>
              <w:t>January</w:t>
            </w:r>
          </w:p>
        </w:tc>
        <w:tc>
          <w:tcPr>
            <w:tcW w:type="dxa" w:w="2360"/>
            <w:tcMar>
              <w:top w:w="80" w:type="dxa"/>
              <w:bottom w:w="80" w:type="dxa"/>
              <w:start w:w="120" w:type="dxa"/>
              <w:end w:w="120" w:type="dxa"/>
            </w:tcMar>
            <w:vAlign w:val="center"/>
          </w:tcPr>
          <w:p>
            <w:pPr>
              <w:spacing w:after="0"/>
              <w:jc w:val="left"/>
            </w:pPr>
            <w:r>
              <w:rPr>
                <w:rFonts w:ascii="Times New Roman" w:hAnsi="Times New Roman"/>
                <w:sz w:val="17"/>
              </w:rPr>
              <w:t>Tuesday</w:t>
            </w:r>
          </w:p>
        </w:tc>
      </w:tr>
      <w:tr>
        <w:tc>
          <w:tcPr>
            <w:tcW w:type="dxa" w:w="1900"/>
            <w:tcMar>
              <w:top w:w="80" w:type="dxa"/>
              <w:bottom w:w="80" w:type="dxa"/>
              <w:start w:w="120" w:type="dxa"/>
              <w:end w:w="120" w:type="dxa"/>
            </w:tcMar>
            <w:vAlign w:val="center"/>
          </w:tcPr>
          <w:p>
            <w:pPr>
              <w:spacing w:after="0"/>
              <w:jc w:val="left"/>
            </w:pPr>
            <w:r>
              <w:rPr>
                <w:rFonts w:ascii="Times New Roman" w:hAnsi="Times New Roman"/>
                <w:sz w:val="17"/>
              </w:rPr>
              <w:t>2006-01-04</w:t>
            </w:r>
          </w:p>
        </w:tc>
        <w:tc>
          <w:tcPr>
            <w:tcW w:type="dxa" w:w="1800"/>
            <w:tcMar>
              <w:top w:w="80" w:type="dxa"/>
              <w:bottom w:w="80" w:type="dxa"/>
              <w:start w:w="120" w:type="dxa"/>
              <w:end w:w="120" w:type="dxa"/>
            </w:tcMar>
            <w:vAlign w:val="center"/>
          </w:tcPr>
          <w:p>
            <w:pPr>
              <w:spacing w:after="0"/>
              <w:jc w:val="left"/>
            </w:pPr>
            <w:r>
              <w:rPr>
                <w:rFonts w:ascii="Times New Roman" w:hAnsi="Times New Roman"/>
                <w:sz w:val="17"/>
              </w:rPr>
              <w:t>000660.KS</w:t>
            </w:r>
          </w:p>
        </w:tc>
        <w:tc>
          <w:tcPr>
            <w:tcW w:type="dxa" w:w="1200"/>
            <w:tcMar>
              <w:top w:w="80" w:type="dxa"/>
              <w:bottom w:w="80" w:type="dxa"/>
              <w:start w:w="120" w:type="dxa"/>
              <w:end w:w="120" w:type="dxa"/>
            </w:tcMar>
            <w:vAlign w:val="center"/>
          </w:tcPr>
          <w:p>
            <w:pPr>
              <w:spacing w:after="0"/>
              <w:jc w:val="center"/>
            </w:pPr>
            <w:r>
              <w:rPr>
                <w:rFonts w:ascii="Times New Roman" w:hAnsi="Times New Roman"/>
                <w:sz w:val="17"/>
              </w:rPr>
              <w:t>2006</w:t>
            </w:r>
          </w:p>
        </w:tc>
        <w:tc>
          <w:tcPr>
            <w:tcW w:type="dxa" w:w="2100"/>
            <w:tcMar>
              <w:top w:w="80" w:type="dxa"/>
              <w:bottom w:w="80" w:type="dxa"/>
              <w:start w:w="120" w:type="dxa"/>
              <w:end w:w="120" w:type="dxa"/>
            </w:tcMar>
            <w:vAlign w:val="center"/>
          </w:tcPr>
          <w:p>
            <w:pPr>
              <w:spacing w:after="0"/>
              <w:jc w:val="left"/>
            </w:pPr>
            <w:r>
              <w:rPr>
                <w:rFonts w:ascii="Times New Roman" w:hAnsi="Times New Roman"/>
                <w:sz w:val="17"/>
              </w:rPr>
              <w:t>January</w:t>
            </w:r>
          </w:p>
        </w:tc>
        <w:tc>
          <w:tcPr>
            <w:tcW w:type="dxa" w:w="2360"/>
            <w:tcMar>
              <w:top w:w="80" w:type="dxa"/>
              <w:bottom w:w="80" w:type="dxa"/>
              <w:start w:w="120" w:type="dxa"/>
              <w:end w:w="120" w:type="dxa"/>
            </w:tcMar>
            <w:vAlign w:val="center"/>
          </w:tcPr>
          <w:p>
            <w:pPr>
              <w:spacing w:after="0"/>
              <w:jc w:val="left"/>
            </w:pPr>
            <w:r>
              <w:rPr>
                <w:rFonts w:ascii="Times New Roman" w:hAnsi="Times New Roman"/>
                <w:sz w:val="17"/>
              </w:rPr>
              <w:t>Wednesday</w:t>
            </w:r>
          </w:p>
        </w:tc>
      </w:tr>
    </w:tbl>
    <w:p>
      <w:pPr>
        <w:pStyle w:val="Caption"/>
      </w:pPr>
      <w:r>
        <w:t>Table 4. Five months with the highest mean absolute daily return</w:t>
      </w:r>
    </w:p>
    <w:tbl>
      <w:tblPr>
        <w:tblLook w:firstColumn="1" w:firstRow="1" w:lastColumn="0" w:lastRow="0" w:noHBand="0" w:noVBand="1" w:val="04A0"/>
        <w:jc w:val="lef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W w:w="9360" w:type="dxa"/>
        <w:tblInd w:w="120" w:type="dxa"/>
        <w:tblLayout w:type="fixed"/>
      </w:tblPr>
      <w:tblGrid>
        <w:gridCol w:w="3300"/>
        <w:gridCol w:w="3400"/>
        <w:gridCol w:w="2660"/>
      </w:tblGrid>
      <w:tr>
        <w:trPr>
          <w:tblHeader w:val="true"/>
        </w:trPr>
        <w:tc>
          <w:tcPr>
            <w:tcW w:type="dxa" w:w="33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Month</w:t>
            </w:r>
          </w:p>
        </w:tc>
        <w:tc>
          <w:tcPr>
            <w:tcW w:type="dxa" w:w="340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Mean Absolute Return</w:t>
            </w:r>
          </w:p>
        </w:tc>
        <w:tc>
          <w:tcPr>
            <w:tcW w:type="dxa" w:w="266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Tickers</w:t>
            </w:r>
          </w:p>
        </w:tc>
      </w:tr>
      <w:tr>
        <w:tc>
          <w:tcPr>
            <w:tcW w:type="dxa" w:w="3300"/>
            <w:tcMar>
              <w:top w:w="80" w:type="dxa"/>
              <w:bottom w:w="80" w:type="dxa"/>
              <w:start w:w="120" w:type="dxa"/>
              <w:end w:w="120" w:type="dxa"/>
            </w:tcMar>
            <w:vAlign w:val="center"/>
          </w:tcPr>
          <w:p>
            <w:pPr>
              <w:spacing w:after="0"/>
              <w:jc w:val="left"/>
            </w:pPr>
            <w:r>
              <w:rPr>
                <w:rFonts w:ascii="Times New Roman" w:hAnsi="Times New Roman"/>
                <w:sz w:val="17"/>
              </w:rPr>
              <w:t>October 2008</w:t>
            </w:r>
          </w:p>
        </w:tc>
        <w:tc>
          <w:tcPr>
            <w:tcW w:type="dxa" w:w="3400"/>
            <w:tcMar>
              <w:top w:w="80" w:type="dxa"/>
              <w:bottom w:w="80" w:type="dxa"/>
              <w:start w:w="120" w:type="dxa"/>
              <w:end w:w="120" w:type="dxa"/>
            </w:tcMar>
            <w:vAlign w:val="center"/>
          </w:tcPr>
          <w:p>
            <w:pPr>
              <w:spacing w:after="0"/>
              <w:jc w:val="center"/>
            </w:pPr>
            <w:r>
              <w:rPr>
                <w:rFonts w:ascii="Times New Roman" w:hAnsi="Times New Roman"/>
                <w:sz w:val="17"/>
              </w:rPr>
              <w:t>4.82%</w:t>
            </w:r>
          </w:p>
        </w:tc>
        <w:tc>
          <w:tcPr>
            <w:tcW w:type="dxa" w:w="2660"/>
            <w:tcMar>
              <w:top w:w="80" w:type="dxa"/>
              <w:bottom w:w="80" w:type="dxa"/>
              <w:start w:w="120" w:type="dxa"/>
              <w:end w:w="120" w:type="dxa"/>
            </w:tcMar>
            <w:vAlign w:val="center"/>
          </w:tcPr>
          <w:p>
            <w:pPr>
              <w:spacing w:after="0"/>
              <w:jc w:val="center"/>
            </w:pPr>
            <w:r>
              <w:rPr>
                <w:rFonts w:ascii="Times New Roman" w:hAnsi="Times New Roman"/>
                <w:sz w:val="17"/>
              </w:rPr>
              <w:t>40</w:t>
            </w:r>
          </w:p>
        </w:tc>
      </w:tr>
      <w:tr>
        <w:tc>
          <w:tcPr>
            <w:tcW w:type="dxa" w:w="3300"/>
            <w:tcMar>
              <w:top w:w="80" w:type="dxa"/>
              <w:bottom w:w="80" w:type="dxa"/>
              <w:start w:w="120" w:type="dxa"/>
              <w:end w:w="120" w:type="dxa"/>
            </w:tcMar>
            <w:vAlign w:val="center"/>
          </w:tcPr>
          <w:p>
            <w:pPr>
              <w:spacing w:after="0"/>
              <w:jc w:val="left"/>
            </w:pPr>
            <w:r>
              <w:rPr>
                <w:rFonts w:ascii="Times New Roman" w:hAnsi="Times New Roman"/>
                <w:sz w:val="17"/>
              </w:rPr>
              <w:t>March 2020</w:t>
            </w:r>
          </w:p>
        </w:tc>
        <w:tc>
          <w:tcPr>
            <w:tcW w:type="dxa" w:w="3400"/>
            <w:tcMar>
              <w:top w:w="80" w:type="dxa"/>
              <w:bottom w:w="80" w:type="dxa"/>
              <w:start w:w="120" w:type="dxa"/>
              <w:end w:w="120" w:type="dxa"/>
            </w:tcMar>
            <w:vAlign w:val="center"/>
          </w:tcPr>
          <w:p>
            <w:pPr>
              <w:spacing w:after="0"/>
              <w:jc w:val="center"/>
            </w:pPr>
            <w:r>
              <w:rPr>
                <w:rFonts w:ascii="Times New Roman" w:hAnsi="Times New Roman"/>
                <w:sz w:val="17"/>
              </w:rPr>
              <w:t>4.67%</w:t>
            </w:r>
          </w:p>
        </w:tc>
        <w:tc>
          <w:tcPr>
            <w:tcW w:type="dxa" w:w="2660"/>
            <w:tcMar>
              <w:top w:w="80" w:type="dxa"/>
              <w:bottom w:w="80" w:type="dxa"/>
              <w:start w:w="120" w:type="dxa"/>
              <w:end w:w="120" w:type="dxa"/>
            </w:tcMar>
            <w:vAlign w:val="center"/>
          </w:tcPr>
          <w:p>
            <w:pPr>
              <w:spacing w:after="0"/>
              <w:jc w:val="center"/>
            </w:pPr>
            <w:r>
              <w:rPr>
                <w:rFonts w:ascii="Times New Roman" w:hAnsi="Times New Roman"/>
                <w:sz w:val="17"/>
              </w:rPr>
              <w:t>48</w:t>
            </w:r>
          </w:p>
        </w:tc>
      </w:tr>
      <w:tr>
        <w:tc>
          <w:tcPr>
            <w:tcW w:type="dxa" w:w="3300"/>
            <w:tcMar>
              <w:top w:w="80" w:type="dxa"/>
              <w:bottom w:w="80" w:type="dxa"/>
              <w:start w:w="120" w:type="dxa"/>
              <w:end w:w="120" w:type="dxa"/>
            </w:tcMar>
            <w:vAlign w:val="center"/>
          </w:tcPr>
          <w:p>
            <w:pPr>
              <w:spacing w:after="0"/>
              <w:jc w:val="left"/>
            </w:pPr>
            <w:r>
              <w:rPr>
                <w:rFonts w:ascii="Times New Roman" w:hAnsi="Times New Roman"/>
                <w:sz w:val="17"/>
              </w:rPr>
              <w:t>November 2008</w:t>
            </w:r>
          </w:p>
        </w:tc>
        <w:tc>
          <w:tcPr>
            <w:tcW w:type="dxa" w:w="3400"/>
            <w:tcMar>
              <w:top w:w="80" w:type="dxa"/>
              <w:bottom w:w="80" w:type="dxa"/>
              <w:start w:w="120" w:type="dxa"/>
              <w:end w:w="120" w:type="dxa"/>
            </w:tcMar>
            <w:vAlign w:val="center"/>
          </w:tcPr>
          <w:p>
            <w:pPr>
              <w:spacing w:after="0"/>
              <w:jc w:val="center"/>
            </w:pPr>
            <w:r>
              <w:rPr>
                <w:rFonts w:ascii="Times New Roman" w:hAnsi="Times New Roman"/>
                <w:sz w:val="17"/>
              </w:rPr>
              <w:t>4.38%</w:t>
            </w:r>
          </w:p>
        </w:tc>
        <w:tc>
          <w:tcPr>
            <w:tcW w:type="dxa" w:w="2660"/>
            <w:tcMar>
              <w:top w:w="80" w:type="dxa"/>
              <w:bottom w:w="80" w:type="dxa"/>
              <w:start w:w="120" w:type="dxa"/>
              <w:end w:w="120" w:type="dxa"/>
            </w:tcMar>
            <w:vAlign w:val="center"/>
          </w:tcPr>
          <w:p>
            <w:pPr>
              <w:spacing w:after="0"/>
              <w:jc w:val="center"/>
            </w:pPr>
            <w:r>
              <w:rPr>
                <w:rFonts w:ascii="Times New Roman" w:hAnsi="Times New Roman"/>
                <w:sz w:val="17"/>
              </w:rPr>
              <w:t>40</w:t>
            </w:r>
          </w:p>
        </w:tc>
      </w:tr>
      <w:tr>
        <w:tc>
          <w:tcPr>
            <w:tcW w:type="dxa" w:w="3300"/>
            <w:tcMar>
              <w:top w:w="80" w:type="dxa"/>
              <w:bottom w:w="80" w:type="dxa"/>
              <w:start w:w="120" w:type="dxa"/>
              <w:end w:w="120" w:type="dxa"/>
            </w:tcMar>
            <w:vAlign w:val="center"/>
          </w:tcPr>
          <w:p>
            <w:pPr>
              <w:spacing w:after="0"/>
              <w:jc w:val="left"/>
            </w:pPr>
            <w:r>
              <w:rPr>
                <w:rFonts w:ascii="Times New Roman" w:hAnsi="Times New Roman"/>
                <w:sz w:val="17"/>
              </w:rPr>
              <w:t>March 2009</w:t>
            </w:r>
          </w:p>
        </w:tc>
        <w:tc>
          <w:tcPr>
            <w:tcW w:type="dxa" w:w="3400"/>
            <w:tcMar>
              <w:top w:w="80" w:type="dxa"/>
              <w:bottom w:w="80" w:type="dxa"/>
              <w:start w:w="120" w:type="dxa"/>
              <w:end w:w="120" w:type="dxa"/>
            </w:tcMar>
            <w:vAlign w:val="center"/>
          </w:tcPr>
          <w:p>
            <w:pPr>
              <w:spacing w:after="0"/>
              <w:jc w:val="center"/>
            </w:pPr>
            <w:r>
              <w:rPr>
                <w:rFonts w:ascii="Times New Roman" w:hAnsi="Times New Roman"/>
                <w:sz w:val="17"/>
              </w:rPr>
              <w:t>3.25%</w:t>
            </w:r>
          </w:p>
        </w:tc>
        <w:tc>
          <w:tcPr>
            <w:tcW w:type="dxa" w:w="2660"/>
            <w:tcMar>
              <w:top w:w="80" w:type="dxa"/>
              <w:bottom w:w="80" w:type="dxa"/>
              <w:start w:w="120" w:type="dxa"/>
              <w:end w:w="120" w:type="dxa"/>
            </w:tcMar>
            <w:vAlign w:val="center"/>
          </w:tcPr>
          <w:p>
            <w:pPr>
              <w:spacing w:after="0"/>
              <w:jc w:val="center"/>
            </w:pPr>
            <w:r>
              <w:rPr>
                <w:rFonts w:ascii="Times New Roman" w:hAnsi="Times New Roman"/>
                <w:sz w:val="17"/>
              </w:rPr>
              <w:t>41</w:t>
            </w:r>
          </w:p>
        </w:tc>
      </w:tr>
      <w:tr>
        <w:tc>
          <w:tcPr>
            <w:tcW w:type="dxa" w:w="3300"/>
            <w:tcMar>
              <w:top w:w="80" w:type="dxa"/>
              <w:bottom w:w="80" w:type="dxa"/>
              <w:start w:w="120" w:type="dxa"/>
              <w:end w:w="120" w:type="dxa"/>
            </w:tcMar>
            <w:vAlign w:val="center"/>
          </w:tcPr>
          <w:p>
            <w:pPr>
              <w:spacing w:after="0"/>
              <w:jc w:val="left"/>
            </w:pPr>
            <w:r>
              <w:rPr>
                <w:rFonts w:ascii="Times New Roman" w:hAnsi="Times New Roman"/>
                <w:sz w:val="17"/>
              </w:rPr>
              <w:t>January 2009</w:t>
            </w:r>
          </w:p>
        </w:tc>
        <w:tc>
          <w:tcPr>
            <w:tcW w:type="dxa" w:w="3400"/>
            <w:tcMar>
              <w:top w:w="80" w:type="dxa"/>
              <w:bottom w:w="80" w:type="dxa"/>
              <w:start w:w="120" w:type="dxa"/>
              <w:end w:w="120" w:type="dxa"/>
            </w:tcMar>
            <w:vAlign w:val="center"/>
          </w:tcPr>
          <w:p>
            <w:pPr>
              <w:spacing w:after="0"/>
              <w:jc w:val="center"/>
            </w:pPr>
            <w:r>
              <w:rPr>
                <w:rFonts w:ascii="Times New Roman" w:hAnsi="Times New Roman"/>
                <w:sz w:val="17"/>
              </w:rPr>
              <w:t>3.16%</w:t>
            </w:r>
          </w:p>
        </w:tc>
        <w:tc>
          <w:tcPr>
            <w:tcW w:type="dxa" w:w="2660"/>
            <w:tcMar>
              <w:top w:w="80" w:type="dxa"/>
              <w:bottom w:w="80" w:type="dxa"/>
              <w:start w:w="120" w:type="dxa"/>
              <w:end w:w="120" w:type="dxa"/>
            </w:tcMar>
            <w:vAlign w:val="center"/>
          </w:tcPr>
          <w:p>
            <w:pPr>
              <w:spacing w:after="0"/>
              <w:jc w:val="center"/>
            </w:pPr>
            <w:r>
              <w:rPr>
                <w:rFonts w:ascii="Times New Roman" w:hAnsi="Times New Roman"/>
                <w:sz w:val="17"/>
              </w:rPr>
              <w:t>40</w:t>
            </w:r>
          </w:p>
        </w:tc>
      </w:tr>
    </w:tbl>
    <w:p>
      <w:pPr>
        <w:keepLines/>
        <w:spacing w:before="80" w:after="160" w:line="240" w:lineRule="auto"/>
        <w:ind w:left="115" w:right="115"/>
        <w:shd w:fill="F6F8FA"/>
      </w:pPr>
      <w:r>
        <w:rPr>
          <w:rFonts w:ascii="Courier New" w:hAnsi="Courier New"/>
          <w:color w:val="24292F"/>
          <w:sz w:val="16"/>
        </w:rPr>
        <w:t>stocks &lt;- stocks %&gt;%</w:t>
        <w:br/>
      </w:r>
      <w:r>
        <w:rPr>
          <w:rFonts w:ascii="Courier New" w:hAnsi="Courier New"/>
          <w:color w:val="24292F"/>
          <w:sz w:val="16"/>
        </w:rPr>
        <w:t xml:space="preserve">  mutate(Date = lubridate::ymd(Date),</w:t>
        <w:br/>
      </w:r>
      <w:r>
        <w:rPr>
          <w:rFonts w:ascii="Courier New" w:hAnsi="Courier New"/>
          <w:color w:val="24292F"/>
          <w:sz w:val="16"/>
        </w:rPr>
        <w:t xml:space="preserve">         Year = lubridate::year(Date),</w:t>
        <w:br/>
      </w:r>
      <w:r>
        <w:rPr>
          <w:rFonts w:ascii="Courier New" w:hAnsi="Courier New"/>
          <w:color w:val="24292F"/>
          <w:sz w:val="16"/>
        </w:rPr>
        <w:t xml:space="preserve">         Month.Name = lubridate::month(Date, label = TRUE),</w:t>
        <w:br/>
      </w:r>
      <w:r>
        <w:rPr>
          <w:rFonts w:ascii="Courier New" w:hAnsi="Courier New"/>
          <w:color w:val="24292F"/>
          <w:sz w:val="16"/>
        </w:rPr>
        <w:t xml:space="preserve">         Weekday = lubridate::wday(Date, label = TRUE),</w:t>
        <w:br/>
      </w:r>
      <w:r>
        <w:rPr>
          <w:rFonts w:ascii="Courier New" w:hAnsi="Courier New"/>
          <w:color w:val="24292F"/>
          <w:sz w:val="16"/>
        </w:rPr>
        <w:t xml:space="preserve">         Month = lubridate::floor_date(Date, "month"))</w:t>
        <w:br/>
      </w:r>
      <w:r>
        <w:rPr>
          <w:rFonts w:ascii="Courier New" w:hAnsi="Courier New"/>
          <w:color w:val="24292F"/>
          <w:sz w:val="16"/>
        </w:rPr>
        <w:br/>
      </w:r>
      <w:r>
        <w:rPr>
          <w:rFonts w:ascii="Courier New" w:hAnsi="Courier New"/>
          <w:color w:val="24292F"/>
          <w:sz w:val="16"/>
        </w:rPr>
        <w:t>monthly_volatility &lt;- stocks %&gt;%</w:t>
        <w:br/>
      </w:r>
      <w:r>
        <w:rPr>
          <w:rFonts w:ascii="Courier New" w:hAnsi="Courier New"/>
          <w:color w:val="24292F"/>
          <w:sz w:val="16"/>
        </w:rPr>
        <w:t xml:space="preserve">  filter(!is.na(Daily.Return)) %&gt;%</w:t>
        <w:br/>
      </w:r>
      <w:r>
        <w:rPr>
          <w:rFonts w:ascii="Courier New" w:hAnsi="Courier New"/>
          <w:color w:val="24292F"/>
          <w:sz w:val="16"/>
        </w:rPr>
        <w:t xml:space="preserve">  group_by(Ticker, Month) %&gt;%</w:t>
        <w:br/>
      </w:r>
      <w:r>
        <w:rPr>
          <w:rFonts w:ascii="Courier New" w:hAnsi="Courier New"/>
          <w:color w:val="24292F"/>
          <w:sz w:val="16"/>
        </w:rPr>
        <w:t xml:space="preserve">  summarise(Mean.Abs.Return = mean(abs(Daily.Return)), .groups = "drop") %&gt;%</w:t>
        <w:br/>
      </w:r>
      <w:r>
        <w:rPr>
          <w:rFonts w:ascii="Courier New" w:hAnsi="Courier New"/>
          <w:color w:val="24292F"/>
          <w:sz w:val="16"/>
        </w:rPr>
        <w:t xml:space="preserve">  group_by(Month) %&gt;%</w:t>
        <w:br/>
      </w:r>
      <w:r>
        <w:rPr>
          <w:rFonts w:ascii="Courier New" w:hAnsi="Courier New"/>
          <w:color w:val="24292F"/>
          <w:sz w:val="16"/>
        </w:rPr>
        <w:t xml:space="preserve">  summarise(Mean.Abs.Return = mean(Mean.Abs.Return),</w:t>
        <w:br/>
      </w:r>
      <w:r>
        <w:rPr>
          <w:rFonts w:ascii="Courier New" w:hAnsi="Courier New"/>
          <w:color w:val="24292F"/>
          <w:sz w:val="16"/>
        </w:rPr>
        <w:t xml:space="preserve">            Tickers = n(), .groups = "drop")</w:t>
      </w:r>
    </w:p>
    <w:p>
      <w:pPr>
        <w:pStyle w:val="Caption"/>
      </w:pPr>
      <w:r>
        <w:t>Figure 2. Average absolute daily return by month, equal-weighted across available tickers.</w:t>
      </w:r>
    </w:p>
    <w:p>
      <w:pPr>
        <w:spacing w:after="120"/>
        <w:jc w:val="center"/>
      </w:pPr>
      <w:r>
        <w:drawing>
          <wp:inline xmlns:a="http://schemas.openxmlformats.org/drawingml/2006/main" xmlns:pic="http://schemas.openxmlformats.org/drawingml/2006/picture">
            <wp:extent cx="5303520" cy="3041883"/>
            <wp:docPr id="2" name="Picture 2"/>
            <wp:cNvGraphicFramePr>
              <a:graphicFrameLocks noChangeAspect="1"/>
            </wp:cNvGraphicFramePr>
            <a:graphic>
              <a:graphicData uri="http://schemas.openxmlformats.org/drawingml/2006/picture">
                <pic:pic>
                  <pic:nvPicPr>
                    <pic:cNvPr id="0" name="b2_monthly_absolute_return.png"/>
                    <pic:cNvPicPr/>
                  </pic:nvPicPr>
                  <pic:blipFill>
                    <a:blip r:embed="rId12"/>
                    <a:stretch>
                      <a:fillRect/>
                    </a:stretch>
                  </pic:blipFill>
                  <pic:spPr>
                    <a:xfrm>
                      <a:off x="0" y="0"/>
                      <a:ext cx="5303520" cy="3041883"/>
                    </a:xfrm>
                    <a:prstGeom prst="rect"/>
                  </pic:spPr>
                </pic:pic>
              </a:graphicData>
            </a:graphic>
          </wp:inline>
        </w:drawing>
      </w:r>
    </w:p>
    <w:p>
      <w:r>
        <w:t>Grouping the dates by month makes the high-volatility periods much easier to see. October 2008 is the highest month at 4.82%, followed by March 2020 at 4.67% and November 2008 at 4.38%. We first calculated the average inside each ticker-month and then averaged across tickers. This stops a market with more companies in the dataset from receiving extra weight automatically.</w:t>
      </w:r>
    </w:p>
    <w:p>
      <w:r>
        <w:br w:type="page"/>
      </w:r>
    </w:p>
    <w:p>
      <w:pPr>
        <w:pStyle w:val="Heading1"/>
      </w:pPr>
      <w:r>
        <w:t>B.3 data.table vs. dplyr</w:t>
      </w:r>
    </w:p>
    <w:p>
      <w:r>
        <w:t>We repeated Assignment 4 C3.1 by grouping daily returns by market and finding the mean return, standard deviation, and number of ticker-day observations.</w:t>
      </w:r>
    </w:p>
    <w:p>
      <w:pPr>
        <w:pStyle w:val="Caption"/>
      </w:pPr>
      <w:r>
        <w:t>Code comparison. The same grouped summary in two syntaxes</w:t>
      </w:r>
    </w:p>
    <w:tbl>
      <w:tblPr>
        <w:jc w:val="left"/>
        <w:tblLook w:firstColumn="1" w:firstRow="1" w:lastColumn="0" w:lastRow="0" w:noHBand="0" w:noVBand="1" w:val="04A0"/>
        <w:tblW w:w="9360" w:type="dxa"/>
        <w:tblInd w:w="120" w:type="dxa"/>
        <w:tblLayout w:type="fixed"/>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680"/>
        <w:gridCol w:w="4680"/>
      </w:tblGrid>
      <w:tr>
        <w:tc>
          <w:tcPr>
            <w:tcW w:type="dxa" w:w="4680"/>
            <w:tcMar>
              <w:top w:w="80" w:type="dxa"/>
              <w:bottom w:w="80" w:type="dxa"/>
              <w:start w:w="120" w:type="dxa"/>
              <w:end w:w="120" w:type="dxa"/>
            </w:tcMar>
            <w:vAlign w:val="center"/>
            <w:shd w:fill="F2F4F7"/>
          </w:tcPr>
          <w:p>
            <w:pPr>
              <w:spacing w:after="0"/>
            </w:pPr>
            <w:r>
              <w:rPr>
                <w:rFonts w:ascii="Times New Roman" w:hAnsi="Times New Roman"/>
                <w:b/>
                <w:color w:val="000000"/>
                <w:sz w:val="20"/>
              </w:rPr>
              <w:t>dplyr</w:t>
            </w:r>
          </w:p>
        </w:tc>
        <w:tc>
          <w:tcPr>
            <w:tcW w:type="dxa" w:w="4680"/>
            <w:tcMar>
              <w:top w:w="80" w:type="dxa"/>
              <w:bottom w:w="80" w:type="dxa"/>
              <w:start w:w="120" w:type="dxa"/>
              <w:end w:w="120" w:type="dxa"/>
            </w:tcMar>
            <w:vAlign w:val="center"/>
            <w:shd w:fill="F2F4F7"/>
          </w:tcPr>
          <w:p>
            <w:pPr>
              <w:spacing w:after="0"/>
            </w:pPr>
            <w:r>
              <w:rPr>
                <w:rFonts w:ascii="Times New Roman" w:hAnsi="Times New Roman"/>
                <w:b/>
                <w:color w:val="000000"/>
                <w:sz w:val="20"/>
              </w:rPr>
              <w:t>data.table</w:t>
            </w:r>
          </w:p>
        </w:tc>
      </w:tr>
      <w:tr>
        <w:tc>
          <w:tcPr>
            <w:tcW w:type="dxa" w:w="4680"/>
            <w:tcMar>
              <w:top w:w="80" w:type="dxa"/>
              <w:bottom w:w="80" w:type="dxa"/>
              <w:start w:w="120" w:type="dxa"/>
              <w:end w:w="120" w:type="dxa"/>
            </w:tcMar>
            <w:vAlign w:val="center"/>
            <w:shd w:fill="F6F8FA"/>
          </w:tcPr>
          <w:p>
            <w:pPr>
              <w:spacing w:after="0" w:line="240" w:lineRule="auto"/>
            </w:pPr>
            <w:r>
              <w:rPr>
                <w:rFonts w:ascii="Courier New" w:hAnsi="Courier New"/>
                <w:color w:val="24292F"/>
                <w:sz w:val="15"/>
              </w:rPr>
              <w:t>market_stats_dplyr &lt;-</w:t>
              <w:br/>
            </w:r>
            <w:r>
              <w:rPr>
                <w:rFonts w:ascii="Courier New" w:hAnsi="Courier New"/>
                <w:color w:val="24292F"/>
                <w:sz w:val="15"/>
              </w:rPr>
              <w:t xml:space="preserve">  returns_by_market %&gt;%</w:t>
              <w:br/>
            </w:r>
            <w:r>
              <w:rPr>
                <w:rFonts w:ascii="Courier New" w:hAnsi="Courier New"/>
                <w:color w:val="24292F"/>
                <w:sz w:val="15"/>
              </w:rPr>
              <w:t xml:space="preserve">  group_by(Market) %&gt;%</w:t>
              <w:br/>
            </w:r>
            <w:r>
              <w:rPr>
                <w:rFonts w:ascii="Courier New" w:hAnsi="Courier New"/>
                <w:color w:val="24292F"/>
                <w:sz w:val="15"/>
              </w:rPr>
              <w:t xml:space="preserve">  summarise(</w:t>
              <w:br/>
            </w:r>
            <w:r>
              <w:rPr>
                <w:rFonts w:ascii="Courier New" w:hAnsi="Courier New"/>
                <w:color w:val="24292F"/>
                <w:sz w:val="15"/>
              </w:rPr>
              <w:t xml:space="preserve">    mean_return =</w:t>
              <w:br/>
            </w:r>
            <w:r>
              <w:rPr>
                <w:rFonts w:ascii="Courier New" w:hAnsi="Courier New"/>
                <w:color w:val="24292F"/>
                <w:sz w:val="15"/>
              </w:rPr>
              <w:t xml:space="preserve">      mean(Daily.Return),</w:t>
              <w:br/>
            </w:r>
            <w:r>
              <w:rPr>
                <w:rFonts w:ascii="Courier New" w:hAnsi="Courier New"/>
                <w:color w:val="24292F"/>
                <w:sz w:val="15"/>
              </w:rPr>
              <w:t xml:space="preserve">    sd_return =</w:t>
              <w:br/>
            </w:r>
            <w:r>
              <w:rPr>
                <w:rFonts w:ascii="Courier New" w:hAnsi="Courier New"/>
                <w:color w:val="24292F"/>
                <w:sz w:val="15"/>
              </w:rPr>
              <w:t xml:space="preserve">      sd(Daily.Return),</w:t>
              <w:br/>
            </w:r>
            <w:r>
              <w:rPr>
                <w:rFonts w:ascii="Courier New" w:hAnsi="Courier New"/>
                <w:color w:val="24292F"/>
                <w:sz w:val="15"/>
              </w:rPr>
              <w:t xml:space="preserve">    observations = n(),</w:t>
              <w:br/>
            </w:r>
            <w:r>
              <w:rPr>
                <w:rFonts w:ascii="Courier New" w:hAnsi="Courier New"/>
                <w:color w:val="24292F"/>
                <w:sz w:val="15"/>
              </w:rPr>
              <w:t xml:space="preserve">    .groups = "drop"</w:t>
              <w:br/>
            </w:r>
            <w:r>
              <w:rPr>
                <w:rFonts w:ascii="Courier New" w:hAnsi="Courier New"/>
                <w:color w:val="24292F"/>
                <w:sz w:val="15"/>
              </w:rPr>
              <w:t xml:space="preserve">  ) %&gt;%</w:t>
              <w:br/>
            </w:r>
            <w:r>
              <w:rPr>
                <w:rFonts w:ascii="Courier New" w:hAnsi="Courier New"/>
                <w:color w:val="24292F"/>
                <w:sz w:val="15"/>
              </w:rPr>
              <w:t xml:space="preserve">  arrange(desc(mean_return))</w:t>
            </w:r>
          </w:p>
        </w:tc>
        <w:tc>
          <w:tcPr>
            <w:tcW w:type="dxa" w:w="4680"/>
            <w:tcMar>
              <w:top w:w="80" w:type="dxa"/>
              <w:bottom w:w="80" w:type="dxa"/>
              <w:start w:w="120" w:type="dxa"/>
              <w:end w:w="120" w:type="dxa"/>
            </w:tcMar>
            <w:vAlign w:val="center"/>
            <w:shd w:fill="F6F8FA"/>
          </w:tcPr>
          <w:p>
            <w:pPr>
              <w:spacing w:after="0" w:line="240" w:lineRule="auto"/>
            </w:pPr>
            <w:r>
              <w:rPr>
                <w:rFonts w:ascii="Courier New" w:hAnsi="Courier New"/>
                <w:color w:val="24292F"/>
                <w:sz w:val="15"/>
              </w:rPr>
              <w:t>market_stats_dt &lt;-</w:t>
              <w:br/>
            </w:r>
            <w:r>
              <w:rPr>
                <w:rFonts w:ascii="Courier New" w:hAnsi="Courier New"/>
                <w:color w:val="24292F"/>
                <w:sz w:val="15"/>
              </w:rPr>
              <w:t xml:space="preserve">  returns_dt[</w:t>
              <w:br/>
            </w:r>
            <w:r>
              <w:rPr>
                <w:rFonts w:ascii="Courier New" w:hAnsi="Courier New"/>
                <w:color w:val="24292F"/>
                <w:sz w:val="15"/>
              </w:rPr>
              <w:t xml:space="preserve">    , .(</w:t>
              <w:br/>
            </w:r>
            <w:r>
              <w:rPr>
                <w:rFonts w:ascii="Courier New" w:hAnsi="Courier New"/>
                <w:color w:val="24292F"/>
                <w:sz w:val="15"/>
              </w:rPr>
              <w:t xml:space="preserve">      mean_return =</w:t>
              <w:br/>
            </w:r>
            <w:r>
              <w:rPr>
                <w:rFonts w:ascii="Courier New" w:hAnsi="Courier New"/>
                <w:color w:val="24292F"/>
                <w:sz w:val="15"/>
              </w:rPr>
              <w:t xml:space="preserve">        mean(Daily.Return),</w:t>
              <w:br/>
            </w:r>
            <w:r>
              <w:rPr>
                <w:rFonts w:ascii="Courier New" w:hAnsi="Courier New"/>
                <w:color w:val="24292F"/>
                <w:sz w:val="15"/>
              </w:rPr>
              <w:t xml:space="preserve">      sd_return =</w:t>
              <w:br/>
            </w:r>
            <w:r>
              <w:rPr>
                <w:rFonts w:ascii="Courier New" w:hAnsi="Courier New"/>
                <w:color w:val="24292F"/>
                <w:sz w:val="15"/>
              </w:rPr>
              <w:t xml:space="preserve">        sd(Daily.Return),</w:t>
              <w:br/>
            </w:r>
            <w:r>
              <w:rPr>
                <w:rFonts w:ascii="Courier New" w:hAnsi="Courier New"/>
                <w:color w:val="24292F"/>
                <w:sz w:val="15"/>
              </w:rPr>
              <w:t xml:space="preserve">      observations = .N</w:t>
              <w:br/>
            </w:r>
            <w:r>
              <w:rPr>
                <w:rFonts w:ascii="Courier New" w:hAnsi="Courier New"/>
                <w:color w:val="24292F"/>
                <w:sz w:val="15"/>
              </w:rPr>
              <w:t xml:space="preserve">    ),</w:t>
              <w:br/>
            </w:r>
            <w:r>
              <w:rPr>
                <w:rFonts w:ascii="Courier New" w:hAnsi="Courier New"/>
                <w:color w:val="24292F"/>
                <w:sz w:val="15"/>
              </w:rPr>
              <w:t xml:space="preserve">    by = Market</w:t>
              <w:br/>
            </w:r>
            <w:r>
              <w:rPr>
                <w:rFonts w:ascii="Courier New" w:hAnsi="Courier New"/>
                <w:color w:val="24292F"/>
                <w:sz w:val="15"/>
              </w:rPr>
              <w:t xml:space="preserve">  ][order(-mean_return)]</w:t>
            </w:r>
          </w:p>
        </w:tc>
      </w:tr>
    </w:tbl>
    <w:p>
      <w:pPr>
        <w:pStyle w:val="Caption"/>
      </w:pPr>
      <w:r>
        <w:t>Table 5. Result from both dplyr and data.table</w:t>
      </w:r>
    </w:p>
    <w:tbl>
      <w:tblPr>
        <w:tblLook w:firstColumn="1" w:firstRow="1" w:lastColumn="0" w:lastRow="0" w:noHBand="0" w:noVBand="1" w:val="04A0"/>
        <w:jc w:val="lef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W w:w="9360" w:type="dxa"/>
        <w:tblInd w:w="120" w:type="dxa"/>
        <w:tblLayout w:type="fixed"/>
      </w:tblPr>
      <w:tblGrid>
        <w:gridCol w:w="3000"/>
        <w:gridCol w:w="2100"/>
        <w:gridCol w:w="2100"/>
        <w:gridCol w:w="2160"/>
      </w:tblGrid>
      <w:tr>
        <w:trPr>
          <w:tblHeader w:val="true"/>
        </w:trPr>
        <w:tc>
          <w:tcPr>
            <w:tcW w:type="dxa" w:w="3000"/>
            <w:tcMar>
              <w:top w:w="80" w:type="dxa"/>
              <w:bottom w:w="80" w:type="dxa"/>
              <w:start w:w="120" w:type="dxa"/>
              <w:end w:w="120" w:type="dxa"/>
            </w:tcMar>
            <w:vAlign w:val="center"/>
            <w:shd w:fill="F2F4F7"/>
          </w:tcPr>
          <w:p>
            <w:pPr>
              <w:spacing w:after="0"/>
              <w:jc w:val="left"/>
            </w:pPr>
            <w:r>
              <w:rPr>
                <w:rFonts w:ascii="Times New Roman" w:hAnsi="Times New Roman"/>
                <w:b/>
                <w:color w:val="000000"/>
                <w:sz w:val="18"/>
              </w:rPr>
              <w:t>Market</w:t>
            </w:r>
          </w:p>
        </w:tc>
        <w:tc>
          <w:tcPr>
            <w:tcW w:type="dxa" w:w="210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Mean Return</w:t>
            </w:r>
          </w:p>
        </w:tc>
        <w:tc>
          <w:tcPr>
            <w:tcW w:type="dxa" w:w="2100"/>
            <w:tcMar>
              <w:top w:w="80" w:type="dxa"/>
              <w:bottom w:w="80" w:type="dxa"/>
              <w:start w:w="120" w:type="dxa"/>
              <w:end w:w="120" w:type="dxa"/>
            </w:tcMar>
            <w:vAlign w:val="center"/>
            <w:shd w:fill="F2F4F7"/>
          </w:tcPr>
          <w:p>
            <w:pPr>
              <w:spacing w:after="0"/>
              <w:jc w:val="center"/>
            </w:pPr>
            <w:r>
              <w:rPr>
                <w:rFonts w:ascii="Times New Roman" w:hAnsi="Times New Roman"/>
                <w:b/>
                <w:color w:val="000000"/>
                <w:sz w:val="18"/>
              </w:rPr>
              <w:t>SD Return</w:t>
            </w:r>
          </w:p>
        </w:tc>
        <w:tc>
          <w:tcPr>
            <w:tcW w:type="dxa" w:w="2160"/>
            <w:tcMar>
              <w:top w:w="80" w:type="dxa"/>
              <w:bottom w:w="80" w:type="dxa"/>
              <w:start w:w="120" w:type="dxa"/>
              <w:end w:w="120" w:type="dxa"/>
            </w:tcMar>
            <w:vAlign w:val="center"/>
            <w:shd w:fill="F2F4F7"/>
          </w:tcPr>
          <w:p>
            <w:pPr>
              <w:spacing w:after="0"/>
              <w:jc w:val="right"/>
            </w:pPr>
            <w:r>
              <w:rPr>
                <w:rFonts w:ascii="Times New Roman" w:hAnsi="Times New Roman"/>
                <w:b/>
                <w:color w:val="000000"/>
                <w:sz w:val="18"/>
              </w:rPr>
              <w:t>Observations</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Korea</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0.094%</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2.37%</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9,942</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United States</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0.086%</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2.19%</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184,754</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Hong Kong</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0.079%</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1.99%</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18,528</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Paris</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0.063%</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1.82%</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5,151</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Switzerland</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0.036%</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1.27%</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10,138</w:t>
            </w:r>
          </w:p>
        </w:tc>
      </w:tr>
      <w:tr>
        <w:tc>
          <w:tcPr>
            <w:tcW w:type="dxa" w:w="3000"/>
            <w:tcMar>
              <w:top w:w="80" w:type="dxa"/>
              <w:bottom w:w="80" w:type="dxa"/>
              <w:start w:w="120" w:type="dxa"/>
              <w:end w:w="120" w:type="dxa"/>
            </w:tcMar>
            <w:vAlign w:val="center"/>
          </w:tcPr>
          <w:p>
            <w:pPr>
              <w:spacing w:after="0"/>
              <w:jc w:val="left"/>
            </w:pPr>
            <w:r>
              <w:rPr>
                <w:rFonts w:ascii="Times New Roman" w:hAnsi="Times New Roman"/>
                <w:sz w:val="17"/>
              </w:rPr>
              <w:t>Saudi Arabia</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0.015%</w:t>
            </w:r>
          </w:p>
        </w:tc>
        <w:tc>
          <w:tcPr>
            <w:tcW w:type="dxa" w:w="2100"/>
            <w:tcMar>
              <w:top w:w="80" w:type="dxa"/>
              <w:bottom w:w="80" w:type="dxa"/>
              <w:start w:w="120" w:type="dxa"/>
              <w:end w:w="120" w:type="dxa"/>
            </w:tcMar>
            <w:vAlign w:val="center"/>
          </w:tcPr>
          <w:p>
            <w:pPr>
              <w:spacing w:after="0"/>
              <w:jc w:val="center"/>
            </w:pPr>
            <w:r>
              <w:rPr>
                <w:rFonts w:ascii="Times New Roman" w:hAnsi="Times New Roman"/>
                <w:sz w:val="17"/>
              </w:rPr>
              <w:t>1.05%</w:t>
            </w:r>
          </w:p>
        </w:tc>
        <w:tc>
          <w:tcPr>
            <w:tcW w:type="dxa" w:w="2160"/>
            <w:tcMar>
              <w:top w:w="80" w:type="dxa"/>
              <w:bottom w:w="80" w:type="dxa"/>
              <w:start w:w="120" w:type="dxa"/>
              <w:end w:w="120" w:type="dxa"/>
            </w:tcMar>
            <w:vAlign w:val="center"/>
          </w:tcPr>
          <w:p>
            <w:pPr>
              <w:spacing w:after="0"/>
              <w:jc w:val="right"/>
            </w:pPr>
            <w:r>
              <w:rPr>
                <w:rFonts w:ascii="Times New Roman" w:hAnsi="Times New Roman"/>
                <w:sz w:val="17"/>
              </w:rPr>
              <w:t>1,549</w:t>
            </w:r>
          </w:p>
        </w:tc>
      </w:tr>
    </w:tbl>
    <w:p>
      <w:r>
        <w:t>Both versions give exactly the same result. We found dplyr easier to read because group_by() and summarise() show the steps in the order we think about them. The data.table version is shorter, and we would expect it to be faster and more memory-efficient on a much larger dataset. With 230,111 rows, both worked without a practical problem, so readability mattered more here.</w:t>
      </w:r>
    </w:p>
    <w:p>
      <w:pPr>
        <w:pStyle w:val="Heading1"/>
      </w:pPr>
      <w:r>
        <w:t>B.4 Reflection</w:t>
      </w:r>
    </w:p>
    <w:p>
      <w:r>
        <w:t>Yes. Reshaping the data let us draw several stock lines from one ggplot mapping, while grouping the Date column by month showed exactly when the major volatility spikes happened; the values were already in the dataset, but changing the shape and time grouping made the pattern visible.</w:t>
      </w:r>
    </w:p>
    <w:p>
      <w:pPr>
        <w:spacing w:before="160" w:after="0"/>
      </w:pPr>
      <w:r>
        <w:rPr>
          <w:rFonts w:ascii="Times New Roman" w:hAnsi="Times New Roman"/>
          <w:i/>
          <w:color w:val="595959"/>
          <w:sz w:val="16"/>
        </w:rPr>
        <w:t>We used ChatGPT for help with wording and formatting.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color w:val="595959"/>
        <w:sz w:val="18"/>
      </w:rPr>
      <w:t xml:space="preserve">Team 2  |  Page </w:t>
    </w:r>
    <w:r>
      <w:fldChar w:fldCharType="begin"/>
    </w:r>
    <w:r>
      <w:instrText xml:space="preserve"> PAGE </w:instrText>
    </w:r>
    <w:r>
      <w:fldChar w:fldCharType="separate"/>
    </w:r>
    <w:r>
      <w:rPr>
        <w:rFonts w:ascii="Times New Roman" w:hAnsi="Times New Roman"/>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4"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line="264"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Times New Roman" w:hAnsi="Times New Roman"/>
      <w:b/>
      <w:bCs/>
      <w:i w:val="0"/>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Part 2 - Data Wrangling with R</dc:title>
  <dc:subject>Historical Stock Analysis</dc:subject>
  <dc:creator>Team 2</dc:creator>
  <cp:keywords>R, tidyr, lubridate, data.table, dplyr, stock analysis</cp:keywords>
  <dc:description>generated by python-docx</dc:description>
  <cp:lastModifiedBy/>
  <cp:revision>1</cp:revision>
  <dcterms:created xsi:type="dcterms:W3CDTF">2013-12-23T23:15:00Z</dcterms:created>
  <dcterms:modified xsi:type="dcterms:W3CDTF">2013-12-23T23:15:00Z</dcterms:modified>
  <cp:category/>
</cp:coreProperties>
</file>