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r="http://schemas.openxmlformats.org/officeDocument/2006/relationships" xmlns:w="http://schemas.openxmlformats.org/wordprocessingml/2006/main" ns1:Ignorable="w14 w15 wp14">
  <w:body>
    <w:p>
      <w:pPr>
        <w:spacing w:after="0" w:before="2200"/>
      </w:pPr>
      <w:r>
        <w:rPr>
          <w:rFonts w:ascii="Arial" w:cs="Arial" w:eastAsia="Arial" w:hAnsi="Arial"/>
          <w:b/>
          <w:bCs/>
          <w:color w:val="0B1F3A"/>
          <w:sz w:val="40"/>
          <w:szCs w:val="40"/>
        </w:rPr>
        <w:t xml:space="preserve">Sysmex Corporation</w:t>
      </w:r>
    </w:p>
    <w:p>
      <w:pPr>
        <w:spacing w:after="100" w:before="0"/>
      </w:pPr>
      <w:r>
        <w:rPr>
          <w:rFonts w:ascii="Arial" w:cs="Arial" w:eastAsia="Arial" w:hAnsi="Arial"/>
          <w:b/>
          <w:bCs/>
          <w:color w:val="005B9A"/>
          <w:sz w:val="28"/>
          <w:szCs w:val="28"/>
        </w:rPr>
        <w:t xml:space="preserve">D-Project</w:t>
      </w:r>
    </w:p>
    <w:p>
      <w:pPr>
        <w:pBdr>
          <w:top w:val="single" w:color="005B9A" w:sz="12" w:space="6"/>
        </w:pBdr>
        <w:spacing w:after="200" w:before="600"/>
      </w:pPr>
      <w:r>
        <w:rPr>
          <w:rFonts w:ascii="Arial" w:cs="Arial" w:eastAsia="Arial" w:hAnsi="Arial"/>
          <w:b/>
          <w:bCs/>
          <w:color w:val="0B1F3A"/>
          <w:sz w:val="36"/>
          <w:szCs w:val="36"/>
        </w:rPr>
        <w:t xml:space="preserve">Functional &amp; Technical Specification</w:t>
      </w:r>
    </w:p>
    <w:p>
      <w:pPr>
        <w:spacing w:after="100" w:before="0"/>
      </w:pPr>
      <w:r>
        <w:rPr>
          <w:rFonts w:ascii="Arial" w:cs="Arial" w:eastAsia="Arial" w:hAnsi="Arial"/>
          <w:sz w:val="28"/>
          <w:szCs w:val="28"/>
        </w:rPr>
        <w:t xml:space="preserve">E-xxx-SEG – GR-triggered automatic 301 transfer posting (8P01 → 8Q01)</w:t>
      </w:r>
    </w:p>
    <w:p>
      <w:pPr>
        <w:spacing w:after="100" w:before="0"/>
      </w:pPr>
      <w:r>
        <w:rPr>
          <w:rFonts w:ascii="Arial" w:cs="Arial" w:eastAsia="Arial" w:hAnsi="Arial"/>
          <w:sz w:val="20"/>
          <w:szCs w:val="20"/>
        </w:rPr>
        <w:t xml:space="preserve"/>
      </w:r>
    </w:p>
    <w:p>
      <w:pPr>
        <w:spacing w:after="100" w:before="0"/>
      </w:pPr>
      <w:r>
        <w:rPr>
          <w:rFonts w:ascii="Arial" w:cs="Arial" w:eastAsia="Arial" w:hAnsi="Arial"/>
          <w:sz w:val="20"/>
          <w:szCs w:val="20"/>
        </w:rPr>
        <w:t xml:space="preserve">Object type: Enhancement (BAdI) with supporting function module, monitor report and configuration tables</w:t>
      </w:r>
    </w:p>
    <w:p>
      <w:pPr>
        <w:spacing w:after="100" w:before="0"/>
      </w:pPr>
      <w:r>
        <w:rPr>
          <w:rFonts w:ascii="Arial" w:cs="Arial" w:eastAsia="Arial" w:hAnsi="Arial"/>
          <w:sz w:val="20"/>
          <w:szCs w:val="20"/>
        </w:rPr>
        <w:t xml:space="preserve">Version 0.3 – Draft</w:t>
      </w:r>
    </w:p>
    <w:p>
      <w:pPr>
        <w:spacing w:after="100" w:before="0"/>
      </w:pPr>
      <w:r>
        <w:rPr>
          <w:rFonts w:ascii="Arial" w:cs="Arial" w:eastAsia="Arial" w:hAnsi="Arial"/>
          <w:sz w:val="20"/>
          <w:szCs w:val="20"/>
        </w:rPr>
        <w:t xml:space="preserve">22-Sep-2026</w:t>
      </w:r>
    </w:p>
    <w:p>
      <w:r>
        <w:br w:type="page"/>
      </w:r>
    </w:p>
    <w:p>
      <w:pPr>
        <w:pStyle w:val="Heading1"/>
        <w:spacing w:after="120" w:before="360"/>
      </w:pPr>
      <w:r>
        <w:rPr>
          <w:rFonts w:ascii="Arial" w:cs="Arial" w:eastAsia="Arial" w:hAnsi="Arial"/>
          <w:b/>
          <w:bCs/>
          <w:color w:val="0B1F3A"/>
          <w:sz w:val="28"/>
          <w:szCs w:val="28"/>
        </w:rPr>
        <w:t xml:space="preserve">Table of Contents</w:t>
      </w:r>
    </w:p>
    <w:p>
      <w:pPr>
        <w:spacing w:after="100" w:before="0"/>
      </w:pPr>
      <w:r>
        <w:rPr>
          <w:rFonts w:ascii="Arial" w:cs="Arial" w:eastAsia="Arial" w:hAnsi="Arial"/>
          <w:i/>
          <w:iCs/>
          <w:color w:val="808080"/>
          <w:sz w:val="18"/>
          <w:szCs w:val="18"/>
        </w:rPr>
        <w:t xml:space="preserve">The table of contents is a field. Click in the empty area below and press F9 (or Ctrl+A then F9) to generate and refresh it.</w:t>
      </w:r>
    </w:p>
    <w:sdt>
      <w:sdtPr>
        <w:alias w:val="Right-click and select &quot;Update Field&quot; to build the 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360"/>
      </w:pPr>
      <w:r>
        <w:rPr>
          <w:rFonts w:ascii="Arial" w:cs="Arial" w:eastAsia="Arial" w:hAnsi="Arial"/>
          <w:b/>
          <w:bCs/>
          <w:color w:val="0B1F3A"/>
          <w:sz w:val="28"/>
          <w:szCs w:val="28"/>
        </w:rPr>
        <w:t xml:space="preserve">1. Document Information</w:t>
      </w:r>
    </w:p>
    <w:p>
      <w:pPr>
        <w:pStyle w:val="Heading2"/>
        <w:spacing w:after="120" w:before="240"/>
      </w:pPr>
      <w:r>
        <w:rPr>
          <w:rFonts w:ascii="Arial" w:cs="Arial" w:eastAsia="Arial" w:hAnsi="Arial"/>
          <w:b/>
          <w:bCs/>
          <w:color w:val="005B9A"/>
          <w:sz w:val="24"/>
          <w:szCs w:val="24"/>
        </w:rPr>
        <w:t xml:space="preserve">1.1 Key Contacts</w:t>
      </w:r>
    </w:p>
    <w:tbl>
      <w:tblPr>
        <w:tblW w:type="dxa" w:w="9700"/>
        <w:tblBorders>
          <w:top w:val="single" w:color="AAB4BE" w:sz="4"/>
          <w:left w:val="single" w:color="AAB4BE" w:sz="4"/>
          <w:bottom w:val="single" w:color="AAB4BE" w:sz="4"/>
          <w:right w:val="single" w:color="AAB4BE" w:sz="4"/>
          <w:insideH w:val="single" w:color="AAB4BE" w:sz="4"/>
          <w:insideV w:val="single" w:color="AAB4BE" w:sz="4"/>
        </w:tblBorders>
      </w:tblPr>
      <w:tblGrid>
        <w:gridCol w:w="2600"/>
        <w:gridCol w:w="2200"/>
        <w:gridCol w:w="3200"/>
        <w:gridCol w:w="1700"/>
      </w:tblGrid>
      <w:tr>
        <w:trPr>
          <w:tblHeader/>
        </w:trPr>
        <w:tc>
          <w:tcPr>
            <w:tcW w:type="dxa" w:w="26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Name</w:t>
            </w:r>
          </w:p>
        </w:tc>
        <w:tc>
          <w:tcPr>
            <w:tcW w:type="dxa" w:w="22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Role / Stream</w:t>
            </w:r>
          </w:p>
        </w:tc>
        <w:tc>
          <w:tcPr>
            <w:tcW w:type="dxa" w:w="32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Email</w:t>
            </w:r>
          </w:p>
        </w:tc>
        <w:tc>
          <w:tcPr>
            <w:tcW w:type="dxa" w:w="17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Phone</w:t>
            </w:r>
          </w:p>
        </w:tc>
      </w:tr>
      <w:tr>
        <w:trPr>
          <w:tblHeader w:val="false"/>
        </w:trPr>
        <w:tc>
          <w:tcPr>
            <w:tcW w:type="dxa" w:w="26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Marco Casavecchia</w:t>
            </w:r>
          </w:p>
        </w:tc>
        <w:tc>
          <w:tcPr>
            <w:tcW w:type="dxa" w:w="2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Author / Functional Consultant – MM</w:t>
            </w:r>
          </w:p>
        </w:tc>
        <w:tc>
          <w:tcPr>
            <w:tcW w:type="dxa" w:w="3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To be completed</w:t>
            </w:r>
          </w:p>
        </w:tc>
        <w:tc>
          <w:tcPr>
            <w:tcW w:type="dxa" w:w="17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N/A</w:t>
            </w:r>
          </w:p>
        </w:tc>
      </w:tr>
      <w:tr>
        <w:trPr>
          <w:tblHeader w:val="false"/>
        </w:trPr>
        <w:tc>
          <w:tcPr>
            <w:tcW w:type="dxa" w:w="26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To be completed</w:t>
            </w:r>
          </w:p>
        </w:tc>
        <w:tc>
          <w:tcPr>
            <w:tcW w:type="dxa" w:w="2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Development Consultant – ABAP</w:t>
            </w:r>
          </w:p>
        </w:tc>
        <w:tc>
          <w:tcPr>
            <w:tcW w:type="dxa" w:w="3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To be completed</w:t>
            </w:r>
          </w:p>
        </w:tc>
        <w:tc>
          <w:tcPr>
            <w:tcW w:type="dxa" w:w="17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N/A</w:t>
            </w:r>
          </w:p>
        </w:tc>
      </w:tr>
      <w:tr>
        <w:trPr>
          <w:tblHeader w:val="false"/>
        </w:trPr>
        <w:tc>
          <w:tcPr>
            <w:tcW w:type="dxa" w:w="26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To be completed</w:t>
            </w:r>
          </w:p>
        </w:tc>
        <w:tc>
          <w:tcPr>
            <w:tcW w:type="dxa" w:w="2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Business Process Owner – Operations</w:t>
            </w:r>
          </w:p>
        </w:tc>
        <w:tc>
          <w:tcPr>
            <w:tcW w:type="dxa" w:w="3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To be completed</w:t>
            </w:r>
          </w:p>
        </w:tc>
        <w:tc>
          <w:tcPr>
            <w:tcW w:type="dxa" w:w="17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N/A</w:t>
            </w:r>
          </w:p>
        </w:tc>
      </w:tr>
      <w:tr>
        <w:trPr>
          <w:tblHeader w:val="false"/>
        </w:trPr>
        <w:tc>
          <w:tcPr>
            <w:tcW w:type="dxa" w:w="26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To be completed</w:t>
            </w:r>
          </w:p>
        </w:tc>
        <w:tc>
          <w:tcPr>
            <w:tcW w:type="dxa" w:w="2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Functional Lead – MM/PP</w:t>
            </w:r>
          </w:p>
        </w:tc>
        <w:tc>
          <w:tcPr>
            <w:tcW w:type="dxa" w:w="3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To be completed</w:t>
            </w:r>
          </w:p>
        </w:tc>
        <w:tc>
          <w:tcPr>
            <w:tcW w:type="dxa" w:w="17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N/A</w:t>
            </w:r>
          </w:p>
        </w:tc>
      </w:tr>
      <w:tr>
        <w:trPr>
          <w:tblHeader w:val="false"/>
        </w:trPr>
        <w:tc>
          <w:tcPr>
            <w:tcW w:type="dxa" w:w="26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To be completed</w:t>
            </w:r>
          </w:p>
        </w:tc>
        <w:tc>
          <w:tcPr>
            <w:tcW w:type="dxa" w:w="2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Technical Lead – ABAP</w:t>
            </w:r>
          </w:p>
        </w:tc>
        <w:tc>
          <w:tcPr>
            <w:tcW w:type="dxa" w:w="3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To be completed</w:t>
            </w:r>
          </w:p>
        </w:tc>
        <w:tc>
          <w:tcPr>
            <w:tcW w:type="dxa" w:w="17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N/A</w:t>
            </w:r>
          </w:p>
        </w:tc>
      </w:tr>
      <w:tr>
        <w:trPr>
          <w:tblHeader w:val="false"/>
        </w:trPr>
        <w:tc>
          <w:tcPr>
            <w:tcW w:type="dxa" w:w="26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To be completed</w:t>
            </w:r>
          </w:p>
        </w:tc>
        <w:tc>
          <w:tcPr>
            <w:tcW w:type="dxa" w:w="2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IT System Owner &amp; QA</w:t>
            </w:r>
          </w:p>
        </w:tc>
        <w:tc>
          <w:tcPr>
            <w:tcW w:type="dxa" w:w="3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To be completed</w:t>
            </w:r>
          </w:p>
        </w:tc>
        <w:tc>
          <w:tcPr>
            <w:tcW w:type="dxa" w:w="17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N/A</w:t>
            </w:r>
          </w:p>
        </w:tc>
      </w:tr>
    </w:tbl>
    <w:p>
      <w:pPr>
        <w:pStyle w:val="Heading2"/>
        <w:spacing w:after="120" w:before="240"/>
      </w:pPr>
      <w:r>
        <w:rPr>
          <w:rFonts w:ascii="Arial" w:cs="Arial" w:eastAsia="Arial" w:hAnsi="Arial"/>
          <w:b/>
          <w:bCs/>
          <w:color w:val="005B9A"/>
          <w:sz w:val="24"/>
          <w:szCs w:val="24"/>
        </w:rPr>
        <w:t xml:space="preserve">1.2 Document History</w:t>
      </w:r>
    </w:p>
    <w:tbl>
      <w:tblPr>
        <w:tblW w:type="dxa" w:w="9700"/>
        <w:tblBorders>
          <w:top w:val="single" w:color="AAB4BE" w:sz="4"/>
          <w:left w:val="single" w:color="AAB4BE" w:sz="4"/>
          <w:bottom w:val="single" w:color="AAB4BE" w:sz="4"/>
          <w:right w:val="single" w:color="AAB4BE" w:sz="4"/>
          <w:insideH w:val="single" w:color="AAB4BE" w:sz="4"/>
          <w:insideV w:val="single" w:color="AAB4BE" w:sz="4"/>
        </w:tblBorders>
      </w:tblPr>
      <w:tblGrid>
        <w:gridCol w:w="1600"/>
        <w:gridCol w:w="2600"/>
        <w:gridCol w:w="1300"/>
        <w:gridCol w:w="4200"/>
      </w:tblGrid>
      <w:tr>
        <w:trPr>
          <w:tblHeader/>
        </w:trPr>
        <w:tc>
          <w:tcPr>
            <w:tcW w:type="dxa" w:w="16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Date</w:t>
            </w:r>
          </w:p>
        </w:tc>
        <w:tc>
          <w:tcPr>
            <w:tcW w:type="dxa" w:w="26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Name</w:t>
            </w:r>
          </w:p>
        </w:tc>
        <w:tc>
          <w:tcPr>
            <w:tcW w:type="dxa" w:w="13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Version</w:t>
            </w:r>
          </w:p>
        </w:tc>
        <w:tc>
          <w:tcPr>
            <w:tcW w:type="dxa" w:w="42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Description of Changes</w:t>
            </w:r>
          </w:p>
        </w:tc>
      </w:tr>
      <w:tr>
        <w:trPr>
          <w:tblHeader w:val="false"/>
        </w:trPr>
        <w:tc>
          <w:tcPr>
            <w:tcW w:type="dxa" w:w="16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15-Jul-2026</w:t>
            </w:r>
          </w:p>
        </w:tc>
        <w:tc>
          <w:tcPr>
            <w:tcW w:type="dxa" w:w="26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To be completed</w:t>
            </w:r>
          </w:p>
        </w:tc>
        <w:tc>
          <w:tcPr>
            <w:tcW w:type="dxa" w:w="1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0.1</w:t>
            </w:r>
          </w:p>
        </w:tc>
        <w:tc>
          <w:tcPr>
            <w:tcW w:type="dxa" w:w="4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Initial draft – issued as separate documents FS-MM-301MOV-001 and TS-MM-301MOV-001.</w:t>
            </w:r>
          </w:p>
        </w:tc>
      </w:tr>
      <w:tr>
        <w:trPr>
          <w:tblHeader w:val="false"/>
        </w:trPr>
        <w:tc>
          <w:tcPr>
            <w:tcW w:type="dxa" w:w="16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22-Sep-2026</w:t>
            </w:r>
          </w:p>
        </w:tc>
        <w:tc>
          <w:tcPr>
            <w:tcW w:type="dxa" w:w="26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To be completed</w:t>
            </w:r>
          </w:p>
        </w:tc>
        <w:tc>
          <w:tcPr>
            <w:tcW w:type="dxa" w:w="1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0.2</w:t>
            </w:r>
          </w:p>
        </w:tc>
        <w:tc>
          <w:tcPr>
            <w:tcW w:type="dxa" w:w="4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Reissued on WRICEF FSD+TSD template v1.0. Functional and technical specifications merged into this single document; no change to the specified solution.</w:t>
            </w:r>
          </w:p>
        </w:tc>
      </w:tr>
      <w:tr>
        <w:trPr>
          <w:tblHeader w:val="false"/>
        </w:trPr>
        <w:tc>
          <w:tcPr>
            <w:tcW w:type="dxa" w:w="16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22-Sep-2026</w:t>
            </w:r>
          </w:p>
        </w:tc>
        <w:tc>
          <w:tcPr>
            <w:tcW w:type="dxa" w:w="26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Marco Casavecchia</w:t>
            </w:r>
          </w:p>
        </w:tc>
        <w:tc>
          <w:tcPr>
            <w:tcW w:type="dxa" w:w="1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0.3</w:t>
            </w:r>
          </w:p>
        </w:tc>
        <w:tc>
          <w:tcPr>
            <w:tcW w:type="dxa" w:w="4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Consistency corrections against the ABAP reference code: execution context of MB_DOCUMENT_BEFORE_UPDATE clarified (posting LUW, before the update task); authorisation objects corrected (M_MSEG_WMB plant + M_MSEG_BWA movement type); monitor filters on the goods-receipt posting date; idempotency based on the 301 document number; author completed.</w:t>
            </w:r>
          </w:p>
        </w:tc>
      </w:tr>
    </w:tbl>
    <w:p>
      <w:pPr>
        <w:pStyle w:val="Heading2"/>
        <w:spacing w:after="120" w:before="240"/>
      </w:pPr>
      <w:r>
        <w:rPr>
          <w:rFonts w:ascii="Arial" w:cs="Arial" w:eastAsia="Arial" w:hAnsi="Arial"/>
          <w:b/>
          <w:bCs/>
          <w:color w:val="005B9A"/>
          <w:sz w:val="24"/>
          <w:szCs w:val="24"/>
        </w:rPr>
        <w:t xml:space="preserve">1.3 Functional Approval / Sign-off</w:t>
      </w:r>
    </w:p>
    <w:p>
      <w:pPr>
        <w:spacing w:after="100" w:before="0"/>
      </w:pPr>
      <w:r>
        <w:rPr>
          <w:rFonts w:ascii="Arial" w:cs="Arial" w:eastAsia="Arial" w:hAnsi="Arial"/>
          <w:sz w:val="20"/>
          <w:szCs w:val="20"/>
        </w:rPr>
        <w:t xml:space="preserve">This document requires approval from the following individuals. All approvals related to this document are performed in Solution Manager.</w:t>
      </w:r>
    </w:p>
    <w:tbl>
      <w:tblPr>
        <w:tblW w:type="dxa" w:w="9700"/>
        <w:tblBorders>
          <w:top w:val="single" w:color="AAB4BE" w:sz="4"/>
          <w:left w:val="single" w:color="AAB4BE" w:sz="4"/>
          <w:bottom w:val="single" w:color="AAB4BE" w:sz="4"/>
          <w:right w:val="single" w:color="AAB4BE" w:sz="4"/>
          <w:insideH w:val="single" w:color="AAB4BE" w:sz="4"/>
          <w:insideV w:val="single" w:color="AAB4BE" w:sz="4"/>
        </w:tblBorders>
      </w:tblPr>
      <w:tblGrid>
        <w:gridCol w:w="2900"/>
        <w:gridCol w:w="2600"/>
        <w:gridCol w:w="2500"/>
        <w:gridCol w:w="1700"/>
      </w:tblGrid>
      <w:tr>
        <w:trPr>
          <w:tblHeader/>
        </w:trPr>
        <w:tc>
          <w:tcPr>
            <w:tcW w:type="dxa" w:w="29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Role</w:t>
            </w:r>
          </w:p>
        </w:tc>
        <w:tc>
          <w:tcPr>
            <w:tcW w:type="dxa" w:w="26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Name &amp; Title</w:t>
            </w:r>
          </w:p>
        </w:tc>
        <w:tc>
          <w:tcPr>
            <w:tcW w:type="dxa" w:w="25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Signature</w:t>
            </w:r>
          </w:p>
        </w:tc>
        <w:tc>
          <w:tcPr>
            <w:tcW w:type="dxa" w:w="17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Date</w:t>
            </w:r>
          </w:p>
        </w:tc>
      </w:tr>
      <w:tr>
        <w:trPr>
          <w:tblHeader w:val="false"/>
        </w:trPr>
        <w:tc>
          <w:tcPr>
            <w:tcW w:type="dxa" w:w="29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Author</w:t>
            </w:r>
          </w:p>
        </w:tc>
        <w:tc>
          <w:tcPr>
            <w:tcW w:type="dxa" w:w="26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Marco Casavecchia</w:t>
            </w:r>
          </w:p>
        </w:tc>
        <w:tc>
          <w:tcPr>
            <w:tcW w:type="dxa" w:w="25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Recorded in Solution Manager</w:t>
            </w:r>
          </w:p>
        </w:tc>
        <w:tc>
          <w:tcPr>
            <w:tcW w:type="dxa" w:w="1700"/>
            <w:tcMar>
              <w:top w:type="dxa" w:w="60"/>
              <w:left w:type="dxa" w:w="100"/>
              <w:bottom w:type="dxa" w:w="60"/>
              <w:right w:type="dxa" w:w="100"/>
            </w:tcMar>
          </w:tcPr>
          <w:p>
            <w:pPr>
              <w:spacing w:after="40" w:before="0"/>
            </w:pPr>
          </w:p>
        </w:tc>
      </w:tr>
      <w:tr>
        <w:trPr>
          <w:tblHeader w:val="false"/>
        </w:trPr>
        <w:tc>
          <w:tcPr>
            <w:tcW w:type="dxa" w:w="29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Implementation Partner</w:t>
            </w:r>
          </w:p>
        </w:tc>
        <w:tc>
          <w:tcPr>
            <w:tcW w:type="dxa" w:w="26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To be completed</w:t>
            </w:r>
          </w:p>
        </w:tc>
        <w:tc>
          <w:tcPr>
            <w:tcW w:type="dxa" w:w="25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Recorded in Solution Manager</w:t>
            </w:r>
          </w:p>
        </w:tc>
        <w:tc>
          <w:tcPr>
            <w:tcW w:type="dxa" w:w="1700"/>
            <w:tcMar>
              <w:top w:type="dxa" w:w="60"/>
              <w:left w:type="dxa" w:w="100"/>
              <w:bottom w:type="dxa" w:w="60"/>
              <w:right w:type="dxa" w:w="100"/>
            </w:tcMar>
          </w:tcPr>
          <w:p>
            <w:pPr>
              <w:spacing w:after="40" w:before="0"/>
            </w:pPr>
          </w:p>
        </w:tc>
      </w:tr>
      <w:tr>
        <w:trPr>
          <w:tblHeader w:val="false"/>
        </w:trPr>
        <w:tc>
          <w:tcPr>
            <w:tcW w:type="dxa" w:w="29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Reviewer – Business SME</w:t>
            </w:r>
          </w:p>
        </w:tc>
        <w:tc>
          <w:tcPr>
            <w:tcW w:type="dxa" w:w="26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To be completed</w:t>
            </w:r>
          </w:p>
        </w:tc>
        <w:tc>
          <w:tcPr>
            <w:tcW w:type="dxa" w:w="25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Recorded in Solution Manager</w:t>
            </w:r>
          </w:p>
        </w:tc>
        <w:tc>
          <w:tcPr>
            <w:tcW w:type="dxa" w:w="1700"/>
            <w:tcMar>
              <w:top w:type="dxa" w:w="60"/>
              <w:left w:type="dxa" w:w="100"/>
              <w:bottom w:type="dxa" w:w="60"/>
              <w:right w:type="dxa" w:w="100"/>
            </w:tcMar>
          </w:tcPr>
          <w:p>
            <w:pPr>
              <w:spacing w:after="40" w:before="0"/>
            </w:pPr>
          </w:p>
        </w:tc>
      </w:tr>
      <w:tr>
        <w:trPr>
          <w:tblHeader w:val="false"/>
        </w:trPr>
        <w:tc>
          <w:tcPr>
            <w:tcW w:type="dxa" w:w="29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Reviewer – Functional SME</w:t>
            </w:r>
          </w:p>
        </w:tc>
        <w:tc>
          <w:tcPr>
            <w:tcW w:type="dxa" w:w="26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To be completed</w:t>
            </w:r>
          </w:p>
        </w:tc>
        <w:tc>
          <w:tcPr>
            <w:tcW w:type="dxa" w:w="25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Recorded in Solution Manager</w:t>
            </w:r>
          </w:p>
        </w:tc>
        <w:tc>
          <w:tcPr>
            <w:tcW w:type="dxa" w:w="1700"/>
            <w:tcMar>
              <w:top w:type="dxa" w:w="60"/>
              <w:left w:type="dxa" w:w="100"/>
              <w:bottom w:type="dxa" w:w="60"/>
              <w:right w:type="dxa" w:w="100"/>
            </w:tcMar>
          </w:tcPr>
          <w:p>
            <w:pPr>
              <w:spacing w:after="40" w:before="0"/>
            </w:pPr>
          </w:p>
        </w:tc>
      </w:tr>
      <w:tr>
        <w:trPr>
          <w:tblHeader w:val="false"/>
        </w:trPr>
        <w:tc>
          <w:tcPr>
            <w:tcW w:type="dxa" w:w="29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Approver – Business Process Owner</w:t>
            </w:r>
          </w:p>
        </w:tc>
        <w:tc>
          <w:tcPr>
            <w:tcW w:type="dxa" w:w="26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To be completed</w:t>
            </w:r>
          </w:p>
        </w:tc>
        <w:tc>
          <w:tcPr>
            <w:tcW w:type="dxa" w:w="25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Recorded in Solution Manager</w:t>
            </w:r>
          </w:p>
        </w:tc>
        <w:tc>
          <w:tcPr>
            <w:tcW w:type="dxa" w:w="1700"/>
            <w:tcMar>
              <w:top w:type="dxa" w:w="60"/>
              <w:left w:type="dxa" w:w="100"/>
              <w:bottom w:type="dxa" w:w="60"/>
              <w:right w:type="dxa" w:w="100"/>
            </w:tcMar>
          </w:tcPr>
          <w:p>
            <w:pPr>
              <w:spacing w:after="40" w:before="0"/>
            </w:pPr>
          </w:p>
        </w:tc>
      </w:tr>
      <w:tr>
        <w:trPr>
          <w:tblHeader w:val="false"/>
        </w:trPr>
        <w:tc>
          <w:tcPr>
            <w:tcW w:type="dxa" w:w="29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Approver – IT System Owner &amp; QA</w:t>
            </w:r>
          </w:p>
        </w:tc>
        <w:tc>
          <w:tcPr>
            <w:tcW w:type="dxa" w:w="26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To be completed</w:t>
            </w:r>
          </w:p>
        </w:tc>
        <w:tc>
          <w:tcPr>
            <w:tcW w:type="dxa" w:w="25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Recorded in Solution Manager</w:t>
            </w:r>
          </w:p>
        </w:tc>
        <w:tc>
          <w:tcPr>
            <w:tcW w:type="dxa" w:w="1700"/>
            <w:tcMar>
              <w:top w:type="dxa" w:w="60"/>
              <w:left w:type="dxa" w:w="100"/>
              <w:bottom w:type="dxa" w:w="60"/>
              <w:right w:type="dxa" w:w="100"/>
            </w:tcMar>
          </w:tcPr>
          <w:p>
            <w:pPr>
              <w:spacing w:after="40" w:before="0"/>
            </w:pPr>
          </w:p>
        </w:tc>
      </w:tr>
    </w:tbl>
    <w:p>
      <w:pPr>
        <w:pStyle w:val="Heading2"/>
        <w:spacing w:after="120" w:before="240"/>
      </w:pPr>
      <w:r>
        <w:rPr>
          <w:rFonts w:ascii="Arial" w:cs="Arial" w:eastAsia="Arial" w:hAnsi="Arial"/>
          <w:b/>
          <w:bCs/>
          <w:color w:val="005B9A"/>
          <w:sz w:val="24"/>
          <w:szCs w:val="24"/>
        </w:rPr>
        <w:t xml:space="preserve">1.4 Technical Approval / Sign-off</w:t>
      </w:r>
    </w:p>
    <w:tbl>
      <w:tblPr>
        <w:tblW w:type="dxa" w:w="9700"/>
        <w:tblBorders>
          <w:top w:val="single" w:color="AAB4BE" w:sz="4"/>
          <w:left w:val="single" w:color="AAB4BE" w:sz="4"/>
          <w:bottom w:val="single" w:color="AAB4BE" w:sz="4"/>
          <w:right w:val="single" w:color="AAB4BE" w:sz="4"/>
          <w:insideH w:val="single" w:color="AAB4BE" w:sz="4"/>
          <w:insideV w:val="single" w:color="AAB4BE" w:sz="4"/>
        </w:tblBorders>
      </w:tblPr>
      <w:tblGrid>
        <w:gridCol w:w="2900"/>
        <w:gridCol w:w="2600"/>
        <w:gridCol w:w="2500"/>
        <w:gridCol w:w="1700"/>
      </w:tblGrid>
      <w:tr>
        <w:trPr>
          <w:tblHeader/>
        </w:trPr>
        <w:tc>
          <w:tcPr>
            <w:tcW w:type="dxa" w:w="29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Name</w:t>
            </w:r>
          </w:p>
        </w:tc>
        <w:tc>
          <w:tcPr>
            <w:tcW w:type="dxa" w:w="26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Role / Team</w:t>
            </w:r>
          </w:p>
        </w:tc>
        <w:tc>
          <w:tcPr>
            <w:tcW w:type="dxa" w:w="25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Signature</w:t>
            </w:r>
          </w:p>
        </w:tc>
        <w:tc>
          <w:tcPr>
            <w:tcW w:type="dxa" w:w="17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Date</w:t>
            </w:r>
          </w:p>
        </w:tc>
      </w:tr>
      <w:tr>
        <w:trPr>
          <w:tblHeader w:val="false"/>
        </w:trPr>
        <w:tc>
          <w:tcPr>
            <w:tcW w:type="dxa" w:w="29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To be completed</w:t>
            </w:r>
          </w:p>
        </w:tc>
        <w:tc>
          <w:tcPr>
            <w:tcW w:type="dxa" w:w="26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Development Lead</w:t>
            </w:r>
          </w:p>
        </w:tc>
        <w:tc>
          <w:tcPr>
            <w:tcW w:type="dxa" w:w="25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Recorded in Solution Manager</w:t>
            </w:r>
          </w:p>
        </w:tc>
        <w:tc>
          <w:tcPr>
            <w:tcW w:type="dxa" w:w="1700"/>
            <w:tcMar>
              <w:top w:type="dxa" w:w="60"/>
              <w:left w:type="dxa" w:w="100"/>
              <w:bottom w:type="dxa" w:w="60"/>
              <w:right w:type="dxa" w:w="100"/>
            </w:tcMar>
          </w:tcPr>
          <w:p>
            <w:pPr>
              <w:spacing w:after="40" w:before="0"/>
            </w:pPr>
          </w:p>
        </w:tc>
      </w:tr>
      <w:tr>
        <w:trPr>
          <w:tblHeader w:val="false"/>
        </w:trPr>
        <w:tc>
          <w:tcPr>
            <w:tcW w:type="dxa" w:w="29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To be completed</w:t>
            </w:r>
          </w:p>
        </w:tc>
        <w:tc>
          <w:tcPr>
            <w:tcW w:type="dxa" w:w="26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Technical Architect</w:t>
            </w:r>
          </w:p>
        </w:tc>
        <w:tc>
          <w:tcPr>
            <w:tcW w:type="dxa" w:w="25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Recorded in Solution Manager</w:t>
            </w:r>
          </w:p>
        </w:tc>
        <w:tc>
          <w:tcPr>
            <w:tcW w:type="dxa" w:w="1700"/>
            <w:tcMar>
              <w:top w:type="dxa" w:w="60"/>
              <w:left w:type="dxa" w:w="100"/>
              <w:bottom w:type="dxa" w:w="60"/>
              <w:right w:type="dxa" w:w="100"/>
            </w:tcMar>
          </w:tcPr>
          <w:p>
            <w:pPr>
              <w:spacing w:after="40" w:before="0"/>
            </w:pPr>
          </w:p>
        </w:tc>
      </w:tr>
      <w:tr>
        <w:trPr>
          <w:tblHeader w:val="false"/>
        </w:trPr>
        <w:tc>
          <w:tcPr>
            <w:tcW w:type="dxa" w:w="29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To be completed</w:t>
            </w:r>
          </w:p>
        </w:tc>
        <w:tc>
          <w:tcPr>
            <w:tcW w:type="dxa" w:w="26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IT System Owner &amp; QA</w:t>
            </w:r>
          </w:p>
        </w:tc>
        <w:tc>
          <w:tcPr>
            <w:tcW w:type="dxa" w:w="25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Recorded in Solution Manager</w:t>
            </w:r>
          </w:p>
        </w:tc>
        <w:tc>
          <w:tcPr>
            <w:tcW w:type="dxa" w:w="1700"/>
            <w:tcMar>
              <w:top w:type="dxa" w:w="60"/>
              <w:left w:type="dxa" w:w="100"/>
              <w:bottom w:type="dxa" w:w="60"/>
              <w:right w:type="dxa" w:w="100"/>
            </w:tcMar>
          </w:tcPr>
          <w:p>
            <w:pPr>
              <w:spacing w:after="40" w:before="0"/>
            </w:pPr>
          </w:p>
        </w:tc>
      </w:tr>
    </w:tbl>
    <w:p>
      <w:pPr>
        <w:pStyle w:val="Heading2"/>
        <w:spacing w:after="120" w:before="240"/>
      </w:pPr>
      <w:r>
        <w:rPr>
          <w:rFonts w:ascii="Arial" w:cs="Arial" w:eastAsia="Arial" w:hAnsi="Arial"/>
          <w:b/>
          <w:bCs/>
          <w:color w:val="005B9A"/>
          <w:sz w:val="24"/>
          <w:szCs w:val="24"/>
        </w:rPr>
        <w:t xml:space="preserve">1.5 Reference Documents</w:t>
      </w:r>
    </w:p>
    <w:tbl>
      <w:tblPr>
        <w:tblW w:type="dxa" w:w="9700"/>
        <w:tblBorders>
          <w:top w:val="single" w:color="AAB4BE" w:sz="4"/>
          <w:left w:val="single" w:color="AAB4BE" w:sz="4"/>
          <w:bottom w:val="single" w:color="AAB4BE" w:sz="4"/>
          <w:right w:val="single" w:color="AAB4BE" w:sz="4"/>
          <w:insideH w:val="single" w:color="AAB4BE" w:sz="4"/>
          <w:insideV w:val="single" w:color="AAB4BE" w:sz="4"/>
        </w:tblBorders>
      </w:tblPr>
      <w:tblGrid>
        <w:gridCol w:w="2000"/>
        <w:gridCol w:w="4200"/>
        <w:gridCol w:w="3500"/>
      </w:tblGrid>
      <w:tr>
        <w:trPr>
          <w:tblHeader/>
        </w:trPr>
        <w:tc>
          <w:tcPr>
            <w:tcW w:type="dxa" w:w="20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Type</w:t>
            </w:r>
          </w:p>
        </w:tc>
        <w:tc>
          <w:tcPr>
            <w:tcW w:type="dxa" w:w="42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Document Name</w:t>
            </w:r>
          </w:p>
        </w:tc>
        <w:tc>
          <w:tcPr>
            <w:tcW w:type="dxa" w:w="35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Location</w:t>
            </w:r>
          </w:p>
        </w:tc>
      </w:tr>
      <w:tr>
        <w:trPr>
          <w:tblHeader w:val="false"/>
        </w:trPr>
        <w:tc>
          <w:tcPr>
            <w:tcW w:type="dxa" w:w="20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BPD / BPML</w:t>
            </w:r>
          </w:p>
        </w:tc>
        <w:tc>
          <w:tcPr>
            <w:tcW w:type="dxa" w:w="4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To be confirmed – plant migration 8P01 → 8Q01</w:t>
            </w:r>
          </w:p>
        </w:tc>
        <w:tc>
          <w:tcPr>
            <w:tcW w:type="dxa" w:w="35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SolMan</w:t>
            </w:r>
          </w:p>
        </w:tc>
      </w:tr>
      <w:tr>
        <w:trPr>
          <w:tblHeader w:val="false"/>
        </w:trPr>
        <w:tc>
          <w:tcPr>
            <w:tcW w:type="dxa" w:w="20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FRS / Requirement</w:t>
            </w:r>
          </w:p>
        </w:tc>
        <w:tc>
          <w:tcPr>
            <w:tcW w:type="dxa" w:w="4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To be confirmed – stock produced in 8P01 must follow production to 8Q01 as it is received</w:t>
            </w:r>
          </w:p>
        </w:tc>
        <w:tc>
          <w:tcPr>
            <w:tcW w:type="dxa" w:w="35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SolMan</w:t>
            </w:r>
          </w:p>
        </w:tc>
      </w:tr>
      <w:tr>
        <w:trPr>
          <w:tblHeader w:val="false"/>
        </w:trPr>
        <w:tc>
          <w:tcPr>
            <w:tcW w:type="dxa" w:w="20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Related WRICEF</w:t>
            </w:r>
          </w:p>
        </w:tc>
        <w:tc>
          <w:tcPr>
            <w:tcW w:type="dxa" w:w="4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R-xxx-SEG – Auto-creation and alignment of 301 transfer reservations (companion object; internal reference FS-MM-301RES-001)</w:t>
            </w:r>
          </w:p>
        </w:tc>
        <w:tc>
          <w:tcPr>
            <w:tcW w:type="dxa" w:w="35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Companion FSD+TSD</w:t>
            </w:r>
          </w:p>
        </w:tc>
      </w:tr>
      <w:tr>
        <w:trPr>
          <w:tblHeader w:val="false"/>
        </w:trPr>
        <w:tc>
          <w:tcPr>
            <w:tcW w:type="dxa" w:w="20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Superseded</w:t>
            </w:r>
          </w:p>
        </w:tc>
        <w:tc>
          <w:tcPr>
            <w:tcW w:type="dxa" w:w="4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FS-MM-301MOV-001 / TS-MM-301MOV-001</w:t>
            </w:r>
          </w:p>
        </w:tc>
        <w:tc>
          <w:tcPr>
            <w:tcW w:type="dxa" w:w="35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Merged into this document at version 0.2</w:t>
            </w:r>
          </w:p>
        </w:tc>
      </w:tr>
      <w:tr>
        <w:trPr>
          <w:tblHeader w:val="false"/>
        </w:trPr>
        <w:tc>
          <w:tcPr>
            <w:tcW w:type="dxa" w:w="20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Standard SAP</w:t>
            </w:r>
          </w:p>
        </w:tc>
        <w:tc>
          <w:tcPr>
            <w:tcW w:type="dxa" w:w="4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BAdI </w:t>
            </w:r>
            <w:r>
              <w:rPr>
                <w:rFonts w:ascii="Consolas" w:cs="Consolas" w:eastAsia="Consolas" w:hAnsi="Consolas"/>
                <w:b w:val="false"/>
                <w:bCs w:val="false"/>
                <w:sz w:val="18"/>
                <w:szCs w:val="18"/>
              </w:rPr>
              <w:t xml:space="preserve">MB_DOCUMENT_BADI</w:t>
            </w:r>
            <w:r>
              <w:rPr>
                <w:rFonts w:ascii="Arial" w:cs="Arial" w:eastAsia="Arial" w:hAnsi="Arial"/>
                <w:b w:val="false"/>
                <w:bCs w:val="false"/>
                <w:sz w:val="18"/>
                <w:szCs w:val="18"/>
              </w:rPr>
              <w:t xml:space="preserve"> (interface </w:t>
            </w:r>
            <w:r>
              <w:rPr>
                <w:rFonts w:ascii="Consolas" w:cs="Consolas" w:eastAsia="Consolas" w:hAnsi="Consolas"/>
                <w:b w:val="false"/>
                <w:bCs w:val="false"/>
                <w:sz w:val="18"/>
                <w:szCs w:val="18"/>
              </w:rPr>
              <w:t xml:space="preserve">IF_EX_MB_DOCUMENT_BADI</w:t>
            </w:r>
            <w:r>
              <w:rPr>
                <w:rFonts w:ascii="Arial" w:cs="Arial" w:eastAsia="Arial" w:hAnsi="Arial"/>
                <w:b w:val="false"/>
                <w:bCs w:val="false"/>
                <w:sz w:val="18"/>
                <w:szCs w:val="18"/>
              </w:rPr>
              <w:t xml:space="preserve">) and </w:t>
            </w:r>
            <w:r>
              <w:rPr>
                <w:rFonts w:ascii="Consolas" w:cs="Consolas" w:eastAsia="Consolas" w:hAnsi="Consolas"/>
                <w:b w:val="false"/>
                <w:bCs w:val="false"/>
                <w:sz w:val="18"/>
                <w:szCs w:val="18"/>
              </w:rPr>
              <w:t xml:space="preserve">BAPI_GOODS_MOVEMENT_CREATE</w:t>
            </w:r>
            <w:r>
              <w:rPr>
                <w:rFonts w:ascii="Arial" w:cs="Arial" w:eastAsia="Arial" w:hAnsi="Arial"/>
                <w:b w:val="false"/>
                <w:bCs w:val="false"/>
                <w:sz w:val="18"/>
                <w:szCs w:val="18"/>
              </w:rPr>
              <w:t xml:space="preserve"> documentation (SE18 / SE37)</w:t>
            </w:r>
          </w:p>
        </w:tc>
        <w:tc>
          <w:tcPr>
            <w:tcW w:type="dxa" w:w="35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SAP system</w:t>
            </w:r>
          </w:p>
        </w:tc>
      </w:tr>
    </w:tbl>
    <w:p>
      <w:pPr>
        <w:pStyle w:val="Heading2"/>
        <w:spacing w:after="120" w:before="240"/>
      </w:pPr>
      <w:r>
        <w:rPr>
          <w:rFonts w:ascii="Arial" w:cs="Arial" w:eastAsia="Arial" w:hAnsi="Arial"/>
          <w:b/>
          <w:bCs/>
          <w:color w:val="005B9A"/>
          <w:sz w:val="24"/>
          <w:szCs w:val="24"/>
        </w:rPr>
        <w:t xml:space="preserve">1.6 Purpose of this document</w:t>
      </w:r>
    </w:p>
    <w:p>
      <w:pPr>
        <w:spacing w:after="100" w:before="0"/>
      </w:pPr>
      <w:r>
        <w:rPr>
          <w:rFonts w:ascii="Arial" w:cs="Arial" w:eastAsia="Arial" w:hAnsi="Arial"/>
          <w:sz w:val="20"/>
          <w:szCs w:val="20"/>
        </w:rPr>
        <w:t xml:space="preserve">This specification is the basis for the development and must be verified and approved formally. Realization starts only after approval.</w:t>
      </w:r>
    </w:p>
    <w:p>
      <w:pPr>
        <w:spacing w:after="100" w:before="0"/>
      </w:pPr>
      <w:r>
        <w:rPr>
          <w:rFonts w:ascii="Arial" w:cs="Arial" w:eastAsia="Arial" w:hAnsi="Arial"/>
          <w:sz w:val="20"/>
          <w:szCs w:val="20"/>
        </w:rPr>
        <w:t xml:space="preserve">The specification includes the business functional requirements and the technical design and has the following goals:</w:t>
      </w:r>
    </w:p>
    <w:p>
      <w:pPr>
        <w:pStyle w:val="ListParagraph"/>
        <w:numPr>
          <w:ilvl w:val="0"/>
          <w:numId w:val="2"/>
        </w:numPr>
        <w:spacing w:after="60"/>
      </w:pPr>
      <w:r>
        <w:rPr>
          <w:rFonts w:ascii="Arial" w:cs="Arial" w:eastAsia="Arial" w:hAnsi="Arial"/>
          <w:sz w:val="20"/>
          <w:szCs w:val="20"/>
        </w:rPr>
        <w:t xml:space="preserve">Reference the business requirements documented in the solution proposal (RTM, ERs, etc.);</w:t>
      </w:r>
    </w:p>
    <w:p>
      <w:pPr>
        <w:pStyle w:val="ListParagraph"/>
        <w:numPr>
          <w:ilvl w:val="0"/>
          <w:numId w:val="2"/>
        </w:numPr>
        <w:spacing w:after="60"/>
      </w:pPr>
      <w:r>
        <w:rPr>
          <w:rFonts w:ascii="Arial" w:cs="Arial" w:eastAsia="Arial" w:hAnsi="Arial"/>
          <w:sz w:val="20"/>
          <w:szCs w:val="20"/>
        </w:rPr>
        <w:t xml:space="preserve">Show the mapping into standard SAP products;</w:t>
      </w:r>
    </w:p>
    <w:p>
      <w:pPr>
        <w:pStyle w:val="ListParagraph"/>
        <w:numPr>
          <w:ilvl w:val="0"/>
          <w:numId w:val="2"/>
        </w:numPr>
        <w:spacing w:after="60"/>
      </w:pPr>
      <w:r>
        <w:rPr>
          <w:rFonts w:ascii="Arial" w:cs="Arial" w:eastAsia="Arial" w:hAnsi="Arial"/>
          <w:sz w:val="20"/>
          <w:szCs w:val="20"/>
        </w:rPr>
        <w:t xml:space="preserve">Describe the solution from an external (user or customer) point of view;</w:t>
      </w:r>
    </w:p>
    <w:p>
      <w:pPr>
        <w:pStyle w:val="ListParagraph"/>
        <w:numPr>
          <w:ilvl w:val="0"/>
          <w:numId w:val="2"/>
        </w:numPr>
        <w:spacing w:after="60"/>
      </w:pPr>
      <w:r>
        <w:rPr>
          <w:rFonts w:ascii="Arial" w:cs="Arial" w:eastAsia="Arial" w:hAnsi="Arial"/>
          <w:sz w:val="20"/>
          <w:szCs w:val="20"/>
        </w:rPr>
        <w:t xml:space="preserve">Detail the functional design including business process context, alternatives considered, key design decisions and operational concerns;</w:t>
      </w:r>
    </w:p>
    <w:p>
      <w:pPr>
        <w:pStyle w:val="ListParagraph"/>
        <w:numPr>
          <w:ilvl w:val="0"/>
          <w:numId w:val="2"/>
        </w:numPr>
        <w:spacing w:after="60"/>
      </w:pPr>
      <w:r>
        <w:rPr>
          <w:rFonts w:ascii="Arial" w:cs="Arial" w:eastAsia="Arial" w:hAnsi="Arial"/>
          <w:sz w:val="20"/>
          <w:szCs w:val="20"/>
        </w:rPr>
        <w:t xml:space="preserve">Detail the technical design.</w:t>
      </w:r>
    </w:p>
    <w:p>
      <w:pPr>
        <w:spacing w:after="100" w:before="0"/>
      </w:pPr>
      <w:r>
        <w:rPr>
          <w:rFonts w:ascii="Arial" w:cs="Arial" w:eastAsia="Arial" w:hAnsi="Arial"/>
          <w:sz w:val="20"/>
          <w:szCs w:val="20"/>
        </w:rPr>
        <w:t xml:space="preserve">All of the above ensures that every requirement is taken into consideration.</w:t>
      </w:r>
    </w:p>
    <w:p>
      <w:r>
        <w:br w:type="page"/>
      </w:r>
    </w:p>
    <w:p>
      <w:pPr>
        <w:pStyle w:val="Heading1"/>
        <w:spacing w:after="120" w:before="360"/>
      </w:pPr>
      <w:r>
        <w:rPr>
          <w:rFonts w:ascii="Arial" w:cs="Arial" w:eastAsia="Arial" w:hAnsi="Arial"/>
          <w:b/>
          <w:bCs/>
          <w:color w:val="0B1F3A"/>
          <w:sz w:val="28"/>
          <w:szCs w:val="28"/>
        </w:rPr>
        <w:t xml:space="preserve">2. General Object Overview</w:t>
      </w:r>
    </w:p>
    <w:p>
      <w:pPr>
        <w:pStyle w:val="Heading2"/>
        <w:spacing w:after="120" w:before="240"/>
      </w:pPr>
      <w:r>
        <w:rPr>
          <w:rFonts w:ascii="Arial" w:cs="Arial" w:eastAsia="Arial" w:hAnsi="Arial"/>
          <w:b/>
          <w:bCs/>
          <w:color w:val="005B9A"/>
          <w:sz w:val="24"/>
          <w:szCs w:val="24"/>
        </w:rPr>
        <w:t xml:space="preserve">2.1 Object Overview</w:t>
      </w:r>
    </w:p>
    <w:tbl>
      <w:tblPr>
        <w:tblW w:type="dxa" w:w="9700"/>
        <w:tblBorders>
          <w:top w:val="single" w:color="AAB4BE" w:sz="4"/>
          <w:left w:val="single" w:color="AAB4BE" w:sz="4"/>
          <w:bottom w:val="single" w:color="AAB4BE" w:sz="4"/>
          <w:right w:val="single" w:color="AAB4BE" w:sz="4"/>
          <w:insideH w:val="single" w:color="AAB4BE" w:sz="4"/>
          <w:insideV w:val="single" w:color="AAB4BE" w:sz="4"/>
        </w:tblBorders>
      </w:tblPr>
      <w:tblGrid>
        <w:gridCol w:w="3400"/>
        <w:gridCol w:w="6300"/>
      </w:tblGrid>
      <w:tr>
        <w:tc>
          <w:tcPr>
            <w:tcW w:type="dxa" w:w="34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WRICEF ID</w:t>
            </w:r>
          </w:p>
        </w:tc>
        <w:tc>
          <w:tcPr>
            <w:tcW w:type="dxa" w:w="6300"/>
            <w:tcMar>
              <w:top w:type="dxa" w:w="60"/>
              <w:left w:type="dxa" w:w="100"/>
              <w:bottom w:type="dxa" w:w="60"/>
              <w:right w:type="dxa" w:w="100"/>
            </w:tcMar>
          </w:tcPr>
          <w:p>
            <w:pPr>
              <w:spacing w:after="40" w:before="0"/>
            </w:pPr>
            <w:r>
              <w:rPr>
                <w:rFonts w:ascii="Arial" w:cs="Arial" w:eastAsia="Arial" w:hAnsi="Arial"/>
                <w:sz w:val="18"/>
                <w:szCs w:val="18"/>
              </w:rPr>
              <w:t xml:space="preserve">E-xxx-SEG (to be assigned; internal reference FS-MM-301MOV-001)</w:t>
            </w:r>
          </w:p>
        </w:tc>
      </w:tr>
      <w:tr>
        <w:tc>
          <w:tcPr>
            <w:tcW w:type="dxa" w:w="34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Object Type</w:t>
            </w:r>
          </w:p>
        </w:tc>
        <w:tc>
          <w:tcPr>
            <w:tcW w:type="dxa" w:w="6300"/>
            <w:tcMar>
              <w:top w:type="dxa" w:w="60"/>
              <w:left w:type="dxa" w:w="100"/>
              <w:bottom w:type="dxa" w:w="60"/>
              <w:right w:type="dxa" w:w="100"/>
            </w:tcMar>
          </w:tcPr>
          <w:p>
            <w:pPr>
              <w:spacing w:after="40" w:before="0"/>
            </w:pPr>
            <w:r>
              <w:rPr>
                <w:rFonts w:ascii="Arial" w:cs="Arial" w:eastAsia="Arial" w:hAnsi="Arial"/>
                <w:sz w:val="18"/>
                <w:szCs w:val="18"/>
              </w:rPr>
              <w:t xml:space="preserve">Enhancement</w:t>
            </w:r>
          </w:p>
        </w:tc>
      </w:tr>
      <w:tr>
        <w:tc>
          <w:tcPr>
            <w:tcW w:type="dxa" w:w="34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Title</w:t>
            </w:r>
          </w:p>
        </w:tc>
        <w:tc>
          <w:tcPr>
            <w:tcW w:type="dxa" w:w="6300"/>
            <w:tcMar>
              <w:top w:type="dxa" w:w="60"/>
              <w:left w:type="dxa" w:w="100"/>
              <w:bottom w:type="dxa" w:w="60"/>
              <w:right w:type="dxa" w:w="100"/>
            </w:tcMar>
          </w:tcPr>
          <w:p>
            <w:pPr>
              <w:spacing w:after="40" w:before="0"/>
            </w:pPr>
            <w:r>
              <w:rPr>
                <w:rFonts w:ascii="Arial" w:cs="Arial" w:eastAsia="Arial" w:hAnsi="Arial"/>
                <w:sz w:val="18"/>
                <w:szCs w:val="18"/>
              </w:rPr>
              <w:t xml:space="preserve">GR-triggered automatic 301 transfer posting (8P01 → 8Q01)</w:t>
            </w:r>
          </w:p>
        </w:tc>
      </w:tr>
      <w:tr>
        <w:tc>
          <w:tcPr>
            <w:tcW w:type="dxa" w:w="34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Business Process</w:t>
            </w:r>
          </w:p>
        </w:tc>
        <w:tc>
          <w:tcPr>
            <w:tcW w:type="dxa" w:w="6300"/>
            <w:tcMar>
              <w:top w:type="dxa" w:w="60"/>
              <w:left w:type="dxa" w:w="100"/>
              <w:bottom w:type="dxa" w:w="60"/>
              <w:right w:type="dxa" w:w="100"/>
            </w:tcMar>
          </w:tcPr>
          <w:p>
            <w:pPr>
              <w:spacing w:after="40" w:before="0"/>
            </w:pPr>
            <w:r>
              <w:rPr>
                <w:rFonts w:ascii="Arial" w:cs="Arial" w:eastAsia="Arial" w:hAnsi="Arial"/>
                <w:sz w:val="18"/>
                <w:szCs w:val="18"/>
              </w:rPr>
              <w:t xml:space="preserve">Plan to produce – goods receipt for production order; plant migration 8P01 → 8Q01</w:t>
            </w:r>
          </w:p>
        </w:tc>
      </w:tr>
      <w:tr>
        <w:tc>
          <w:tcPr>
            <w:tcW w:type="dxa" w:w="34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SAP Release</w:t>
            </w:r>
          </w:p>
        </w:tc>
        <w:tc>
          <w:tcPr>
            <w:tcW w:type="dxa" w:w="6300"/>
            <w:tcMar>
              <w:top w:type="dxa" w:w="60"/>
              <w:left w:type="dxa" w:w="100"/>
              <w:bottom w:type="dxa" w:w="60"/>
              <w:right w:type="dxa" w:w="100"/>
            </w:tcMar>
          </w:tcPr>
          <w:p>
            <w:pPr>
              <w:spacing w:after="40" w:before="0"/>
            </w:pPr>
            <w:r>
              <w:rPr>
                <w:rFonts w:ascii="Arial" w:cs="Arial" w:eastAsia="Arial" w:hAnsi="Arial"/>
                <w:sz w:val="18"/>
                <w:szCs w:val="18"/>
              </w:rPr>
              <w:t xml:space="preserve">S/4HANA on-premise</w:t>
            </w:r>
          </w:p>
        </w:tc>
      </w:tr>
      <w:tr>
        <w:tc>
          <w:tcPr>
            <w:tcW w:type="dxa" w:w="34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SAP Module / Area</w:t>
            </w:r>
          </w:p>
        </w:tc>
        <w:tc>
          <w:tcPr>
            <w:tcW w:type="dxa" w:w="6300"/>
            <w:tcMar>
              <w:top w:type="dxa" w:w="60"/>
              <w:left w:type="dxa" w:w="100"/>
              <w:bottom w:type="dxa" w:w="60"/>
              <w:right w:type="dxa" w:w="100"/>
            </w:tcMar>
          </w:tcPr>
          <w:p>
            <w:pPr>
              <w:spacing w:after="40" w:before="0"/>
            </w:pPr>
            <w:r>
              <w:rPr>
                <w:rFonts w:ascii="Arial" w:cs="Arial" w:eastAsia="Arial" w:hAnsi="Arial"/>
                <w:sz w:val="18"/>
                <w:szCs w:val="18"/>
              </w:rPr>
              <w:t xml:space="preserve">MM – Inventory Management (goods movements)</w:t>
            </w:r>
          </w:p>
        </w:tc>
      </w:tr>
      <w:tr>
        <w:tc>
          <w:tcPr>
            <w:tcW w:type="dxa" w:w="34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Description</w:t>
            </w:r>
          </w:p>
        </w:tc>
        <w:tc>
          <w:tcPr>
            <w:tcW w:type="dxa" w:w="6300"/>
            <w:tcMar>
              <w:top w:type="dxa" w:w="60"/>
              <w:left w:type="dxa" w:w="100"/>
              <w:bottom w:type="dxa" w:w="60"/>
              <w:right w:type="dxa" w:w="100"/>
            </w:tcMar>
          </w:tcPr>
          <w:p>
            <w:pPr>
              <w:spacing w:after="40" w:before="0"/>
            </w:pPr>
            <w:r>
              <w:rPr>
                <w:rFonts w:ascii="Arial" w:cs="Arial" w:eastAsia="Arial" w:hAnsi="Arial"/>
                <w:sz w:val="18"/>
                <w:szCs w:val="18"/>
              </w:rPr>
              <w:t xml:space="preserve">Whenever a goods receipt (movement type 101) is posted against a production order in plant 8P01, this enhancement automatically posts a movement-type 301 transfer of the received quantity from 8P01 to 8Q01, against the production order’s reservation. The transfer runs in its own logical unit of work immediately after the goods receipt has committed, so it can never roll back or block the goods receipt. A cancelled goods receipt (102) triggers the matching 302 reversal. A monitor and repost transaction covers transfers that failed at goods-receipt time.</w:t>
            </w:r>
          </w:p>
        </w:tc>
      </w:tr>
      <w:tr>
        <w:tc>
          <w:tcPr>
            <w:tcW w:type="dxa" w:w="34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Results if enhancement is not created</w:t>
            </w:r>
          </w:p>
        </w:tc>
        <w:tc>
          <w:tcPr>
            <w:tcW w:type="dxa" w:w="6300"/>
            <w:tcMar>
              <w:top w:type="dxa" w:w="60"/>
              <w:left w:type="dxa" w:w="100"/>
              <w:bottom w:type="dxa" w:w="60"/>
              <w:right w:type="dxa" w:w="100"/>
            </w:tcMar>
          </w:tcPr>
          <w:p>
            <w:pPr>
              <w:spacing w:after="40" w:before="0"/>
            </w:pPr>
            <w:r>
              <w:rPr>
                <w:rFonts w:ascii="Arial" w:cs="Arial" w:eastAsia="Arial" w:hAnsi="Arial"/>
                <w:sz w:val="18"/>
                <w:szCs w:val="18"/>
              </w:rPr>
              <w:t xml:space="preserve">☒ Lack of essential business information</w:t>
            </w:r>
          </w:p>
          <w:p>
            <w:pPr>
              <w:spacing w:after="40" w:before="0"/>
            </w:pPr>
            <w:r>
              <w:rPr>
                <w:rFonts w:ascii="Arial" w:cs="Arial" w:eastAsia="Arial" w:hAnsi="Arial"/>
                <w:sz w:val="18"/>
                <w:szCs w:val="18"/>
              </w:rPr>
              <w:t xml:space="preserve">☒ Manual workaround required: every receipt in 8P01 would have to be transferred to 8Q01 by hand in MB1B, receipt by receipt, against the right reservation and with the right fiscal-year valuation type. Stock would sit in the plant being wound down instead of following production to the target plant, and the reservation created by the companion object would never be consumed.</w:t>
            </w:r>
          </w:p>
        </w:tc>
      </w:tr>
      <w:tr>
        <w:tc>
          <w:tcPr>
            <w:tcW w:type="dxa" w:w="34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Region / Entity in scope</w:t>
            </w:r>
          </w:p>
        </w:tc>
        <w:tc>
          <w:tcPr>
            <w:tcW w:type="dxa" w:w="6300"/>
            <w:tcMar>
              <w:top w:type="dxa" w:w="60"/>
              <w:left w:type="dxa" w:w="100"/>
              <w:bottom w:type="dxa" w:w="60"/>
              <w:right w:type="dxa" w:w="100"/>
            </w:tcMar>
          </w:tcPr>
          <w:p>
            <w:pPr>
              <w:spacing w:after="40" w:before="0"/>
            </w:pPr>
            <w:r>
              <w:rPr>
                <w:rFonts w:ascii="Arial" w:cs="Arial" w:eastAsia="Arial" w:hAnsi="Arial"/>
                <w:sz w:val="18"/>
                <w:szCs w:val="18"/>
              </w:rPr>
              <w:t xml:space="preserve">SEG – plants 8P01 (issuing) and 8Q01 (receiving), same company code</w:t>
            </w:r>
          </w:p>
        </w:tc>
      </w:tr>
      <w:tr>
        <w:tc>
          <w:tcPr>
            <w:tcW w:type="dxa" w:w="34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Complexity</w:t>
            </w:r>
          </w:p>
        </w:tc>
        <w:tc>
          <w:tcPr>
            <w:tcW w:type="dxa" w:w="6300"/>
            <w:tcMar>
              <w:top w:type="dxa" w:w="60"/>
              <w:left w:type="dxa" w:w="100"/>
              <w:bottom w:type="dxa" w:w="60"/>
              <w:right w:type="dxa" w:w="100"/>
            </w:tcMar>
          </w:tcPr>
          <w:p>
            <w:pPr>
              <w:spacing w:after="40" w:before="0"/>
            </w:pPr>
            <w:r>
              <w:rPr>
                <w:rFonts w:ascii="Arial" w:cs="Arial" w:eastAsia="Arial" w:hAnsi="Arial"/>
                <w:sz w:val="18"/>
                <w:szCs w:val="18"/>
              </w:rPr>
              <w:t xml:space="preserve">☒ High</w:t>
            </w:r>
          </w:p>
        </w:tc>
      </w:tr>
      <w:tr>
        <w:tc>
          <w:tcPr>
            <w:tcW w:type="dxa" w:w="34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Mode</w:t>
            </w:r>
          </w:p>
        </w:tc>
        <w:tc>
          <w:tcPr>
            <w:tcW w:type="dxa" w:w="6300"/>
            <w:tcMar>
              <w:top w:type="dxa" w:w="60"/>
              <w:left w:type="dxa" w:w="100"/>
              <w:bottom w:type="dxa" w:w="60"/>
              <w:right w:type="dxa" w:w="100"/>
            </w:tcMar>
          </w:tcPr>
          <w:p>
            <w:pPr>
              <w:spacing w:after="40" w:before="0"/>
            </w:pPr>
            <w:r>
              <w:rPr>
                <w:rFonts w:ascii="Arial" w:cs="Arial" w:eastAsia="Arial" w:hAnsi="Arial"/>
                <w:sz w:val="18"/>
                <w:szCs w:val="18"/>
              </w:rPr>
              <w:t xml:space="preserve">☒ Both – real-time at goods-receipt posting (registered in the posting LUW, executed right after its commit), plus a background monitor, repost and catch-up run</w:t>
            </w:r>
          </w:p>
        </w:tc>
      </w:tr>
      <w:tr>
        <w:tc>
          <w:tcPr>
            <w:tcW w:type="dxa" w:w="34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Frequency</w:t>
            </w:r>
          </w:p>
        </w:tc>
        <w:tc>
          <w:tcPr>
            <w:tcW w:type="dxa" w:w="6300"/>
            <w:tcMar>
              <w:top w:type="dxa" w:w="60"/>
              <w:left w:type="dxa" w:w="100"/>
              <w:bottom w:type="dxa" w:w="60"/>
              <w:right w:type="dxa" w:w="100"/>
            </w:tcMar>
          </w:tcPr>
          <w:p>
            <w:pPr>
              <w:spacing w:after="40" w:before="0"/>
            </w:pPr>
            <w:r>
              <w:rPr>
                <w:rFonts w:ascii="Arial" w:cs="Arial" w:eastAsia="Arial" w:hAnsi="Arial"/>
                <w:sz w:val="18"/>
                <w:szCs w:val="18"/>
              </w:rPr>
              <w:t xml:space="preserve">☒ Other: event-driven – once per qualifying goods-receipt item. The optional catch-up sweep is parameter-driven, from every 1 minute to multiple days.</w:t>
            </w:r>
          </w:p>
        </w:tc>
      </w:tr>
      <w:tr>
        <w:tc>
          <w:tcPr>
            <w:tcW w:type="dxa" w:w="34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Dependency on other object(s)</w:t>
            </w:r>
          </w:p>
        </w:tc>
        <w:tc>
          <w:tcPr>
            <w:tcW w:type="dxa" w:w="6300"/>
            <w:tcMar>
              <w:top w:type="dxa" w:w="60"/>
              <w:left w:type="dxa" w:w="100"/>
              <w:bottom w:type="dxa" w:w="60"/>
              <w:right w:type="dxa" w:w="100"/>
            </w:tcMar>
          </w:tcPr>
          <w:p>
            <w:pPr>
              <w:spacing w:after="40" w:before="0"/>
            </w:pPr>
            <w:r>
              <w:rPr>
                <w:rFonts w:ascii="Arial" w:cs="Arial" w:eastAsia="Arial" w:hAnsi="Arial"/>
                <w:sz w:val="18"/>
                <w:szCs w:val="18"/>
              </w:rPr>
              <w:t xml:space="preserve">R-xxx-SEG – auto-creation and alignment of 301 transfer reservations (companion). It creates the reservation this object consumes and populates the link table </w:t>
            </w:r>
            <w:r>
              <w:rPr>
                <w:rFonts w:ascii="Consolas" w:cs="Consolas" w:eastAsia="Consolas" w:hAnsi="Consolas"/>
                <w:sz w:val="18"/>
                <w:szCs w:val="18"/>
              </w:rPr>
              <w:t xml:space="preserve">ZMM_301_RESV_LOG</w:t>
            </w:r>
            <w:r>
              <w:rPr>
                <w:rFonts w:ascii="Arial" w:cs="Arial" w:eastAsia="Arial" w:hAnsi="Arial"/>
                <w:sz w:val="18"/>
                <w:szCs w:val="18"/>
              </w:rPr>
              <w:t xml:space="preserve"> read here. Shares tables </w:t>
            </w:r>
            <w:r>
              <w:rPr>
                <w:rFonts w:ascii="Consolas" w:cs="Consolas" w:eastAsia="Consolas" w:hAnsi="Consolas"/>
                <w:sz w:val="18"/>
                <w:szCs w:val="18"/>
              </w:rPr>
              <w:t xml:space="preserve">ZMM_301_CTRL</w:t>
            </w:r>
            <w:r>
              <w:rPr>
                <w:rFonts w:ascii="Arial" w:cs="Arial" w:eastAsia="Arial" w:hAnsi="Arial"/>
                <w:sz w:val="18"/>
                <w:szCs w:val="18"/>
              </w:rPr>
              <w:t xml:space="preserve"> and </w:t>
            </w:r>
            <w:r>
              <w:rPr>
                <w:rFonts w:ascii="Consolas" w:cs="Consolas" w:eastAsia="Consolas" w:hAnsi="Consolas"/>
                <w:sz w:val="18"/>
                <w:szCs w:val="18"/>
              </w:rPr>
              <w:t xml:space="preserve">ZMM_301_RESV_LOG</w:t>
            </w:r>
            <w:r>
              <w:rPr>
                <w:rFonts w:ascii="Arial" w:cs="Arial" w:eastAsia="Arial" w:hAnsi="Arial"/>
                <w:sz w:val="18"/>
                <w:szCs w:val="18"/>
              </w:rPr>
              <w:t xml:space="preserve">, message class </w:t>
            </w:r>
            <w:r>
              <w:rPr>
                <w:rFonts w:ascii="Consolas" w:cs="Consolas" w:eastAsia="Consolas" w:hAnsi="Consolas"/>
                <w:sz w:val="18"/>
                <w:szCs w:val="18"/>
              </w:rPr>
              <w:t xml:space="preserve">ZMM301</w:t>
            </w:r>
            <w:r>
              <w:rPr>
                <w:rFonts w:ascii="Arial" w:cs="Arial" w:eastAsia="Arial" w:hAnsi="Arial"/>
                <w:sz w:val="18"/>
                <w:szCs w:val="18"/>
              </w:rPr>
              <w:t xml:space="preserve"> and package </w:t>
            </w:r>
            <w:r>
              <w:rPr>
                <w:rFonts w:ascii="Consolas" w:cs="Consolas" w:eastAsia="Consolas" w:hAnsi="Consolas"/>
                <w:sz w:val="18"/>
                <w:szCs w:val="18"/>
              </w:rPr>
              <w:t xml:space="preserve">Z_MM_INVENTORY</w:t>
            </w:r>
            <w:r>
              <w:rPr>
                <w:rFonts w:ascii="Arial" w:cs="Arial" w:eastAsia="Arial" w:hAnsi="Arial"/>
                <w:sz w:val="18"/>
                <w:szCs w:val="18"/>
              </w:rPr>
              <w:t xml:space="preserve">.</w:t>
            </w:r>
          </w:p>
        </w:tc>
      </w:tr>
      <w:tr>
        <w:tc>
          <w:tcPr>
            <w:tcW w:type="dxa" w:w="34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Author / Functional Consultant</w:t>
            </w:r>
          </w:p>
        </w:tc>
        <w:tc>
          <w:tcPr>
            <w:tcW w:type="dxa" w:w="6300"/>
            <w:tcMar>
              <w:top w:type="dxa" w:w="60"/>
              <w:left w:type="dxa" w:w="100"/>
              <w:bottom w:type="dxa" w:w="60"/>
              <w:right w:type="dxa" w:w="100"/>
            </w:tcMar>
          </w:tcPr>
          <w:p>
            <w:pPr>
              <w:spacing w:after="40" w:before="0"/>
            </w:pPr>
            <w:r>
              <w:rPr>
                <w:rFonts w:ascii="Arial" w:cs="Arial" w:eastAsia="Arial" w:hAnsi="Arial"/>
                <w:sz w:val="18"/>
                <w:szCs w:val="18"/>
              </w:rPr>
              <w:t xml:space="preserve">Marco Casavecchia</w:t>
            </w:r>
          </w:p>
        </w:tc>
      </w:tr>
      <w:tr>
        <w:tc>
          <w:tcPr>
            <w:tcW w:type="dxa" w:w="34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Development Consultant</w:t>
            </w:r>
          </w:p>
        </w:tc>
        <w:tc>
          <w:tcPr>
            <w:tcW w:type="dxa" w:w="6300"/>
            <w:tcMar>
              <w:top w:type="dxa" w:w="60"/>
              <w:left w:type="dxa" w:w="100"/>
              <w:bottom w:type="dxa" w:w="60"/>
              <w:right w:type="dxa" w:w="100"/>
            </w:tcMar>
          </w:tcPr>
          <w:p>
            <w:pPr>
              <w:spacing w:after="40" w:before="0"/>
            </w:pPr>
            <w:r>
              <w:rPr>
                <w:rFonts w:ascii="Arial" w:cs="Arial" w:eastAsia="Arial" w:hAnsi="Arial"/>
                <w:sz w:val="18"/>
                <w:szCs w:val="18"/>
              </w:rPr>
              <w:t xml:space="preserve">To be completed</w:t>
            </w:r>
          </w:p>
        </w:tc>
      </w:tr>
    </w:tbl>
    <w:p>
      <w:pPr>
        <w:pStyle w:val="Heading2"/>
        <w:spacing w:after="120" w:before="240"/>
      </w:pPr>
      <w:r>
        <w:rPr>
          <w:rFonts w:ascii="Arial" w:cs="Arial" w:eastAsia="Arial" w:hAnsi="Arial"/>
          <w:b/>
          <w:bCs/>
          <w:color w:val="005B9A"/>
          <w:sz w:val="24"/>
          <w:szCs w:val="24"/>
        </w:rPr>
        <w:t xml:space="preserve">2.2 Process Requirements Reference</w:t>
      </w:r>
    </w:p>
    <w:tbl>
      <w:tblPr>
        <w:tblW w:type="dxa" w:w="9700"/>
        <w:tblBorders>
          <w:top w:val="single" w:color="AAB4BE" w:sz="4"/>
          <w:left w:val="single" w:color="AAB4BE" w:sz="4"/>
          <w:bottom w:val="single" w:color="AAB4BE" w:sz="4"/>
          <w:right w:val="single" w:color="AAB4BE" w:sz="4"/>
          <w:insideH w:val="single" w:color="AAB4BE" w:sz="4"/>
          <w:insideV w:val="single" w:color="AAB4BE" w:sz="4"/>
        </w:tblBorders>
      </w:tblPr>
      <w:tblGrid>
        <w:gridCol w:w="1800"/>
        <w:gridCol w:w="1800"/>
        <w:gridCol w:w="6100"/>
      </w:tblGrid>
      <w:tr>
        <w:trPr>
          <w:tblHeader/>
        </w:trPr>
        <w:tc>
          <w:tcPr>
            <w:tcW w:type="dxa" w:w="18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BPML No.</w:t>
            </w:r>
          </w:p>
        </w:tc>
        <w:tc>
          <w:tcPr>
            <w:tcW w:type="dxa" w:w="18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FRS / Requirement ID</w:t>
            </w:r>
          </w:p>
        </w:tc>
        <w:tc>
          <w:tcPr>
            <w:tcW w:type="dxa" w:w="61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Requirement Description</w:t>
            </w:r>
          </w:p>
        </w:tc>
      </w:tr>
      <w:tr>
        <w:trPr>
          <w:tblHeader w:val="false"/>
        </w:trPr>
        <w:tc>
          <w:tcPr>
            <w:tcW w:type="dxa" w:w="18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To be confirmed</w:t>
            </w:r>
          </w:p>
        </w:tc>
        <w:tc>
          <w:tcPr>
            <w:tcW w:type="dxa" w:w="18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To be confirmed</w:t>
            </w:r>
          </w:p>
        </w:tc>
        <w:tc>
          <w:tcPr>
            <w:tcW w:type="dxa" w:w="61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As part of the progressive migration from 8P01 to 8Q01, finished-goods stock produced in 8P01 must be relocated to 8Q01 as it is produced, so that the target plant holds the stock and the receiving operations can start there.</w:t>
            </w:r>
          </w:p>
        </w:tc>
      </w:tr>
      <w:tr>
        <w:trPr>
          <w:tblHeader w:val="false"/>
        </w:trPr>
        <w:tc>
          <w:tcPr>
            <w:tcW w:type="dxa" w:w="18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To be confirmed</w:t>
            </w:r>
          </w:p>
        </w:tc>
        <w:tc>
          <w:tcPr>
            <w:tcW w:type="dxa" w:w="18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To be confirmed</w:t>
            </w:r>
          </w:p>
        </w:tc>
        <w:tc>
          <w:tcPr>
            <w:tcW w:type="dxa" w:w="61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The transfer must be immediate and automatic – triggered by the goods receipt itself rather than by a periodic scan – and it must never put the goods receipt at risk: a failed transfer may not block or roll back the production receipt.</w:t>
            </w:r>
          </w:p>
        </w:tc>
      </w:tr>
      <w:tr>
        <w:trPr>
          <w:tblHeader w:val="false"/>
        </w:trPr>
        <w:tc>
          <w:tcPr>
            <w:tcW w:type="dxa" w:w="18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To be confirmed</w:t>
            </w:r>
          </w:p>
        </w:tc>
        <w:tc>
          <w:tcPr>
            <w:tcW w:type="dxa" w:w="18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To be confirmed</w:t>
            </w:r>
          </w:p>
        </w:tc>
        <w:tc>
          <w:tcPr>
            <w:tcW w:type="dxa" w:w="61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The receiving plant is split-valuated with one valuation type per fiscal year. Every transfer must carry the valuation type of the fiscal year of the goods-receipt posting date, so that stock is valued in the correct year even for back-dated receipts.</w:t>
            </w:r>
          </w:p>
        </w:tc>
      </w:tr>
    </w:tbl>
    <w:p>
      <w:pPr>
        <w:pStyle w:val="Heading2"/>
        <w:spacing w:after="120" w:before="240"/>
      </w:pPr>
      <w:r>
        <w:rPr>
          <w:rFonts w:ascii="Arial" w:cs="Arial" w:eastAsia="Arial" w:hAnsi="Arial"/>
          <w:b/>
          <w:bCs/>
          <w:color w:val="005B9A"/>
          <w:sz w:val="24"/>
          <w:szCs w:val="24"/>
        </w:rPr>
        <w:t xml:space="preserve">2.3 SAP Gap</w:t>
      </w:r>
    </w:p>
    <w:p>
      <w:pPr>
        <w:spacing w:after="100" w:before="0"/>
      </w:pPr>
      <w:r>
        <w:rPr>
          <w:rFonts w:ascii="Arial" w:cs="Arial" w:eastAsia="Arial" w:hAnsi="Arial"/>
          <w:sz w:val="18"/>
          <w:szCs w:val="18"/>
        </w:rPr>
        <w:t xml:space="preserve">Standard SAP posts the goods receipt for the production order and can post a 301 transfer, but there is no standard link between the two: nothing in the standard triggers a plant-to-plant transfer as a consequence of a production goods receipt, and no standard configuration can express “move what was just received to the other plant, against the order’s reservation”. Transaction MB1B and the standard 301 remain manual, receipt by receipt. Standard output determination and MRP were evaluated (section 3.6) and do not apply: the trigger is a goods movement, not a printed output or a planning requirement. The derivation of the receiving valuation type from the posting-date fiscal year has no standard equivalent either. An enhancement at the material-document posting event is therefore required.</w:t>
      </w:r>
    </w:p>
    <w:p>
      <w:r>
        <w:br w:type="page"/>
      </w:r>
    </w:p>
    <w:p>
      <w:pPr>
        <w:pStyle w:val="Heading1"/>
        <w:spacing w:after="120" w:before="360"/>
      </w:pPr>
      <w:r>
        <w:rPr>
          <w:rFonts w:ascii="Arial" w:cs="Arial" w:eastAsia="Arial" w:hAnsi="Arial"/>
          <w:b/>
          <w:bCs/>
          <w:color w:val="0B1F3A"/>
          <w:sz w:val="28"/>
          <w:szCs w:val="28"/>
        </w:rPr>
        <w:t xml:space="preserve">3. Functional Description</w:t>
      </w:r>
    </w:p>
    <w:p>
      <w:pPr>
        <w:pStyle w:val="Heading2"/>
        <w:spacing w:after="120" w:before="240"/>
      </w:pPr>
      <w:r>
        <w:rPr>
          <w:rFonts w:ascii="Arial" w:cs="Arial" w:eastAsia="Arial" w:hAnsi="Arial"/>
          <w:b/>
          <w:bCs/>
          <w:color w:val="005B9A"/>
          <w:sz w:val="24"/>
          <w:szCs w:val="24"/>
        </w:rPr>
        <w:t xml:space="preserve">3.1 Business Process</w:t>
      </w:r>
    </w:p>
    <w:p>
      <w:pPr>
        <w:spacing w:after="100" w:before="0"/>
      </w:pPr>
      <w:r>
        <w:rPr>
          <w:rFonts w:ascii="Arial" w:cs="Arial" w:eastAsia="Arial" w:hAnsi="Arial"/>
          <w:sz w:val="18"/>
          <w:szCs w:val="18"/>
        </w:rPr>
        <w:t xml:space="preserve">As part of the </w:t>
      </w:r>
      <w:r>
        <w:rPr>
          <w:rFonts w:ascii="Arial" w:cs="Arial" w:eastAsia="Arial" w:hAnsi="Arial"/>
          <w:sz w:val="18"/>
          <w:szCs w:val="18"/>
          <w:b/>
          <w:bCs/>
        </w:rPr>
        <w:t xml:space="preserve">progressive migration</w:t>
      </w:r>
      <w:r>
        <w:rPr>
          <w:rFonts w:ascii="Arial" w:cs="Arial" w:eastAsia="Arial" w:hAnsi="Arial"/>
          <w:sz w:val="18"/>
          <w:szCs w:val="18"/>
        </w:rPr>
        <w:t xml:space="preserve"> of operations from plant </w:t>
      </w:r>
      <w:r>
        <w:rPr>
          <w:rFonts w:ascii="Arial" w:cs="Arial" w:eastAsia="Arial" w:hAnsi="Arial"/>
          <w:sz w:val="18"/>
          <w:szCs w:val="18"/>
          <w:b/>
          <w:bCs/>
        </w:rPr>
        <w:t xml:space="preserve">8P01</w:t>
      </w:r>
      <w:r>
        <w:rPr>
          <w:rFonts w:ascii="Arial" w:cs="Arial" w:eastAsia="Arial" w:hAnsi="Arial"/>
          <w:sz w:val="18"/>
          <w:szCs w:val="18"/>
        </w:rPr>
        <w:t xml:space="preserve">, which is being wound down, to plant </w:t>
      </w:r>
      <w:r>
        <w:rPr>
          <w:rFonts w:ascii="Arial" w:cs="Arial" w:eastAsia="Arial" w:hAnsi="Arial"/>
          <w:sz w:val="18"/>
          <w:szCs w:val="18"/>
          <w:b/>
          <w:bCs/>
        </w:rPr>
        <w:t xml:space="preserve">8Q01</w:t>
      </w:r>
      <w:r>
        <w:rPr>
          <w:rFonts w:ascii="Arial" w:cs="Arial" w:eastAsia="Arial" w:hAnsi="Arial"/>
          <w:sz w:val="18"/>
          <w:szCs w:val="18"/>
        </w:rPr>
        <w:t xml:space="preserve">, the target plant, finished-goods stock produced in 8P01 must be relocated to 8Q01 as it is produced. The companion object </w:t>
      </w:r>
      <w:r>
        <w:rPr>
          <w:rFonts w:ascii="Arial" w:cs="Arial" w:eastAsia="Arial" w:hAnsi="Arial"/>
          <w:sz w:val="18"/>
          <w:szCs w:val="18"/>
          <w:b/>
          <w:bCs/>
        </w:rPr>
        <w:t xml:space="preserve">R-xxx-SEG</w:t>
      </w:r>
      <w:r>
        <w:rPr>
          <w:rFonts w:ascii="Arial" w:cs="Arial" w:eastAsia="Arial" w:hAnsi="Arial"/>
          <w:sz w:val="18"/>
          <w:szCs w:val="18"/>
        </w:rPr>
        <w:t xml:space="preserve"> creates and maintains one </w:t>
      </w:r>
      <w:r>
        <w:rPr>
          <w:rFonts w:ascii="Arial" w:cs="Arial" w:eastAsia="Arial" w:hAnsi="Arial"/>
          <w:sz w:val="18"/>
          <w:szCs w:val="18"/>
          <w:b/>
          <w:bCs/>
        </w:rPr>
        <w:t xml:space="preserve">301 transfer reservation</w:t>
      </w:r>
      <w:r>
        <w:rPr>
          <w:rFonts w:ascii="Arial" w:cs="Arial" w:eastAsia="Arial" w:hAnsi="Arial"/>
          <w:sz w:val="18"/>
          <w:szCs w:val="18"/>
        </w:rPr>
        <w:t xml:space="preserve"> per open production order, sized to the order’s open quantity.</w:t>
      </w:r>
    </w:p>
    <w:p>
      <w:pPr>
        <w:spacing w:after="100" w:before="0"/>
      </w:pPr>
      <w:r>
        <w:rPr>
          <w:rFonts w:ascii="Arial" w:cs="Arial" w:eastAsia="Arial" w:hAnsi="Arial"/>
          <w:sz w:val="18"/>
          <w:szCs w:val="18"/>
        </w:rPr>
        <w:t xml:space="preserve">This object delivers the </w:t>
      </w:r>
      <w:r>
        <w:rPr>
          <w:rFonts w:ascii="Arial" w:cs="Arial" w:eastAsia="Arial" w:hAnsi="Arial"/>
          <w:sz w:val="18"/>
          <w:szCs w:val="18"/>
          <w:b/>
          <w:bCs/>
        </w:rPr>
        <w:t xml:space="preserve">physical movement</w:t>
      </w:r>
      <w:r>
        <w:rPr>
          <w:rFonts w:ascii="Arial" w:cs="Arial" w:eastAsia="Arial" w:hAnsi="Arial"/>
          <w:sz w:val="18"/>
          <w:szCs w:val="18"/>
        </w:rPr>
        <w:t xml:space="preserve">. Whenever a goods receipt (movement type </w:t>
      </w:r>
      <w:r>
        <w:rPr>
          <w:rFonts w:ascii="Arial" w:cs="Arial" w:eastAsia="Arial" w:hAnsi="Arial"/>
          <w:sz w:val="18"/>
          <w:szCs w:val="18"/>
          <w:b/>
          <w:bCs/>
        </w:rPr>
        <w:t xml:space="preserve">101</w:t>
      </w:r>
      <w:r>
        <w:rPr>
          <w:rFonts w:ascii="Arial" w:cs="Arial" w:eastAsia="Arial" w:hAnsi="Arial"/>
          <w:sz w:val="18"/>
          <w:szCs w:val="18"/>
        </w:rPr>
        <w:t xml:space="preserve">) is posted against a production order in 8P01, the received quantity is immediately transferred with movement type </w:t>
      </w:r>
      <w:r>
        <w:rPr>
          <w:rFonts w:ascii="Arial" w:cs="Arial" w:eastAsia="Arial" w:hAnsi="Arial"/>
          <w:sz w:val="18"/>
          <w:szCs w:val="18"/>
          <w:b/>
          <w:bCs/>
        </w:rPr>
        <w:t xml:space="preserve">301</w:t>
      </w:r>
      <w:r>
        <w:rPr>
          <w:rFonts w:ascii="Arial" w:cs="Arial" w:eastAsia="Arial" w:hAnsi="Arial"/>
          <w:sz w:val="18"/>
          <w:szCs w:val="18"/>
        </w:rPr>
        <w:t xml:space="preserve"> from 8P01 to 8Q01, against the order’s reservation. Stock therefore flows to the target plant in lockstep with production, and the reservation’s remaining quantity stays equal to the order’s remaining quantity: a receipt of X increases both </w:t>
      </w:r>
      <w:r>
        <w:rPr>
          <w:rFonts w:ascii="Consolas" w:cs="Consolas" w:eastAsia="Consolas" w:hAnsi="Consolas"/>
          <w:sz w:val="18"/>
          <w:szCs w:val="18"/>
        </w:rPr>
        <w:t xml:space="preserve">WEMNG</w:t>
      </w:r>
      <w:r>
        <w:rPr>
          <w:rFonts w:ascii="Arial" w:cs="Arial" w:eastAsia="Arial" w:hAnsi="Arial"/>
          <w:sz w:val="18"/>
          <w:szCs w:val="18"/>
        </w:rPr>
        <w:t xml:space="preserve"> (received) and </w:t>
      </w:r>
      <w:r>
        <w:rPr>
          <w:rFonts w:ascii="Consolas" w:cs="Consolas" w:eastAsia="Consolas" w:hAnsi="Consolas"/>
          <w:sz w:val="18"/>
          <w:szCs w:val="18"/>
        </w:rPr>
        <w:t xml:space="preserve">ENMNG</w:t>
      </w:r>
      <w:r>
        <w:rPr>
          <w:rFonts w:ascii="Arial" w:cs="Arial" w:eastAsia="Arial" w:hAnsi="Arial"/>
          <w:sz w:val="18"/>
          <w:szCs w:val="18"/>
        </w:rPr>
        <w:t xml:space="preserve"> (transferred) by X, so </w:t>
      </w:r>
      <w:r>
        <w:rPr>
          <w:rFonts w:ascii="Consolas" w:cs="Consolas" w:eastAsia="Consolas" w:hAnsi="Consolas"/>
          <w:sz w:val="18"/>
          <w:szCs w:val="18"/>
        </w:rPr>
        <w:t xml:space="preserve">PSMNG − WEMNG</w:t>
      </w:r>
      <w:r>
        <w:rPr>
          <w:rFonts w:ascii="Arial" w:cs="Arial" w:eastAsia="Arial" w:hAnsi="Arial"/>
          <w:sz w:val="18"/>
          <w:szCs w:val="18"/>
        </w:rPr>
        <w:t xml:space="preserve"> continues to equal </w:t>
      </w:r>
      <w:r>
        <w:rPr>
          <w:rFonts w:ascii="Consolas" w:cs="Consolas" w:eastAsia="Consolas" w:hAnsi="Consolas"/>
          <w:sz w:val="18"/>
          <w:szCs w:val="18"/>
        </w:rPr>
        <w:t xml:space="preserve">BDMNG − ENMNG</w:t>
      </w:r>
      <w:r>
        <w:rPr>
          <w:rFonts w:ascii="Arial" w:cs="Arial" w:eastAsia="Arial" w:hAnsi="Arial"/>
          <w:sz w:val="18"/>
          <w:szCs w:val="18"/>
        </w:rPr>
        <w:t xml:space="preserve">.</w:t>
      </w:r>
    </w:p>
    <w:p>
      <w:pPr>
        <w:spacing w:after="100" w:before="0"/>
      </w:pPr>
      <w:r>
        <w:rPr>
          <w:rFonts w:ascii="Arial" w:cs="Arial" w:eastAsia="Arial" w:hAnsi="Arial"/>
          <w:sz w:val="18"/>
          <w:szCs w:val="18"/>
          <w:b/>
          <w:bCs/>
        </w:rPr>
        <w:t xml:space="preserve">Immediate means triggered by the posting.</w:t>
      </w:r>
      <w:r>
        <w:rPr>
          <w:rFonts w:ascii="Arial" w:cs="Arial" w:eastAsia="Arial" w:hAnsi="Arial"/>
          <w:sz w:val="18"/>
          <w:szCs w:val="18"/>
        </w:rPr>
        <w:t xml:space="preserve"> The transfer is fired by the material-document posting event, not by a periodic scan, so the target plant receives the stock essentially as soon as it is produced. It is posted in its own logical unit of work immediately after the goods receipt has committed, which is what keeps the goods receipt safe.</w:t>
      </w:r>
    </w:p>
    <w:p>
      <w:pPr>
        <w:spacing w:after="100" w:before="0"/>
      </w:pPr>
      <w:r>
        <w:rPr>
          <w:rFonts w:ascii="Arial" w:cs="Arial" w:eastAsia="Arial" w:hAnsi="Arial"/>
          <w:sz w:val="18"/>
          <w:szCs w:val="18"/>
          <w:b/>
          <w:bCs/>
        </w:rPr>
        <w:t xml:space="preserve">The goods receipt is sacred.</w:t>
      </w:r>
      <w:r>
        <w:rPr>
          <w:rFonts w:ascii="Arial" w:cs="Arial" w:eastAsia="Arial" w:hAnsi="Arial"/>
          <w:sz w:val="18"/>
          <w:szCs w:val="18"/>
        </w:rPr>
        <w:t xml:space="preserve"> Nothing in this object may cause a production goods receipt to fail or be rolled back. A transfer that cannot be posted is logged and flagged for repost; the receipt itself always stands. This principle governs the whole design and is the reason the transfer is decoupled from the receipt’s own transaction.</w:t>
      </w:r>
    </w:p>
    <w:p>
      <w:pPr>
        <w:spacing w:after="100" w:before="0"/>
      </w:pPr>
      <w:r>
        <w:rPr>
          <w:rFonts w:ascii="Arial" w:cs="Arial" w:eastAsia="Arial" w:hAnsi="Arial"/>
          <w:sz w:val="18"/>
          <w:szCs w:val="18"/>
          <w:b/>
          <w:bCs/>
        </w:rPr>
        <w:t xml:space="preserve">Users.</w:t>
      </w:r>
      <w:r>
        <w:rPr>
          <w:rFonts w:ascii="Arial" w:cs="Arial" w:eastAsia="Arial" w:hAnsi="Arial"/>
          <w:sz w:val="18"/>
          <w:szCs w:val="18"/>
        </w:rPr>
        <w:t xml:space="preserve"> The automatic transfer needs no user interaction: it happens behind every goods receipt posted through MIGO, MB31, CO11N or an MFBF backflush. The MM key user works with the monitor transaction </w:t>
      </w:r>
      <w:r>
        <w:rPr>
          <w:rFonts w:ascii="Arial" w:cs="Arial" w:eastAsia="Arial" w:hAnsi="Arial"/>
          <w:sz w:val="18"/>
          <w:szCs w:val="18"/>
          <w:b/>
          <w:bCs/>
        </w:rPr>
        <w:t xml:space="preserve">ZMM301M</w:t>
      </w:r>
      <w:r>
        <w:rPr>
          <w:rFonts w:ascii="Arial" w:cs="Arial" w:eastAsia="Arial" w:hAnsi="Arial"/>
          <w:sz w:val="18"/>
          <w:szCs w:val="18"/>
        </w:rPr>
        <w:t xml:space="preserve">, which lists the receipts and their transfer status and offers a repost for any that failed.</w:t>
      </w:r>
    </w:p>
    <w:p>
      <w:pPr>
        <w:spacing w:after="100" w:before="0"/>
      </w:pPr>
      <w:r>
        <w:rPr>
          <w:rFonts w:ascii="Arial" w:cs="Arial" w:eastAsia="Arial" w:hAnsi="Arial"/>
          <w:sz w:val="18"/>
          <w:szCs w:val="18"/>
          <w:b/>
          <w:bCs/>
        </w:rPr>
        <w:t xml:space="preserve">Transitional.</w:t>
      </w:r>
      <w:r>
        <w:rPr>
          <w:rFonts w:ascii="Arial" w:cs="Arial" w:eastAsia="Arial" w:hAnsi="Arial"/>
          <w:sz w:val="18"/>
          <w:szCs w:val="18"/>
        </w:rPr>
        <w:t xml:space="preserve"> Like the companion object, the automation exists for the migration window only. It is scoped and switched off through the control table </w:t>
      </w:r>
      <w:r>
        <w:rPr>
          <w:rFonts w:ascii="Consolas" w:cs="Consolas" w:eastAsia="Consolas" w:hAnsi="Consolas"/>
          <w:sz w:val="18"/>
          <w:szCs w:val="18"/>
        </w:rPr>
        <w:t xml:space="preserve">ZMM_301_CTRL</w:t>
      </w:r>
      <w:r>
        <w:rPr>
          <w:rFonts w:ascii="Arial" w:cs="Arial" w:eastAsia="Arial" w:hAnsi="Arial"/>
          <w:sz w:val="18"/>
          <w:szCs w:val="18"/>
        </w:rPr>
        <w:t xml:space="preserve">, so it can be deactivated cleanly once 8P01 is drained, without removing the code.</w:t>
      </w:r>
    </w:p>
    <w:p>
      <w:pPr>
        <w:pStyle w:val="Heading2"/>
        <w:spacing w:after="120" w:before="240"/>
      </w:pPr>
      <w:r>
        <w:rPr>
          <w:rFonts w:ascii="Arial" w:cs="Arial" w:eastAsia="Arial" w:hAnsi="Arial"/>
          <w:b/>
          <w:bCs/>
          <w:color w:val="005B9A"/>
          <w:sz w:val="24"/>
          <w:szCs w:val="24"/>
        </w:rPr>
        <w:t xml:space="preserve">3.2 High Level Functional Design</w:t>
      </w:r>
    </w:p>
    <w:p>
      <w:pPr>
        <w:spacing w:after="100" w:before="0"/>
      </w:pPr>
      <w:r>
        <w:rPr>
          <w:rFonts w:ascii="Arial" w:cs="Arial" w:eastAsia="Arial" w:hAnsi="Arial"/>
          <w:sz w:val="18"/>
          <w:szCs w:val="18"/>
        </w:rPr>
        <w:t xml:space="preserve">There is no selection screen behind the automatic path: the user simply posts the goods receipt as usual, and the transfer follows. The functional behaviour is therefore best described by what the system decides for each goods-receipt item, using the field logic below.</w:t>
      </w:r>
    </w:p>
    <w:p>
      <w:pPr>
        <w:spacing w:after="100" w:before="0"/>
      </w:pPr>
      <w:r>
        <w:rPr>
          <w:rFonts w:ascii="Arial" w:cs="Arial" w:eastAsia="Arial" w:hAnsi="Arial"/>
          <w:sz w:val="18"/>
          <w:szCs w:val="18"/>
        </w:rPr>
        <w:t xml:space="preserve">The user-facing part of the object is the monitor transaction </w:t>
      </w:r>
      <w:r>
        <w:rPr>
          <w:rFonts w:ascii="Arial" w:cs="Arial" w:eastAsia="Arial" w:hAnsi="Arial"/>
          <w:sz w:val="18"/>
          <w:szCs w:val="18"/>
          <w:b/>
          <w:bCs/>
        </w:rPr>
        <w:t xml:space="preserve">ZMM301M</w:t>
      </w:r>
      <w:r>
        <w:rPr>
          <w:rFonts w:ascii="Arial" w:cs="Arial" w:eastAsia="Arial" w:hAnsi="Arial"/>
          <w:sz w:val="18"/>
          <w:szCs w:val="18"/>
        </w:rPr>
        <w:t xml:space="preserve">. It lists source goods receipts with the status of their transfer (success, warning, error, reversed), rolls up the counts, and offers three modes: </w:t>
      </w:r>
      <w:r>
        <w:rPr>
          <w:rFonts w:ascii="Arial" w:cs="Arial" w:eastAsia="Arial" w:hAnsi="Arial"/>
          <w:sz w:val="18"/>
          <w:szCs w:val="18"/>
          <w:b/>
          <w:bCs/>
        </w:rPr>
        <w:t xml:space="preserve">monitor</w:t>
      </w:r>
      <w:r>
        <w:rPr>
          <w:rFonts w:ascii="Arial" w:cs="Arial" w:eastAsia="Arial" w:hAnsi="Arial"/>
          <w:sz w:val="18"/>
          <w:szCs w:val="18"/>
        </w:rPr>
        <w:t xml:space="preserve"> to display, </w:t>
      </w:r>
      <w:r>
        <w:rPr>
          <w:rFonts w:ascii="Arial" w:cs="Arial" w:eastAsia="Arial" w:hAnsi="Arial"/>
          <w:sz w:val="18"/>
          <w:szCs w:val="18"/>
          <w:b/>
          <w:bCs/>
        </w:rPr>
        <w:t xml:space="preserve">repost</w:t>
      </w:r>
      <w:r>
        <w:rPr>
          <w:rFonts w:ascii="Arial" w:cs="Arial" w:eastAsia="Arial" w:hAnsi="Arial"/>
          <w:sz w:val="18"/>
          <w:szCs w:val="18"/>
        </w:rPr>
        <w:t xml:space="preserve"> to retry the failed and warned transfers, and </w:t>
      </w:r>
      <w:r>
        <w:rPr>
          <w:rFonts w:ascii="Arial" w:cs="Arial" w:eastAsia="Arial" w:hAnsi="Arial"/>
          <w:sz w:val="18"/>
          <w:szCs w:val="18"/>
          <w:b/>
          <w:bCs/>
        </w:rPr>
        <w:t xml:space="preserve">catch-up</w:t>
      </w:r>
      <w:r>
        <w:rPr>
          <w:rFonts w:ascii="Arial" w:cs="Arial" w:eastAsia="Arial" w:hAnsi="Arial"/>
          <w:sz w:val="18"/>
          <w:szCs w:val="18"/>
        </w:rPr>
        <w:t xml:space="preserve"> to sweep a period for receipts that never produced a transfer at all. Repost and catch-up are idempotent: a receipt that has already been transferred is skipped, never transferred twice.</w:t>
      </w:r>
    </w:p>
    <w:p>
      <w:pPr>
        <w:spacing w:after="100" w:before="0"/>
      </w:pPr>
      <w:r>
        <w:rPr>
          <w:rFonts w:ascii="Arial" w:cs="Arial" w:eastAsia="Arial" w:hAnsi="Arial"/>
          <w:sz w:val="18"/>
          <w:szCs w:val="18"/>
        </w:rPr>
        <w:t xml:space="preserve">The monitor selection screen is specified field by field in section 4.2 and the enhancement points in section 4.4.1. A screenshot will be added once the build is available in the development system.</w:t>
      </w:r>
    </w:p>
    <w:p>
      <w:pPr>
        <w:spacing w:after="100" w:before="0"/>
      </w:pPr>
      <w:r>
        <w:rPr>
          <w:rFonts w:ascii="Arial" w:cs="Arial" w:eastAsia="Arial" w:hAnsi="Arial"/>
          <w:b/>
          <w:bCs/>
          <w:sz w:val="20"/>
          <w:szCs w:val="20"/>
        </w:rPr>
        <w:t xml:space="preserve">Field logic:</w:t>
      </w:r>
    </w:p>
    <w:tbl>
      <w:tblPr>
        <w:tblW w:type="dxa" w:w="9700"/>
        <w:tblBorders>
          <w:top w:val="single" w:color="AAB4BE" w:sz="4"/>
          <w:left w:val="single" w:color="AAB4BE" w:sz="4"/>
          <w:bottom w:val="single" w:color="AAB4BE" w:sz="4"/>
          <w:right w:val="single" w:color="AAB4BE" w:sz="4"/>
          <w:insideH w:val="single" w:color="AAB4BE" w:sz="4"/>
          <w:insideV w:val="single" w:color="AAB4BE" w:sz="4"/>
        </w:tblBorders>
      </w:tblPr>
      <w:tblGrid>
        <w:gridCol w:w="700"/>
        <w:gridCol w:w="2600"/>
        <w:gridCol w:w="6400"/>
      </w:tblGrid>
      <w:tr>
        <w:trPr>
          <w:tblHeader/>
        </w:trPr>
        <w:tc>
          <w:tcPr>
            <w:tcW w:type="dxa" w:w="7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ID</w:t>
            </w:r>
          </w:p>
        </w:tc>
        <w:tc>
          <w:tcPr>
            <w:tcW w:type="dxa" w:w="26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Field</w:t>
            </w:r>
          </w:p>
        </w:tc>
        <w:tc>
          <w:tcPr>
            <w:tcW w:type="dxa" w:w="64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Content / Logic (source table-field, calculation, rounding, defaulting)</w:t>
            </w:r>
          </w:p>
        </w:tc>
      </w:tr>
      <w:tr>
        <w:trPr>
          <w:tblHeader w:val="false"/>
        </w:trPr>
        <w:tc>
          <w:tcPr>
            <w:tcW w:type="dxa" w:w="7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1</w:t>
            </w:r>
          </w:p>
        </w:tc>
        <w:tc>
          <w:tcPr>
            <w:tcW w:type="dxa" w:w="26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Qualifying goods-receipt item</w:t>
            </w:r>
          </w:p>
        </w:tc>
        <w:tc>
          <w:tcPr>
            <w:tcW w:type="dxa" w:w="64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An item of the posted material document is processed only when the movement type is </w:t>
            </w:r>
            <w:r>
              <w:rPr>
                <w:rFonts w:ascii="Arial" w:cs="Arial" w:eastAsia="Arial" w:hAnsi="Arial"/>
                <w:sz w:val="18"/>
                <w:szCs w:val="18"/>
                <w:b/>
                <w:bCs/>
              </w:rPr>
              <w:t xml:space="preserve">101</w:t>
            </w:r>
            <w:r>
              <w:rPr>
                <w:rFonts w:ascii="Arial" w:cs="Arial" w:eastAsia="Arial" w:hAnsi="Arial"/>
                <w:b w:val="false"/>
                <w:bCs w:val="false"/>
                <w:sz w:val="18"/>
                <w:szCs w:val="18"/>
              </w:rPr>
              <w:t xml:space="preserve"> (or 102 for the reversal path), the plant is the issuing plant of an active </w:t>
            </w:r>
            <w:r>
              <w:rPr>
                <w:rFonts w:ascii="Consolas" w:cs="Consolas" w:eastAsia="Consolas" w:hAnsi="Consolas"/>
                <w:b w:val="false"/>
                <w:bCs w:val="false"/>
                <w:sz w:val="18"/>
                <w:szCs w:val="18"/>
              </w:rPr>
              <w:t xml:space="preserve">ZMM_301_CTRL</w:t>
            </w:r>
            <w:r>
              <w:rPr>
                <w:rFonts w:ascii="Arial" w:cs="Arial" w:eastAsia="Arial" w:hAnsi="Arial"/>
                <w:b w:val="false"/>
                <w:bCs w:val="false"/>
                <w:sz w:val="18"/>
                <w:szCs w:val="18"/>
              </w:rPr>
              <w:t xml:space="preserve"> entry, the production order </w:t>
            </w:r>
            <w:r>
              <w:rPr>
                <w:rFonts w:ascii="Consolas" w:cs="Consolas" w:eastAsia="Consolas" w:hAnsi="Consolas"/>
                <w:b w:val="false"/>
                <w:bCs w:val="false"/>
                <w:sz w:val="18"/>
                <w:szCs w:val="18"/>
              </w:rPr>
              <w:t xml:space="preserve">AUFNR</w:t>
            </w:r>
            <w:r>
              <w:rPr>
                <w:rFonts w:ascii="Arial" w:cs="Arial" w:eastAsia="Arial" w:hAnsi="Arial"/>
                <w:b w:val="false"/>
                <w:bCs w:val="false"/>
                <w:sz w:val="18"/>
                <w:szCs w:val="18"/>
              </w:rPr>
              <w:t xml:space="preserve"> is populated, and the material is the order’s header (finished) material from AFPO. Anything else is ignored. Detection is movement-type and order driven, not transaction driven, so every channel that produces a 101 against the order is covered: MIGO, MB31, CO11N auto-receipt and MFBF backflush.</w:t>
            </w:r>
          </w:p>
        </w:tc>
      </w:tr>
      <w:tr>
        <w:trPr>
          <w:tblHeader w:val="false"/>
        </w:trPr>
        <w:tc>
          <w:tcPr>
            <w:tcW w:type="dxa" w:w="7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2</w:t>
            </w:r>
          </w:p>
        </w:tc>
        <w:tc>
          <w:tcPr>
            <w:tcW w:type="dxa" w:w="26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Transfer quantity</w:t>
            </w:r>
          </w:p>
        </w:tc>
        <w:tc>
          <w:tcPr>
            <w:tcW w:type="dxa" w:w="64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The goods-receipt quantity </w:t>
            </w:r>
            <w:r>
              <w:rPr>
                <w:rFonts w:ascii="Consolas" w:cs="Consolas" w:eastAsia="Consolas" w:hAnsi="Consolas"/>
                <w:b w:val="false"/>
                <w:bCs w:val="false"/>
                <w:sz w:val="18"/>
                <w:szCs w:val="18"/>
              </w:rPr>
              <w:t xml:space="preserve">MSEG-MENGE</w:t>
            </w:r>
            <w:r>
              <w:rPr>
                <w:rFonts w:ascii="Arial" w:cs="Arial" w:eastAsia="Arial" w:hAnsi="Arial"/>
                <w:b w:val="false"/>
                <w:bCs w:val="false"/>
                <w:sz w:val="18"/>
                <w:szCs w:val="18"/>
              </w:rPr>
              <w:t xml:space="preserve"> with its unit </w:t>
            </w:r>
            <w:r>
              <w:rPr>
                <w:rFonts w:ascii="Consolas" w:cs="Consolas" w:eastAsia="Consolas" w:hAnsi="Consolas"/>
                <w:b w:val="false"/>
                <w:bCs w:val="false"/>
                <w:sz w:val="18"/>
                <w:szCs w:val="18"/>
              </w:rPr>
              <w:t xml:space="preserve">MSEG-MEINS</w:t>
            </w:r>
            <w:r>
              <w:rPr>
                <w:rFonts w:ascii="Arial" w:cs="Arial" w:eastAsia="Arial" w:hAnsi="Arial"/>
                <w:b w:val="false"/>
                <w:bCs w:val="false"/>
                <w:sz w:val="18"/>
                <w:szCs w:val="18"/>
              </w:rPr>
              <w:t xml:space="preserve">. The transfer is always for exactly what was received: no rounding, no aggregation across items.</w:t>
            </w:r>
          </w:p>
        </w:tc>
      </w:tr>
      <w:tr>
        <w:trPr>
          <w:tblHeader w:val="false"/>
        </w:trPr>
        <w:tc>
          <w:tcPr>
            <w:tcW w:type="dxa" w:w="7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3</w:t>
            </w:r>
          </w:p>
        </w:tc>
        <w:tc>
          <w:tcPr>
            <w:tcW w:type="dxa" w:w="26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Reservation reference</w:t>
            </w:r>
          </w:p>
        </w:tc>
        <w:tc>
          <w:tcPr>
            <w:tcW w:type="dxa" w:w="64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From the link table </w:t>
            </w:r>
            <w:r>
              <w:rPr>
                <w:rFonts w:ascii="Consolas" w:cs="Consolas" w:eastAsia="Consolas" w:hAnsi="Consolas"/>
                <w:b w:val="false"/>
                <w:bCs w:val="false"/>
                <w:sz w:val="18"/>
                <w:szCs w:val="18"/>
              </w:rPr>
              <w:t xml:space="preserve">ZMM_301_RESV_LOG</w:t>
            </w:r>
            <w:r>
              <w:rPr>
                <w:rFonts w:ascii="Arial" w:cs="Arial" w:eastAsia="Arial" w:hAnsi="Arial"/>
                <w:b w:val="false"/>
                <w:bCs w:val="false"/>
                <w:sz w:val="18"/>
                <w:szCs w:val="18"/>
              </w:rPr>
              <w:t xml:space="preserve"> (maintained by the companion object): production order → </w:t>
            </w:r>
            <w:r>
              <w:rPr>
                <w:rFonts w:ascii="Consolas" w:cs="Consolas" w:eastAsia="Consolas" w:hAnsi="Consolas"/>
                <w:b w:val="false"/>
                <w:bCs w:val="false"/>
                <w:sz w:val="18"/>
                <w:szCs w:val="18"/>
              </w:rPr>
              <w:t xml:space="preserve">RSNUM</w:t>
            </w:r>
            <w:r>
              <w:rPr>
                <w:rFonts w:ascii="Arial" w:cs="Arial" w:eastAsia="Arial" w:hAnsi="Arial"/>
                <w:b w:val="false"/>
                <w:bCs w:val="false"/>
                <w:sz w:val="18"/>
                <w:szCs w:val="18"/>
              </w:rPr>
              <w:t xml:space="preserve"> / </w:t>
            </w:r>
            <w:r>
              <w:rPr>
                <w:rFonts w:ascii="Consolas" w:cs="Consolas" w:eastAsia="Consolas" w:hAnsi="Consolas"/>
                <w:b w:val="false"/>
                <w:bCs w:val="false"/>
                <w:sz w:val="18"/>
                <w:szCs w:val="18"/>
              </w:rPr>
              <w:t xml:space="preserve">RSPOS</w:t>
            </w:r>
            <w:r>
              <w:rPr>
                <w:rFonts w:ascii="Arial" w:cs="Arial" w:eastAsia="Arial" w:hAnsi="Arial"/>
                <w:b w:val="false"/>
                <w:bCs w:val="false"/>
                <w:sz w:val="18"/>
                <w:szCs w:val="18"/>
              </w:rPr>
              <w:t xml:space="preserve">. The item is validated against RESB as still open (</w:t>
            </w:r>
            <w:r>
              <w:rPr>
                <w:rFonts w:ascii="Consolas" w:cs="Consolas" w:eastAsia="Consolas" w:hAnsi="Consolas"/>
                <w:b w:val="false"/>
                <w:bCs w:val="false"/>
                <w:sz w:val="18"/>
                <w:szCs w:val="18"/>
              </w:rPr>
              <w:t xml:space="preserve">BDMNG − ENMNG &gt; 0</w:t>
            </w:r>
            <w:r>
              <w:rPr>
                <w:rFonts w:ascii="Arial" w:cs="Arial" w:eastAsia="Arial" w:hAnsi="Arial"/>
                <w:b w:val="false"/>
                <w:bCs w:val="false"/>
                <w:sz w:val="18"/>
                <w:szCs w:val="18"/>
              </w:rPr>
              <w:t xml:space="preserve">) and matching on material and plants. Referencing the reservation is what makes </w:t>
            </w:r>
            <w:r>
              <w:rPr>
                <w:rFonts w:ascii="Consolas" w:cs="Consolas" w:eastAsia="Consolas" w:hAnsi="Consolas"/>
                <w:b w:val="false"/>
                <w:bCs w:val="false"/>
                <w:sz w:val="18"/>
                <w:szCs w:val="18"/>
              </w:rPr>
              <w:t xml:space="preserve">ENMNG</w:t>
            </w:r>
            <w:r>
              <w:rPr>
                <w:rFonts w:ascii="Arial" w:cs="Arial" w:eastAsia="Arial" w:hAnsi="Arial"/>
                <w:b w:val="false"/>
                <w:bCs w:val="false"/>
                <w:sz w:val="18"/>
                <w:szCs w:val="18"/>
              </w:rPr>
              <w:t xml:space="preserve"> grow, keeping reservation and order aligned.</w:t>
            </w:r>
          </w:p>
        </w:tc>
      </w:tr>
      <w:tr>
        <w:trPr>
          <w:tblHeader w:val="false"/>
        </w:trPr>
        <w:tc>
          <w:tcPr>
            <w:tcW w:type="dxa" w:w="7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4</w:t>
            </w:r>
          </w:p>
        </w:tc>
        <w:tc>
          <w:tcPr>
            <w:tcW w:type="dxa" w:w="26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Behaviour when no reservation exists yet</w:t>
            </w:r>
          </w:p>
        </w:tc>
        <w:tc>
          <w:tcPr>
            <w:tcW w:type="dxa" w:w="64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Configurable in </w:t>
            </w:r>
            <w:r>
              <w:rPr>
                <w:rFonts w:ascii="Consolas" w:cs="Consolas" w:eastAsia="Consolas" w:hAnsi="Consolas"/>
                <w:b w:val="false"/>
                <w:bCs w:val="false"/>
                <w:sz w:val="18"/>
                <w:szCs w:val="18"/>
              </w:rPr>
              <w:t xml:space="preserve">ZMM_301_CTRL-NO_RESV_ACTION</w:t>
            </w:r>
            <w:r>
              <w:rPr>
                <w:rFonts w:ascii="Arial" w:cs="Arial" w:eastAsia="Arial" w:hAnsi="Arial"/>
                <w:b w:val="false"/>
                <w:bCs w:val="false"/>
                <w:sz w:val="18"/>
                <w:szCs w:val="18"/>
              </w:rPr>
              <w:t xml:space="preserve">: </w:t>
            </w:r>
            <w:r>
              <w:rPr>
                <w:rFonts w:ascii="Arial" w:cs="Arial" w:eastAsia="Arial" w:hAnsi="Arial"/>
                <w:sz w:val="18"/>
                <w:szCs w:val="18"/>
                <w:b/>
                <w:bCs/>
              </w:rPr>
              <w:t xml:space="preserve">P</w:t>
            </w:r>
            <w:r>
              <w:rPr>
                <w:rFonts w:ascii="Arial" w:cs="Arial" w:eastAsia="Arial" w:hAnsi="Arial"/>
                <w:b w:val="false"/>
                <w:bCs w:val="false"/>
                <w:sz w:val="18"/>
                <w:szCs w:val="18"/>
              </w:rPr>
              <w:t xml:space="preserve"> posts the 301 without a reservation reference and logs a warning, so the companion object realigns on its next run; </w:t>
            </w:r>
            <w:r>
              <w:rPr>
                <w:rFonts w:ascii="Arial" w:cs="Arial" w:eastAsia="Arial" w:hAnsi="Arial"/>
                <w:sz w:val="18"/>
                <w:szCs w:val="18"/>
                <w:b/>
                <w:bCs/>
              </w:rPr>
              <w:t xml:space="preserve">S</w:t>
            </w:r>
            <w:r>
              <w:rPr>
                <w:rFonts w:ascii="Arial" w:cs="Arial" w:eastAsia="Arial" w:hAnsi="Arial"/>
                <w:b w:val="false"/>
                <w:bCs w:val="false"/>
                <w:sz w:val="18"/>
                <w:szCs w:val="18"/>
              </w:rPr>
              <w:t xml:space="preserve"> skips the transfer and logs a warning, relying on the companion object’s drift detection. The default is recorded as open item M4.</w:t>
            </w:r>
          </w:p>
        </w:tc>
      </w:tr>
      <w:tr>
        <w:trPr>
          <w:tblHeader w:val="false"/>
        </w:trPr>
        <w:tc>
          <w:tcPr>
            <w:tcW w:type="dxa" w:w="7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5</w:t>
            </w:r>
          </w:p>
        </w:tc>
        <w:tc>
          <w:tcPr>
            <w:tcW w:type="dxa" w:w="26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Batch</w:t>
            </w:r>
          </w:p>
        </w:tc>
        <w:tc>
          <w:tcPr>
            <w:tcW w:type="dxa" w:w="64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For batch-managed header materials the transfer carries the </w:t>
            </w:r>
            <w:r>
              <w:rPr>
                <w:rFonts w:ascii="Arial" w:cs="Arial" w:eastAsia="Arial" w:hAnsi="Arial"/>
                <w:sz w:val="18"/>
                <w:szCs w:val="18"/>
                <w:b/>
                <w:bCs/>
              </w:rPr>
              <w:t xml:space="preserve">same batch</w:t>
            </w:r>
            <w:r>
              <w:rPr>
                <w:rFonts w:ascii="Arial" w:cs="Arial" w:eastAsia="Arial" w:hAnsi="Arial"/>
                <w:b w:val="false"/>
                <w:bCs w:val="false"/>
                <w:sz w:val="18"/>
                <w:szCs w:val="18"/>
              </w:rPr>
              <w:t xml:space="preserve"> produced by the goods receipt, on both the issuing and the receiving side.</w:t>
            </w:r>
          </w:p>
        </w:tc>
      </w:tr>
      <w:tr>
        <w:trPr>
          <w:tblHeader w:val="false"/>
        </w:trPr>
        <w:tc>
          <w:tcPr>
            <w:tcW w:type="dxa" w:w="7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6</w:t>
            </w:r>
          </w:p>
        </w:tc>
        <w:tc>
          <w:tcPr>
            <w:tcW w:type="dxa" w:w="26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Storage locations</w:t>
            </w:r>
          </w:p>
        </w:tc>
        <w:tc>
          <w:tcPr>
            <w:tcW w:type="dxa" w:w="64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Issuing: the goods-receipt storage location, or the default from </w:t>
            </w:r>
            <w:r>
              <w:rPr>
                <w:rFonts w:ascii="Consolas" w:cs="Consolas" w:eastAsia="Consolas" w:hAnsi="Consolas"/>
                <w:b w:val="false"/>
                <w:bCs w:val="false"/>
                <w:sz w:val="18"/>
                <w:szCs w:val="18"/>
              </w:rPr>
              <w:t xml:space="preserve">ZMM_301_CTRL-LGORT_FR</w:t>
            </w:r>
            <w:r>
              <w:rPr>
                <w:rFonts w:ascii="Arial" w:cs="Arial" w:eastAsia="Arial" w:hAnsi="Arial"/>
                <w:b w:val="false"/>
                <w:bCs w:val="false"/>
                <w:sz w:val="18"/>
                <w:szCs w:val="18"/>
              </w:rPr>
              <w:t xml:space="preserve"> when it is blank. Receiving: </w:t>
            </w:r>
            <w:r>
              <w:rPr>
                <w:rFonts w:ascii="Consolas" w:cs="Consolas" w:eastAsia="Consolas" w:hAnsi="Consolas"/>
                <w:b w:val="false"/>
                <w:bCs w:val="false"/>
                <w:sz w:val="18"/>
                <w:szCs w:val="18"/>
              </w:rPr>
              <w:t xml:space="preserve">ZMM_301_CTRL-LGORT_TO</w:t>
            </w:r>
            <w:r>
              <w:rPr>
                <w:rFonts w:ascii="Arial" w:cs="Arial" w:eastAsia="Arial" w:hAnsi="Arial"/>
                <w:b w:val="false"/>
                <w:bCs w:val="false"/>
                <w:sz w:val="18"/>
                <w:szCs w:val="18"/>
              </w:rPr>
              <w:t xml:space="preserve">.</w:t>
            </w:r>
          </w:p>
        </w:tc>
      </w:tr>
      <w:tr>
        <w:trPr>
          <w:tblHeader w:val="false"/>
        </w:trPr>
        <w:tc>
          <w:tcPr>
            <w:tcW w:type="dxa" w:w="7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7</w:t>
            </w:r>
          </w:p>
        </w:tc>
        <w:tc>
          <w:tcPr>
            <w:tcW w:type="dxa" w:w="26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Fiscal year</w:t>
            </w:r>
          </w:p>
        </w:tc>
        <w:tc>
          <w:tcPr>
            <w:tcW w:type="dxa" w:w="64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Derived from the goods-receipt </w:t>
            </w:r>
            <w:r>
              <w:rPr>
                <w:rFonts w:ascii="Arial" w:cs="Arial" w:eastAsia="Arial" w:hAnsi="Arial"/>
                <w:sz w:val="18"/>
                <w:szCs w:val="18"/>
                <w:b/>
                <w:bCs/>
              </w:rPr>
              <w:t xml:space="preserve">posting date</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MKPF-BUDAT</w:t>
            </w:r>
            <w:r>
              <w:rPr>
                <w:rFonts w:ascii="Arial" w:cs="Arial" w:eastAsia="Arial" w:hAnsi="Arial"/>
                <w:b w:val="false"/>
                <w:bCs w:val="false"/>
                <w:sz w:val="18"/>
                <w:szCs w:val="18"/>
              </w:rPr>
              <w:t xml:space="preserve"> using the company code’s fiscal-year variant </w:t>
            </w:r>
            <w:r>
              <w:rPr>
                <w:rFonts w:ascii="Consolas" w:cs="Consolas" w:eastAsia="Consolas" w:hAnsi="Consolas"/>
                <w:b w:val="false"/>
                <w:bCs w:val="false"/>
                <w:sz w:val="18"/>
                <w:szCs w:val="18"/>
              </w:rPr>
              <w:t xml:space="preserve">T001-PERIV</w:t>
            </w:r>
            <w:r>
              <w:rPr>
                <w:rFonts w:ascii="Arial" w:cs="Arial" w:eastAsia="Arial" w:hAnsi="Arial"/>
                <w:b w:val="false"/>
                <w:bCs w:val="false"/>
                <w:sz w:val="18"/>
                <w:szCs w:val="18"/>
              </w:rPr>
              <w:t xml:space="preserve">, not from the system date. A back-dated receipt therefore resolves to the fiscal year it was posted into.</w:t>
            </w:r>
          </w:p>
        </w:tc>
      </w:tr>
      <w:tr>
        <w:trPr>
          <w:tblHeader w:val="false"/>
        </w:trPr>
        <w:tc>
          <w:tcPr>
            <w:tcW w:type="dxa" w:w="7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8</w:t>
            </w:r>
          </w:p>
        </w:tc>
        <w:tc>
          <w:tcPr>
            <w:tcW w:type="dxa" w:w="26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Destination valuation type</w:t>
            </w:r>
          </w:p>
        </w:tc>
        <w:tc>
          <w:tcPr>
            <w:tcW w:type="dxa" w:w="64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The receiving plant is split-valuated with one valuation type per fiscal year; the issuing plant is not split-valuated. The transfer carries </w:t>
            </w:r>
            <w:r>
              <w:rPr>
                <w:rFonts w:ascii="Arial" w:cs="Arial" w:eastAsia="Arial" w:hAnsi="Arial"/>
                <w:sz w:val="18"/>
                <w:szCs w:val="18"/>
                <w:b/>
                <w:bCs/>
              </w:rPr>
              <w:t xml:space="preserve">no</w:t>
            </w:r>
            <w:r>
              <w:rPr>
                <w:rFonts w:ascii="Arial" w:cs="Arial" w:eastAsia="Arial" w:hAnsi="Arial"/>
                <w:b w:val="false"/>
                <w:bCs w:val="false"/>
                <w:sz w:val="18"/>
                <w:szCs w:val="18"/>
              </w:rPr>
              <w:t xml:space="preserve"> valuation type on the issuing side and the </w:t>
            </w:r>
            <w:r>
              <w:rPr>
                <w:rFonts w:ascii="Arial" w:cs="Arial" w:eastAsia="Arial" w:hAnsi="Arial"/>
                <w:sz w:val="18"/>
                <w:szCs w:val="18"/>
                <w:b/>
                <w:bCs/>
              </w:rPr>
              <w:t xml:space="preserve">current fiscal year’s</w:t>
            </w:r>
            <w:r>
              <w:rPr>
                <w:rFonts w:ascii="Arial" w:cs="Arial" w:eastAsia="Arial" w:hAnsi="Arial"/>
                <w:b w:val="false"/>
                <w:bCs w:val="false"/>
                <w:sz w:val="18"/>
                <w:szCs w:val="18"/>
              </w:rPr>
              <w:t xml:space="preserve"> valuation type on the receiving side, read from </w:t>
            </w:r>
            <w:r>
              <w:rPr>
                <w:rFonts w:ascii="Consolas" w:cs="Consolas" w:eastAsia="Consolas" w:hAnsi="Consolas"/>
                <w:b w:val="false"/>
                <w:bCs w:val="false"/>
                <w:sz w:val="18"/>
                <w:szCs w:val="18"/>
              </w:rPr>
              <w:t xml:space="preserve">ZMM_301_VALTYPE</w:t>
            </w:r>
            <w:r>
              <w:rPr>
                <w:rFonts w:ascii="Arial" w:cs="Arial" w:eastAsia="Arial" w:hAnsi="Arial"/>
                <w:b w:val="false"/>
                <w:bCs w:val="false"/>
                <w:sz w:val="18"/>
                <w:szCs w:val="18"/>
              </w:rPr>
              <w:t xml:space="preserve"> for the fiscal year resolved in row 7. A missing entry is a hard error: no valuation type is ever guessed.</w:t>
            </w:r>
          </w:p>
        </w:tc>
      </w:tr>
      <w:tr>
        <w:trPr>
          <w:tblHeader w:val="false"/>
        </w:trPr>
        <w:tc>
          <w:tcPr>
            <w:tcW w:type="dxa" w:w="7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9</w:t>
            </w:r>
          </w:p>
        </w:tc>
        <w:tc>
          <w:tcPr>
            <w:tcW w:type="dxa" w:w="26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Idempotency key</w:t>
            </w:r>
          </w:p>
        </w:tc>
        <w:tc>
          <w:tcPr>
            <w:tcW w:type="dxa" w:w="64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The source goods-receipt item, </w:t>
            </w:r>
            <w:r>
              <w:rPr>
                <w:rFonts w:ascii="Consolas" w:cs="Consolas" w:eastAsia="Consolas" w:hAnsi="Consolas"/>
                <w:b w:val="false"/>
                <w:bCs w:val="false"/>
                <w:sz w:val="18"/>
                <w:szCs w:val="18"/>
              </w:rPr>
              <w:t xml:space="preserve">MBLNR</w:t>
            </w:r>
            <w:r>
              <w:rPr>
                <w:rFonts w:ascii="Arial" w:cs="Arial" w:eastAsia="Arial" w:hAnsi="Arial"/>
                <w:b w:val="false"/>
                <w:bCs w:val="false"/>
                <w:sz w:val="18"/>
                <w:szCs w:val="18"/>
              </w:rPr>
              <w:t xml:space="preserve"> + </w:t>
            </w:r>
            <w:r>
              <w:rPr>
                <w:rFonts w:ascii="Consolas" w:cs="Consolas" w:eastAsia="Consolas" w:hAnsi="Consolas"/>
                <w:b w:val="false"/>
                <w:bCs w:val="false"/>
                <w:sz w:val="18"/>
                <w:szCs w:val="18"/>
              </w:rPr>
              <w:t xml:space="preserve">MJAHR</w:t>
            </w:r>
            <w:r>
              <w:rPr>
                <w:rFonts w:ascii="Arial" w:cs="Arial" w:eastAsia="Arial" w:hAnsi="Arial"/>
                <w:b w:val="false"/>
                <w:bCs w:val="false"/>
                <w:sz w:val="18"/>
                <w:szCs w:val="18"/>
              </w:rPr>
              <w:t xml:space="preserve"> + </w:t>
            </w:r>
            <w:r>
              <w:rPr>
                <w:rFonts w:ascii="Consolas" w:cs="Consolas" w:eastAsia="Consolas" w:hAnsi="Consolas"/>
                <w:b w:val="false"/>
                <w:bCs w:val="false"/>
                <w:sz w:val="18"/>
                <w:szCs w:val="18"/>
              </w:rPr>
              <w:t xml:space="preserve">ZEILE</w:t>
            </w:r>
            <w:r>
              <w:rPr>
                <w:rFonts w:ascii="Arial" w:cs="Arial" w:eastAsia="Arial" w:hAnsi="Arial"/>
                <w:b w:val="false"/>
                <w:bCs w:val="false"/>
                <w:sz w:val="18"/>
                <w:szCs w:val="18"/>
              </w:rPr>
              <w:t xml:space="preserve">, is the primary key of </w:t>
            </w:r>
            <w:r>
              <w:rPr>
                <w:rFonts w:ascii="Consolas" w:cs="Consolas" w:eastAsia="Consolas" w:hAnsi="Consolas"/>
                <w:b w:val="false"/>
                <w:bCs w:val="false"/>
                <w:sz w:val="18"/>
                <w:szCs w:val="18"/>
              </w:rPr>
              <w:t xml:space="preserve">ZMM_301_MOV_LOG</w:t>
            </w:r>
            <w:r>
              <w:rPr>
                <w:rFonts w:ascii="Arial" w:cs="Arial" w:eastAsia="Arial" w:hAnsi="Arial"/>
                <w:b w:val="false"/>
                <w:bCs w:val="false"/>
                <w:sz w:val="18"/>
                <w:szCs w:val="18"/>
              </w:rPr>
              <w:t xml:space="preserve">. Before posting, the log is checked; if a 301 has already been posted for that item (movement-log row carrying a 301 material document, whatever its status), the request is skipped. This is what makes a re-fired event, a queue retry or a repost safe.</w:t>
            </w:r>
          </w:p>
        </w:tc>
      </w:tr>
      <w:tr>
        <w:trPr>
          <w:tblHeader w:val="false"/>
        </w:trPr>
        <w:tc>
          <w:tcPr>
            <w:tcW w:type="dxa" w:w="7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10</w:t>
            </w:r>
          </w:p>
        </w:tc>
        <w:tc>
          <w:tcPr>
            <w:tcW w:type="dxa" w:w="26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Reversal</w:t>
            </w:r>
          </w:p>
        </w:tc>
        <w:tc>
          <w:tcPr>
            <w:tcW w:type="dxa" w:w="64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A goods receipt cancelled with movement type </w:t>
            </w:r>
            <w:r>
              <w:rPr>
                <w:rFonts w:ascii="Arial" w:cs="Arial" w:eastAsia="Arial" w:hAnsi="Arial"/>
                <w:sz w:val="18"/>
                <w:szCs w:val="18"/>
                <w:b/>
                <w:bCs/>
              </w:rPr>
              <w:t xml:space="preserve">102</w:t>
            </w:r>
            <w:r>
              <w:rPr>
                <w:rFonts w:ascii="Arial" w:cs="Arial" w:eastAsia="Arial" w:hAnsi="Arial"/>
                <w:b w:val="false"/>
                <w:bCs w:val="false"/>
                <w:sz w:val="18"/>
                <w:szCs w:val="18"/>
              </w:rPr>
              <w:t xml:space="preserve"> locates the 301 posted for the original item and posts the matching </w:t>
            </w:r>
            <w:r>
              <w:rPr>
                <w:rFonts w:ascii="Arial" w:cs="Arial" w:eastAsia="Arial" w:hAnsi="Arial"/>
                <w:sz w:val="18"/>
                <w:szCs w:val="18"/>
                <w:b/>
                <w:bCs/>
              </w:rPr>
              <w:t xml:space="preserve">302</w:t>
            </w:r>
            <w:r>
              <w:rPr>
                <w:rFonts w:ascii="Arial" w:cs="Arial" w:eastAsia="Arial" w:hAnsi="Arial"/>
                <w:b w:val="false"/>
                <w:bCs w:val="false"/>
                <w:sz w:val="18"/>
                <w:szCs w:val="18"/>
              </w:rPr>
              <w:t xml:space="preserve"> for the same quantity and batch, referencing the reservation so that </w:t>
            </w:r>
            <w:r>
              <w:rPr>
                <w:rFonts w:ascii="Consolas" w:cs="Consolas" w:eastAsia="Consolas" w:hAnsi="Consolas"/>
                <w:b w:val="false"/>
                <w:bCs w:val="false"/>
                <w:sz w:val="18"/>
                <w:szCs w:val="18"/>
              </w:rPr>
              <w:t xml:space="preserve">ENMNG</w:t>
            </w:r>
            <w:r>
              <w:rPr>
                <w:rFonts w:ascii="Arial" w:cs="Arial" w:eastAsia="Arial" w:hAnsi="Arial"/>
                <w:b w:val="false"/>
                <w:bCs w:val="false"/>
                <w:sz w:val="18"/>
                <w:szCs w:val="18"/>
              </w:rPr>
              <w:t xml:space="preserve"> is corrected, and marks the log entry reversed.</w:t>
            </w:r>
          </w:p>
        </w:tc>
      </w:tr>
    </w:tbl>
    <w:p>
      <w:pPr>
        <w:pStyle w:val="Heading2"/>
        <w:spacing w:after="120" w:before="240"/>
      </w:pPr>
      <w:r>
        <w:rPr>
          <w:rFonts w:ascii="Arial" w:cs="Arial" w:eastAsia="Arial" w:hAnsi="Arial"/>
          <w:b/>
          <w:bCs/>
          <w:color w:val="005B9A"/>
          <w:sz w:val="24"/>
          <w:szCs w:val="24"/>
        </w:rPr>
        <w:t xml:space="preserve">3.3 Key Assumptions</w:t>
      </w:r>
    </w:p>
    <w:p>
      <w:pPr>
        <w:pStyle w:val="ListParagraph"/>
        <w:numPr>
          <w:ilvl w:val="0"/>
          <w:numId w:val="2"/>
        </w:numPr>
        <w:spacing w:after="60"/>
      </w:pPr>
      <w:r>
        <w:rPr>
          <w:rFonts w:ascii="Arial" w:cs="Arial" w:eastAsia="Arial" w:hAnsi="Arial"/>
          <w:sz w:val="20"/>
          <w:szCs w:val="20"/>
        </w:rPr>
        <w:t xml:space="preserve">A suitable standard enhancement exists to run logic at material-document posting. </w:t>
      </w:r>
      <w:r>
        <w:rPr>
          <w:rFonts w:ascii="Arial" w:cs="Arial" w:eastAsia="Arial" w:hAnsi="Arial"/>
          <w:sz w:val="20"/>
          <w:szCs w:val="20"/>
          <w:b/>
          <w:bCs/>
        </w:rPr>
        <w:t xml:space="preserve">`MB_DOCUMENT_BADI`</w:t>
      </w:r>
      <w:r>
        <w:rPr>
          <w:rFonts w:ascii="Arial" w:cs="Arial" w:eastAsia="Arial" w:hAnsi="Arial"/>
          <w:sz w:val="20"/>
          <w:szCs w:val="20"/>
        </w:rPr>
        <w:t xml:space="preserve"> (interface </w:t>
      </w:r>
      <w:r>
        <w:rPr>
          <w:rFonts w:ascii="Consolas" w:cs="Consolas" w:eastAsia="Consolas" w:hAnsi="Consolas"/>
          <w:sz w:val="20"/>
          <w:szCs w:val="20"/>
        </w:rPr>
        <w:t xml:space="preserve">IF_EX_MB_DOCUMENT_BADI</w:t>
      </w:r>
      <w:r>
        <w:rPr>
          <w:rFonts w:ascii="Arial" w:cs="Arial" w:eastAsia="Arial" w:hAnsi="Arial"/>
          <w:sz w:val="20"/>
          <w:szCs w:val="20"/>
        </w:rPr>
        <w:t xml:space="preserve">) is the intended enhancement; its availability and its behaviour across all goods-receipt channels in the target release are confirmed during the build (open item M1). The legacy exit </w:t>
      </w:r>
      <w:r>
        <w:rPr>
          <w:rFonts w:ascii="Consolas" w:cs="Consolas" w:eastAsia="Consolas" w:hAnsi="Consolas"/>
          <w:sz w:val="20"/>
          <w:szCs w:val="20"/>
        </w:rPr>
        <w:t xml:space="preserve">MB_CF001</w:t>
      </w:r>
      <w:r>
        <w:rPr>
          <w:rFonts w:ascii="Arial" w:cs="Arial" w:eastAsia="Arial" w:hAnsi="Arial"/>
          <w:sz w:val="20"/>
          <w:szCs w:val="20"/>
        </w:rPr>
        <w:t xml:space="preserve"> is the fallback.</w:t>
      </w:r>
    </w:p>
    <w:p>
      <w:pPr>
        <w:pStyle w:val="ListParagraph"/>
        <w:numPr>
          <w:ilvl w:val="0"/>
          <w:numId w:val="2"/>
        </w:numPr>
        <w:spacing w:after="60"/>
      </w:pPr>
      <w:r>
        <w:rPr>
          <w:rFonts w:ascii="Arial" w:cs="Arial" w:eastAsia="Arial" w:hAnsi="Arial"/>
          <w:sz w:val="20"/>
          <w:szCs w:val="20"/>
        </w:rPr>
        <w:t xml:space="preserve">The 301 reservation for the production order already exists, created by the companion object R-xxx-SEG, at the time the goods receipt is posted. The behaviour when it does not is configurable and specified in section 4.3.</w:t>
      </w:r>
    </w:p>
    <w:p>
      <w:pPr>
        <w:pStyle w:val="ListParagraph"/>
        <w:numPr>
          <w:ilvl w:val="0"/>
          <w:numId w:val="2"/>
        </w:numPr>
        <w:spacing w:after="60"/>
      </w:pPr>
      <w:r>
        <w:rPr>
          <w:rFonts w:ascii="Arial" w:cs="Arial" w:eastAsia="Arial" w:hAnsi="Arial"/>
          <w:sz w:val="20"/>
          <w:szCs w:val="20"/>
        </w:rPr>
        <w:t xml:space="preserve">Movement type 301 is configured and allowed between 8P01 and 8Q01, which belong to the same company code, and the header material exists in both plants.</w:t>
      </w:r>
    </w:p>
    <w:p>
      <w:pPr>
        <w:pStyle w:val="ListParagraph"/>
        <w:numPr>
          <w:ilvl w:val="0"/>
          <w:numId w:val="2"/>
        </w:numPr>
        <w:spacing w:after="60"/>
      </w:pPr>
      <w:r>
        <w:rPr>
          <w:rFonts w:ascii="Arial" w:cs="Arial" w:eastAsia="Arial" w:hAnsi="Arial"/>
          <w:sz w:val="20"/>
          <w:szCs w:val="20"/>
        </w:rPr>
        <w:t xml:space="preserve">After the 101 receipt, the received quantity is in a stock type and storage location in 8P01 from which a 301 can immediately be posted. Quality-inspection and blocked stock are covered by open item M2.</w:t>
      </w:r>
    </w:p>
    <w:p>
      <w:pPr>
        <w:pStyle w:val="ListParagraph"/>
        <w:numPr>
          <w:ilvl w:val="0"/>
          <w:numId w:val="2"/>
        </w:numPr>
        <w:spacing w:after="60"/>
      </w:pPr>
      <w:r>
        <w:rPr>
          <w:rFonts w:ascii="Arial" w:cs="Arial" w:eastAsia="Arial" w:hAnsi="Arial"/>
          <w:sz w:val="20"/>
          <w:szCs w:val="20"/>
        </w:rPr>
        <w:t xml:space="preserve">Posting the 301 in a separate logical unit of work immediately after the goods receipt has committed is accepted by the business as “immediate” (sub-second), in exchange for full failure isolation. Confirmed as open item M8.</w:t>
      </w:r>
    </w:p>
    <w:p>
      <w:pPr>
        <w:pStyle w:val="ListParagraph"/>
        <w:numPr>
          <w:ilvl w:val="0"/>
          <w:numId w:val="2"/>
        </w:numPr>
        <w:spacing w:after="60"/>
      </w:pPr>
      <w:r>
        <w:rPr>
          <w:rFonts w:ascii="Arial" w:cs="Arial" w:eastAsia="Arial" w:hAnsi="Arial"/>
          <w:sz w:val="20"/>
          <w:szCs w:val="20"/>
        </w:rPr>
        <w:t xml:space="preserve">A technical or background user context with the authorisations needed to post the 301 is available for the queued posting (open item M7).</w:t>
      </w:r>
    </w:p>
    <w:p>
      <w:pPr>
        <w:pStyle w:val="ListParagraph"/>
        <w:numPr>
          <w:ilvl w:val="0"/>
          <w:numId w:val="2"/>
        </w:numPr>
        <w:spacing w:after="60"/>
      </w:pPr>
      <w:r>
        <w:rPr>
          <w:rFonts w:ascii="Arial" w:cs="Arial" w:eastAsia="Arial" w:hAnsi="Arial"/>
          <w:sz w:val="20"/>
          <w:szCs w:val="20"/>
        </w:rPr>
        <w:t xml:space="preserve">The material is </w:t>
      </w:r>
      <w:r>
        <w:rPr>
          <w:rFonts w:ascii="Arial" w:cs="Arial" w:eastAsia="Arial" w:hAnsi="Arial"/>
          <w:sz w:val="20"/>
          <w:szCs w:val="20"/>
          <w:b/>
          <w:bCs/>
        </w:rPr>
        <w:t xml:space="preserve">split-valuated only in the destination plant</w:t>
      </w:r>
      <w:r>
        <w:rPr>
          <w:rFonts w:ascii="Arial" w:cs="Arial" w:eastAsia="Arial" w:hAnsi="Arial"/>
          <w:sz w:val="20"/>
          <w:szCs w:val="20"/>
        </w:rPr>
        <w:t xml:space="preserve">; the origin plant does not manage valuation types. Each destination valuation type corresponds to a fiscal year, held in </w:t>
      </w:r>
      <w:r>
        <w:rPr>
          <w:rFonts w:ascii="Consolas" w:cs="Consolas" w:eastAsia="Consolas" w:hAnsi="Consolas"/>
          <w:sz w:val="20"/>
          <w:szCs w:val="20"/>
        </w:rPr>
        <w:t xml:space="preserve">ZMM_301_VALTYPE</w:t>
      </w:r>
      <w:r>
        <w:rPr>
          <w:rFonts w:ascii="Arial" w:cs="Arial" w:eastAsia="Arial" w:hAnsi="Arial"/>
          <w:sz w:val="20"/>
          <w:szCs w:val="20"/>
        </w:rPr>
        <w:t xml:space="preserve">, with a valid entry for every fiscal year in which goods receipts may be posted. Because the origin is not split-valuated, no valuation-type mismatch between the issuing and the receiving side can occur.</w:t>
      </w:r>
    </w:p>
    <w:p>
      <w:pPr>
        <w:pStyle w:val="Heading2"/>
        <w:spacing w:after="120" w:before="240"/>
      </w:pPr>
      <w:r>
        <w:rPr>
          <w:rFonts w:ascii="Arial" w:cs="Arial" w:eastAsia="Arial" w:hAnsi="Arial"/>
          <w:b/>
          <w:bCs/>
          <w:color w:val="005B9A"/>
          <w:sz w:val="24"/>
          <w:szCs w:val="24"/>
        </w:rPr>
        <w:t xml:space="preserve">3.4 Dependencies</w:t>
      </w:r>
    </w:p>
    <w:p>
      <w:pPr>
        <w:pStyle w:val="ListParagraph"/>
        <w:numPr>
          <w:ilvl w:val="0"/>
          <w:numId w:val="2"/>
        </w:numPr>
        <w:spacing w:after="60"/>
      </w:pPr>
      <w:r>
        <w:rPr>
          <w:rFonts w:ascii="Arial" w:cs="Arial" w:eastAsia="Arial" w:hAnsi="Arial"/>
          <w:sz w:val="20"/>
          <w:szCs w:val="20"/>
          <w:b/>
          <w:bCs/>
        </w:rPr>
        <w:t xml:space="preserve">R-xxx-SEG – auto-creation and alignment of 301 transfer reservations</w:t>
      </w:r>
      <w:r>
        <w:rPr>
          <w:rFonts w:ascii="Arial" w:cs="Arial" w:eastAsia="Arial" w:hAnsi="Arial"/>
          <w:sz w:val="20"/>
          <w:szCs w:val="20"/>
        </w:rPr>
        <w:t xml:space="preserve"> (companion object). It creates the reservation consumed here and populates the link table </w:t>
      </w:r>
      <w:r>
        <w:rPr>
          <w:rFonts w:ascii="Consolas" w:cs="Consolas" w:eastAsia="Consolas" w:hAnsi="Consolas"/>
          <w:sz w:val="20"/>
          <w:szCs w:val="20"/>
        </w:rPr>
        <w:t xml:space="preserve">ZMM_301_RESV_LOG</w:t>
      </w:r>
      <w:r>
        <w:rPr>
          <w:rFonts w:ascii="Arial" w:cs="Arial" w:eastAsia="Arial" w:hAnsi="Arial"/>
          <w:sz w:val="20"/>
          <w:szCs w:val="20"/>
        </w:rPr>
        <w:t xml:space="preserve"> that this object reads to find it. Its alignment run is also the second safety net: it reports any receipt that this object failed to transfer.</w:t>
      </w:r>
    </w:p>
    <w:p>
      <w:pPr>
        <w:pStyle w:val="ListParagraph"/>
        <w:numPr>
          <w:ilvl w:val="0"/>
          <w:numId w:val="2"/>
        </w:numPr>
        <w:spacing w:after="60"/>
      </w:pPr>
      <w:r>
        <w:rPr>
          <w:rFonts w:ascii="Arial" w:cs="Arial" w:eastAsia="Arial" w:hAnsi="Arial"/>
          <w:sz w:val="20"/>
          <w:szCs w:val="20"/>
        </w:rPr>
        <w:t xml:space="preserve">Standard enhancement </w:t>
      </w:r>
      <w:r>
        <w:rPr>
          <w:rFonts w:ascii="Consolas" w:cs="Consolas" w:eastAsia="Consolas" w:hAnsi="Consolas"/>
          <w:sz w:val="20"/>
          <w:szCs w:val="20"/>
        </w:rPr>
        <w:t xml:space="preserve">MB_DOCUMENT_BADI</w:t>
      </w:r>
      <w:r>
        <w:rPr>
          <w:rFonts w:ascii="Arial" w:cs="Arial" w:eastAsia="Arial" w:hAnsi="Arial"/>
          <w:sz w:val="20"/>
          <w:szCs w:val="20"/>
        </w:rPr>
        <w:t xml:space="preserve"> must be available and must fire for every goods-receipt channel in use (open item M1).</w:t>
      </w:r>
    </w:p>
    <w:p>
      <w:pPr>
        <w:pStyle w:val="ListParagraph"/>
        <w:numPr>
          <w:ilvl w:val="0"/>
          <w:numId w:val="2"/>
        </w:numPr>
        <w:spacing w:after="60"/>
      </w:pPr>
      <w:r>
        <w:rPr>
          <w:rFonts w:ascii="Arial" w:cs="Arial" w:eastAsia="Arial" w:hAnsi="Arial"/>
          <w:sz w:val="20"/>
          <w:szCs w:val="20"/>
        </w:rPr>
        <w:t xml:space="preserve">Configuration data: an active </w:t>
      </w:r>
      <w:r>
        <w:rPr>
          <w:rFonts w:ascii="Consolas" w:cs="Consolas" w:eastAsia="Consolas" w:hAnsi="Consolas"/>
          <w:sz w:val="20"/>
          <w:szCs w:val="20"/>
        </w:rPr>
        <w:t xml:space="preserve">ZMM_301_CTRL</w:t>
      </w:r>
      <w:r>
        <w:rPr>
          <w:rFonts w:ascii="Arial" w:cs="Arial" w:eastAsia="Arial" w:hAnsi="Arial"/>
          <w:sz w:val="20"/>
          <w:szCs w:val="20"/>
        </w:rPr>
        <w:t xml:space="preserve"> entry for the plant pair, and a </w:t>
      </w:r>
      <w:r>
        <w:rPr>
          <w:rFonts w:ascii="Consolas" w:cs="Consolas" w:eastAsia="Consolas" w:hAnsi="Consolas"/>
          <w:sz w:val="20"/>
          <w:szCs w:val="20"/>
        </w:rPr>
        <w:t xml:space="preserve">ZMM_301_VALTYPE</w:t>
      </w:r>
      <w:r>
        <w:rPr>
          <w:rFonts w:ascii="Arial" w:cs="Arial" w:eastAsia="Arial" w:hAnsi="Arial"/>
          <w:sz w:val="20"/>
          <w:szCs w:val="20"/>
        </w:rPr>
        <w:t xml:space="preserve"> entry for every fiscal year in which receipts may be posted. Both must be maintained before the automation is switched on, and </w:t>
      </w:r>
      <w:r>
        <w:rPr>
          <w:rFonts w:ascii="Consolas" w:cs="Consolas" w:eastAsia="Consolas" w:hAnsi="Consolas"/>
          <w:sz w:val="20"/>
          <w:szCs w:val="20"/>
        </w:rPr>
        <w:t xml:space="preserve">ZMM_301_VALTYPE</w:t>
      </w:r>
      <w:r>
        <w:rPr>
          <w:rFonts w:ascii="Arial" w:cs="Arial" w:eastAsia="Arial" w:hAnsi="Arial"/>
          <w:sz w:val="20"/>
          <w:szCs w:val="20"/>
        </w:rPr>
        <w:t xml:space="preserve"> must be extended before each new fiscal year.</w:t>
      </w:r>
    </w:p>
    <w:p>
      <w:pPr>
        <w:pStyle w:val="ListParagraph"/>
        <w:numPr>
          <w:ilvl w:val="0"/>
          <w:numId w:val="2"/>
        </w:numPr>
        <w:spacing w:after="60"/>
      </w:pPr>
      <w:r>
        <w:rPr>
          <w:rFonts w:ascii="Arial" w:cs="Arial" w:eastAsia="Arial" w:hAnsi="Arial"/>
          <w:sz w:val="20"/>
          <w:szCs w:val="20"/>
        </w:rPr>
        <w:t xml:space="preserve">Queue infrastructure: the background or queued RFC scheduler must be active and sized for the goods-receipt volume, since every qualifying receipt produces one unit.</w:t>
      </w:r>
    </w:p>
    <w:p>
      <w:pPr>
        <w:pStyle w:val="ListParagraph"/>
        <w:numPr>
          <w:ilvl w:val="0"/>
          <w:numId w:val="2"/>
        </w:numPr>
        <w:spacing w:after="60"/>
      </w:pPr>
      <w:r>
        <w:rPr>
          <w:rFonts w:ascii="Arial" w:cs="Arial" w:eastAsia="Arial" w:hAnsi="Arial"/>
          <w:sz w:val="20"/>
          <w:szCs w:val="20"/>
        </w:rPr>
        <w:t xml:space="preserve">Custom tables </w:t>
      </w:r>
      <w:r>
        <w:rPr>
          <w:rFonts w:ascii="Consolas" w:cs="Consolas" w:eastAsia="Consolas" w:hAnsi="Consolas"/>
          <w:sz w:val="20"/>
          <w:szCs w:val="20"/>
        </w:rPr>
        <w:t xml:space="preserve">ZMM_301_CTRL</w:t>
      </w:r>
      <w:r>
        <w:rPr>
          <w:rFonts w:ascii="Arial" w:cs="Arial" w:eastAsia="Arial" w:hAnsi="Arial"/>
          <w:sz w:val="20"/>
          <w:szCs w:val="20"/>
        </w:rPr>
        <w:t xml:space="preserve">, </w:t>
      </w:r>
      <w:r>
        <w:rPr>
          <w:rFonts w:ascii="Consolas" w:cs="Consolas" w:eastAsia="Consolas" w:hAnsi="Consolas"/>
          <w:sz w:val="20"/>
          <w:szCs w:val="20"/>
        </w:rPr>
        <w:t xml:space="preserve">ZMM_301_MOV_LOG</w:t>
      </w:r>
      <w:r>
        <w:rPr>
          <w:rFonts w:ascii="Arial" w:cs="Arial" w:eastAsia="Arial" w:hAnsi="Arial"/>
          <w:sz w:val="20"/>
          <w:szCs w:val="20"/>
        </w:rPr>
        <w:t xml:space="preserve">, </w:t>
      </w:r>
      <w:r>
        <w:rPr>
          <w:rFonts w:ascii="Consolas" w:cs="Consolas" w:eastAsia="Consolas" w:hAnsi="Consolas"/>
          <w:sz w:val="20"/>
          <w:szCs w:val="20"/>
        </w:rPr>
        <w:t xml:space="preserve">ZMM_301_MOV_RUN_LOG</w:t>
      </w:r>
      <w:r>
        <w:rPr>
          <w:rFonts w:ascii="Arial" w:cs="Arial" w:eastAsia="Arial" w:hAnsi="Arial"/>
          <w:sz w:val="20"/>
          <w:szCs w:val="20"/>
        </w:rPr>
        <w:t xml:space="preserve"> and </w:t>
      </w:r>
      <w:r>
        <w:rPr>
          <w:rFonts w:ascii="Consolas" w:cs="Consolas" w:eastAsia="Consolas" w:hAnsi="Consolas"/>
          <w:sz w:val="20"/>
          <w:szCs w:val="20"/>
        </w:rPr>
        <w:t xml:space="preserve">ZMM_301_VALTYPE</w:t>
      </w:r>
      <w:r>
        <w:rPr>
          <w:rFonts w:ascii="Arial" w:cs="Arial" w:eastAsia="Arial" w:hAnsi="Arial"/>
          <w:sz w:val="20"/>
          <w:szCs w:val="20"/>
        </w:rPr>
        <w:t xml:space="preserve">, and message class </w:t>
      </w:r>
      <w:r>
        <w:rPr>
          <w:rFonts w:ascii="Consolas" w:cs="Consolas" w:eastAsia="Consolas" w:hAnsi="Consolas"/>
          <w:sz w:val="20"/>
          <w:szCs w:val="20"/>
        </w:rPr>
        <w:t xml:space="preserve">ZMM301</w:t>
      </w:r>
      <w:r>
        <w:rPr>
          <w:rFonts w:ascii="Arial" w:cs="Arial" w:eastAsia="Arial" w:hAnsi="Arial"/>
          <w:sz w:val="20"/>
          <w:szCs w:val="20"/>
        </w:rPr>
        <w:t xml:space="preserve">, must be active before the code is transported.</w:t>
      </w:r>
    </w:p>
    <w:p>
      <w:pPr>
        <w:pStyle w:val="Heading2"/>
        <w:spacing w:after="120" w:before="240"/>
      </w:pPr>
      <w:r>
        <w:rPr>
          <w:rFonts w:ascii="Arial" w:cs="Arial" w:eastAsia="Arial" w:hAnsi="Arial"/>
          <w:b/>
          <w:bCs/>
          <w:color w:val="005B9A"/>
          <w:sz w:val="24"/>
          <w:szCs w:val="24"/>
        </w:rPr>
        <w:t xml:space="preserve">3.5 Constraints</w:t>
      </w:r>
    </w:p>
    <w:p>
      <w:pPr>
        <w:pStyle w:val="ListParagraph"/>
        <w:numPr>
          <w:ilvl w:val="0"/>
          <w:numId w:val="2"/>
        </w:numPr>
        <w:spacing w:after="60"/>
      </w:pPr>
      <w:r>
        <w:rPr>
          <w:rFonts w:ascii="Arial" w:cs="Arial" w:eastAsia="Arial" w:hAnsi="Arial"/>
          <w:sz w:val="20"/>
          <w:szCs w:val="20"/>
        </w:rPr>
        <w:t xml:space="preserve">The goods receipt may never be blocked or rolled back by this object. This constraint drives the decoupled design and is not negotiable.</w:t>
      </w:r>
    </w:p>
    <w:p>
      <w:pPr>
        <w:pStyle w:val="ListParagraph"/>
        <w:numPr>
          <w:ilvl w:val="0"/>
          <w:numId w:val="2"/>
        </w:numPr>
        <w:spacing w:after="60"/>
      </w:pPr>
      <w:r>
        <w:rPr>
          <w:rFonts w:ascii="Arial" w:cs="Arial" w:eastAsia="Arial" w:hAnsi="Arial"/>
          <w:sz w:val="20"/>
          <w:szCs w:val="20"/>
        </w:rPr>
        <w:t xml:space="preserve">Only the production order header (finished) material is transferred. Components, by-products and co-products are not, pending open item M3.</w:t>
      </w:r>
    </w:p>
    <w:p>
      <w:pPr>
        <w:pStyle w:val="ListParagraph"/>
        <w:numPr>
          <w:ilvl w:val="0"/>
          <w:numId w:val="2"/>
        </w:numPr>
        <w:spacing w:after="60"/>
      </w:pPr>
      <w:r>
        <w:rPr>
          <w:rFonts w:ascii="Arial" w:cs="Arial" w:eastAsia="Arial" w:hAnsi="Arial"/>
          <w:sz w:val="20"/>
          <w:szCs w:val="20"/>
        </w:rPr>
        <w:t xml:space="preserve">Only goods receipts in the configured issuing plant and against a production order are in scope. Receipts in other plants, or not against an order, are ignored.</w:t>
      </w:r>
    </w:p>
    <w:p>
      <w:pPr>
        <w:pStyle w:val="ListParagraph"/>
        <w:numPr>
          <w:ilvl w:val="0"/>
          <w:numId w:val="2"/>
        </w:numPr>
        <w:spacing w:after="60"/>
      </w:pPr>
      <w:r>
        <w:rPr>
          <w:rFonts w:ascii="Arial" w:cs="Arial" w:eastAsia="Arial" w:hAnsi="Arial"/>
          <w:sz w:val="20"/>
          <w:szCs w:val="20"/>
        </w:rPr>
        <w:t xml:space="preserve">The logic that runs inside the goods receipt’s posting path must stay lightweight – classification and enqueue only – because it runs in the critical path of the posting.</w:t>
      </w:r>
    </w:p>
    <w:p>
      <w:pPr>
        <w:pStyle w:val="ListParagraph"/>
        <w:numPr>
          <w:ilvl w:val="0"/>
          <w:numId w:val="2"/>
        </w:numPr>
        <w:spacing w:after="60"/>
      </w:pPr>
      <w:r>
        <w:rPr>
          <w:rFonts w:ascii="Arial" w:cs="Arial" w:eastAsia="Arial" w:hAnsi="Arial"/>
          <w:sz w:val="20"/>
          <w:szCs w:val="20"/>
        </w:rPr>
        <w:t xml:space="preserve">No valuation type may ever be guessed. If the fiscal year cannot be mapped, the transfer is not posted.</w:t>
      </w:r>
    </w:p>
    <w:p>
      <w:pPr>
        <w:pStyle w:val="ListParagraph"/>
        <w:numPr>
          <w:ilvl w:val="0"/>
          <w:numId w:val="2"/>
        </w:numPr>
        <w:spacing w:after="60"/>
      </w:pPr>
      <w:r>
        <w:rPr>
          <w:rFonts w:ascii="Arial" w:cs="Arial" w:eastAsia="Arial" w:hAnsi="Arial"/>
          <w:sz w:val="20"/>
          <w:szCs w:val="20"/>
        </w:rPr>
        <w:t xml:space="preserve">Creating or resizing the reservation is out of scope; that is owned by the companion object.</w:t>
      </w:r>
    </w:p>
    <w:p>
      <w:pPr>
        <w:pStyle w:val="ListParagraph"/>
        <w:numPr>
          <w:ilvl w:val="0"/>
          <w:numId w:val="2"/>
        </w:numPr>
        <w:spacing w:after="60"/>
      </w:pPr>
      <w:r>
        <w:rPr>
          <w:rFonts w:ascii="Arial" w:cs="Arial" w:eastAsia="Arial" w:hAnsi="Arial"/>
          <w:sz w:val="20"/>
          <w:szCs w:val="20"/>
        </w:rPr>
        <w:t xml:space="preserve">The steady-state process after the migration is out of scope: the automation is transitional and is switched off through </w:t>
      </w:r>
      <w:r>
        <w:rPr>
          <w:rFonts w:ascii="Consolas" w:cs="Consolas" w:eastAsia="Consolas" w:hAnsi="Consolas"/>
          <w:sz w:val="20"/>
          <w:szCs w:val="20"/>
        </w:rPr>
        <w:t xml:space="preserve">ZMM_301_CTRL</w:t>
      </w:r>
      <w:r>
        <w:rPr>
          <w:rFonts w:ascii="Arial" w:cs="Arial" w:eastAsia="Arial" w:hAnsi="Arial"/>
          <w:sz w:val="20"/>
          <w:szCs w:val="20"/>
        </w:rPr>
        <w:t xml:space="preserve">.</w:t>
      </w:r>
    </w:p>
    <w:p>
      <w:pPr>
        <w:pStyle w:val="Heading2"/>
        <w:spacing w:after="120" w:before="240"/>
      </w:pPr>
      <w:r>
        <w:rPr>
          <w:rFonts w:ascii="Arial" w:cs="Arial" w:eastAsia="Arial" w:hAnsi="Arial"/>
          <w:b/>
          <w:bCs/>
          <w:color w:val="005B9A"/>
          <w:sz w:val="24"/>
          <w:szCs w:val="24"/>
        </w:rPr>
        <w:t xml:space="preserve">3.6 Alternatives Considered</w:t>
      </w:r>
    </w:p>
    <w:tbl>
      <w:tblPr>
        <w:tblW w:type="dxa" w:w="9700"/>
        <w:tblBorders>
          <w:top w:val="single" w:color="AAB4BE" w:sz="4"/>
          <w:left w:val="single" w:color="AAB4BE" w:sz="4"/>
          <w:bottom w:val="single" w:color="AAB4BE" w:sz="4"/>
          <w:right w:val="single" w:color="AAB4BE" w:sz="4"/>
          <w:insideH w:val="single" w:color="AAB4BE" w:sz="4"/>
          <w:insideV w:val="single" w:color="AAB4BE" w:sz="4"/>
        </w:tblBorders>
      </w:tblPr>
      <w:tblGrid>
        <w:gridCol w:w="3000"/>
        <w:gridCol w:w="3600"/>
        <w:gridCol w:w="3100"/>
      </w:tblGrid>
      <w:tr>
        <w:trPr>
          <w:tblHeader/>
        </w:trPr>
        <w:tc>
          <w:tcPr>
            <w:tcW w:type="dxa" w:w="30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Alternative</w:t>
            </w:r>
          </w:p>
        </w:tc>
        <w:tc>
          <w:tcPr>
            <w:tcW w:type="dxa" w:w="36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Assessment</w:t>
            </w:r>
          </w:p>
        </w:tc>
        <w:tc>
          <w:tcPr>
            <w:tcW w:type="dxa" w:w="31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Reason for rejection / selection</w:t>
            </w:r>
          </w:p>
        </w:tc>
      </w:tr>
      <w:tr>
        <w:trPr>
          <w:tblHeader w:val="false"/>
        </w:trPr>
        <w:tc>
          <w:tcPr>
            <w:tcW w:type="dxa" w:w="30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Post the 301 synchronously, inside the goods receipt’s own transaction</w:t>
            </w:r>
          </w:p>
        </w:tc>
        <w:tc>
          <w:tcPr>
            <w:tcW w:type="dxa" w:w="36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The most literally “immediate” option, and the simplest to write.</w:t>
            </w:r>
          </w:p>
        </w:tc>
        <w:tc>
          <w:tcPr>
            <w:tcW w:type="dxa" w:w="3100"/>
            <w:tcMar>
              <w:top w:type="dxa" w:w="60"/>
              <w:left w:type="dxa" w:w="100"/>
              <w:bottom w:type="dxa" w:w="60"/>
              <w:right w:type="dxa" w:w="100"/>
            </w:tcMar>
          </w:tcPr>
          <w:p>
            <w:pPr>
              <w:spacing w:after="40" w:before="0"/>
            </w:pPr>
            <w:r>
              <w:rPr>
                <w:rFonts w:ascii="Arial" w:cs="Arial" w:eastAsia="Arial" w:hAnsi="Arial"/>
                <w:sz w:val="18"/>
                <w:szCs w:val="18"/>
                <w:b/>
                <w:bCs/>
              </w:rPr>
              <w:t xml:space="preserve">Rejected.</w:t>
            </w:r>
            <w:r>
              <w:rPr>
                <w:rFonts w:ascii="Arial" w:cs="Arial" w:eastAsia="Arial" w:hAnsi="Arial"/>
                <w:b w:val="false"/>
                <w:bCs w:val="false"/>
                <w:sz w:val="18"/>
                <w:szCs w:val="18"/>
              </w:rPr>
              <w:t xml:space="preserve"> The goods receipt is itself a </w:t>
            </w:r>
            <w:r>
              <w:rPr>
                <w:rFonts w:ascii="Consolas" w:cs="Consolas" w:eastAsia="Consolas" w:hAnsi="Consolas"/>
                <w:b w:val="false"/>
                <w:bCs w:val="false"/>
                <w:sz w:val="18"/>
                <w:szCs w:val="18"/>
              </w:rPr>
              <w:t xml:space="preserve">BAPI_GOODS_MOVEMENT_CREATE</w:t>
            </w:r>
            <w:r>
              <w:rPr>
                <w:rFonts w:ascii="Arial" w:cs="Arial" w:eastAsia="Arial" w:hAnsi="Arial"/>
                <w:b w:val="false"/>
                <w:bCs w:val="false"/>
                <w:sz w:val="18"/>
                <w:szCs w:val="18"/>
              </w:rPr>
              <w:t xml:space="preserve"> with its own commit; posting a second goods movement inside that logical unit of work risks nested-commit and locking problems, and a failure in the transfer would roll back the production receipt. That breaks the object’s governing rule.</w:t>
            </w:r>
          </w:p>
        </w:tc>
      </w:tr>
      <w:tr>
        <w:trPr>
          <w:tblHeader w:val="false"/>
        </w:trPr>
        <w:tc>
          <w:tcPr>
            <w:tcW w:type="dxa" w:w="30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Periodic batch report that scans for untransferred goods receipts</w:t>
            </w:r>
          </w:p>
        </w:tc>
        <w:tc>
          <w:tcPr>
            <w:tcW w:type="dxa" w:w="36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Simple, robust, no enhancement needed, and easy to restart.</w:t>
            </w:r>
          </w:p>
        </w:tc>
        <w:tc>
          <w:tcPr>
            <w:tcW w:type="dxa" w:w="3100"/>
            <w:tcMar>
              <w:top w:type="dxa" w:w="60"/>
              <w:left w:type="dxa" w:w="100"/>
              <w:bottom w:type="dxa" w:w="60"/>
              <w:right w:type="dxa" w:w="100"/>
            </w:tcMar>
          </w:tcPr>
          <w:p>
            <w:pPr>
              <w:spacing w:after="40" w:before="0"/>
            </w:pPr>
            <w:r>
              <w:rPr>
                <w:rFonts w:ascii="Arial" w:cs="Arial" w:eastAsia="Arial" w:hAnsi="Arial"/>
                <w:sz w:val="18"/>
                <w:szCs w:val="18"/>
                <w:b/>
                <w:bCs/>
              </w:rPr>
              <w:t xml:space="preserve">Rejected as the primary mechanism.</w:t>
            </w:r>
            <w:r>
              <w:rPr>
                <w:rFonts w:ascii="Arial" w:cs="Arial" w:eastAsia="Arial" w:hAnsi="Arial"/>
                <w:b w:val="false"/>
                <w:bCs w:val="false"/>
                <w:sz w:val="18"/>
                <w:szCs w:val="18"/>
              </w:rPr>
              <w:t xml:space="preserve"> The requirement is that stock follows production immediately; a scan every few minutes leaves the received stock in the plant being wound down in the meantime. The design keeps this mechanism, but as the catch-up safety net (mode C of the monitor) rather than the main path.</w:t>
            </w:r>
          </w:p>
        </w:tc>
      </w:tr>
      <w:tr>
        <w:trPr>
          <w:tblHeader w:val="false"/>
        </w:trPr>
        <w:tc>
          <w:tcPr>
            <w:tcW w:type="dxa" w:w="30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Output determination on the material document (NACE)</w:t>
            </w:r>
          </w:p>
        </w:tc>
        <w:tc>
          <w:tcPr>
            <w:tcW w:type="dxa" w:w="36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Standard configuration, no BAdI.</w:t>
            </w:r>
          </w:p>
        </w:tc>
        <w:tc>
          <w:tcPr>
            <w:tcW w:type="dxa" w:w="3100"/>
            <w:tcMar>
              <w:top w:type="dxa" w:w="60"/>
              <w:left w:type="dxa" w:w="100"/>
              <w:bottom w:type="dxa" w:w="60"/>
              <w:right w:type="dxa" w:w="100"/>
            </w:tcMar>
          </w:tcPr>
          <w:p>
            <w:pPr>
              <w:spacing w:after="40" w:before="0"/>
            </w:pPr>
            <w:r>
              <w:rPr>
                <w:rFonts w:ascii="Arial" w:cs="Arial" w:eastAsia="Arial" w:hAnsi="Arial"/>
                <w:sz w:val="18"/>
                <w:szCs w:val="18"/>
                <w:b/>
                <w:bCs/>
              </w:rPr>
              <w:t xml:space="preserve">Rejected.</w:t>
            </w:r>
            <w:r>
              <w:rPr>
                <w:rFonts w:ascii="Arial" w:cs="Arial" w:eastAsia="Arial" w:hAnsi="Arial"/>
                <w:b w:val="false"/>
                <w:bCs w:val="false"/>
                <w:sz w:val="18"/>
                <w:szCs w:val="18"/>
              </w:rPr>
              <w:t xml:space="preserve"> Output determination is designed to issue messages and printed output, not to post a second goods movement; it offers no clean way to reference the reservation or to isolate a posting failure from the receipt.</w:t>
            </w:r>
          </w:p>
        </w:tc>
      </w:tr>
      <w:tr>
        <w:trPr>
          <w:tblHeader w:val="false"/>
        </w:trPr>
        <w:tc>
          <w:tcPr>
            <w:tcW w:type="dxa" w:w="30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Derive the valuation type from a naming convention (valuation type = fiscal year) instead of a mapping table</w:t>
            </w:r>
          </w:p>
        </w:tc>
        <w:tc>
          <w:tcPr>
            <w:tcW w:type="dxa" w:w="36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No table to maintain; the year is read straight from the posting date.</w:t>
            </w:r>
          </w:p>
        </w:tc>
        <w:tc>
          <w:tcPr>
            <w:tcW w:type="dxa" w:w="3100"/>
            <w:tcMar>
              <w:top w:type="dxa" w:w="60"/>
              <w:left w:type="dxa" w:w="100"/>
              <w:bottom w:type="dxa" w:w="60"/>
              <w:right w:type="dxa" w:w="100"/>
            </w:tcMar>
          </w:tcPr>
          <w:p>
            <w:pPr>
              <w:spacing w:after="40" w:before="0"/>
            </w:pPr>
            <w:r>
              <w:rPr>
                <w:rFonts w:ascii="Arial" w:cs="Arial" w:eastAsia="Arial" w:hAnsi="Arial"/>
                <w:sz w:val="18"/>
                <w:szCs w:val="18"/>
                <w:b/>
                <w:bCs/>
              </w:rPr>
              <w:t xml:space="preserve">Set aside in favour of the mapping table</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ZMM_301_VALTYPE</w:t>
            </w:r>
            <w:r>
              <w:rPr>
                <w:rFonts w:ascii="Arial" w:cs="Arial" w:eastAsia="Arial" w:hAnsi="Arial"/>
                <w:b w:val="false"/>
                <w:bCs w:val="false"/>
                <w:sz w:val="18"/>
                <w:szCs w:val="18"/>
              </w:rPr>
              <w:t xml:space="preserve">, which does not assume the business will keep naming valuation types after the year, and which fails loudly when a year is unmapped instead of deriving a value that may not exist. Recorded as decided under open item M9.</w:t>
            </w:r>
          </w:p>
        </w:tc>
      </w:tr>
    </w:tbl>
    <w:p>
      <w:r>
        <w:br w:type="page"/>
      </w:r>
    </w:p>
    <w:p>
      <w:pPr>
        <w:pStyle w:val="Heading1"/>
        <w:spacing w:after="120" w:before="360"/>
      </w:pPr>
      <w:r>
        <w:rPr>
          <w:rFonts w:ascii="Arial" w:cs="Arial" w:eastAsia="Arial" w:hAnsi="Arial"/>
          <w:b/>
          <w:bCs/>
          <w:color w:val="0B1F3A"/>
          <w:sz w:val="28"/>
          <w:szCs w:val="28"/>
        </w:rPr>
        <w:t xml:space="preserve">4. Detailed Functional Design</w:t>
      </w:r>
    </w:p>
    <w:p>
      <w:pPr>
        <w:pStyle w:val="Heading2"/>
        <w:spacing w:after="120" w:before="240"/>
      </w:pPr>
      <w:r>
        <w:rPr>
          <w:rFonts w:ascii="Arial" w:cs="Arial" w:eastAsia="Arial" w:hAnsi="Arial"/>
          <w:b/>
          <w:bCs/>
          <w:color w:val="005B9A"/>
          <w:sz w:val="24"/>
          <w:szCs w:val="24"/>
        </w:rPr>
        <w:t xml:space="preserve">4.1 Solution Overview</w:t>
      </w:r>
    </w:p>
    <w:p>
      <w:pPr>
        <w:spacing w:after="100" w:before="0"/>
      </w:pPr>
      <w:r>
        <w:rPr>
          <w:rFonts w:ascii="Arial" w:cs="Arial" w:eastAsia="Arial" w:hAnsi="Arial"/>
          <w:sz w:val="18"/>
          <w:szCs w:val="18"/>
        </w:rPr>
        <w:t xml:space="preserve">The enhancement runs at material-document posting. For each item of the document being posted it decides, with two cheap reads, whether the item qualifies: movement type 101 or 102, an active control entry for the plant, a production order, and the order’s header material. For a qualifying item it registers a </w:t>
      </w:r>
      <w:r>
        <w:rPr>
          <w:rFonts w:ascii="Arial" w:cs="Arial" w:eastAsia="Arial" w:hAnsi="Arial"/>
          <w:sz w:val="18"/>
          <w:szCs w:val="18"/>
          <w:b/>
          <w:bCs/>
        </w:rPr>
        <w:t xml:space="preserve">queued unit</w:t>
      </w:r>
      <w:r>
        <w:rPr>
          <w:rFonts w:ascii="Arial" w:cs="Arial" w:eastAsia="Arial" w:hAnsi="Arial"/>
          <w:sz w:val="18"/>
          <w:szCs w:val="18"/>
        </w:rPr>
        <w:t xml:space="preserve"> and does nothing else – no posting, no database write – so that the goods receipt’s own posting stays fast and safe.</w:t>
      </w:r>
    </w:p>
    <w:p>
      <w:pPr>
        <w:spacing w:after="100" w:before="0"/>
      </w:pPr>
      <w:r>
        <w:rPr>
          <w:rFonts w:ascii="Arial" w:cs="Arial" w:eastAsia="Arial" w:hAnsi="Arial"/>
          <w:sz w:val="18"/>
          <w:szCs w:val="18"/>
        </w:rPr>
        <w:t xml:space="preserve">That queued unit executes </w:t>
      </w:r>
      <w:r>
        <w:rPr>
          <w:rFonts w:ascii="Arial" w:cs="Arial" w:eastAsia="Arial" w:hAnsi="Arial"/>
          <w:sz w:val="18"/>
          <w:szCs w:val="18"/>
          <w:b/>
          <w:bCs/>
        </w:rPr>
        <w:t xml:space="preserve">immediately after the goods receipt has committed</w:t>
      </w:r>
      <w:r>
        <w:rPr>
          <w:rFonts w:ascii="Arial" w:cs="Arial" w:eastAsia="Arial" w:hAnsi="Arial"/>
          <w:sz w:val="18"/>
          <w:szCs w:val="18"/>
        </w:rPr>
        <w:t xml:space="preserve">, in its own logical unit of work. It re-reads the now-persisted material document, checks the movement log so the same receipt is never transferred twice, finds the production order’s reservation, resolves the fiscal year from the posting date and the destination valuation type from that year, and posts the 301 with </w:t>
      </w:r>
      <w:r>
        <w:rPr>
          <w:rFonts w:ascii="Consolas" w:cs="Consolas" w:eastAsia="Consolas" w:hAnsi="Consolas"/>
          <w:sz w:val="18"/>
          <w:szCs w:val="18"/>
        </w:rPr>
        <w:t xml:space="preserve">BAPI_GOODS_MOVEMENT_CREATE</w:t>
      </w:r>
      <w:r>
        <w:rPr>
          <w:rFonts w:ascii="Arial" w:cs="Arial" w:eastAsia="Arial" w:hAnsi="Arial"/>
          <w:sz w:val="18"/>
          <w:szCs w:val="18"/>
        </w:rPr>
        <w:t xml:space="preserve">. Success or failure, the outcome is written to </w:t>
      </w:r>
      <w:r>
        <w:rPr>
          <w:rFonts w:ascii="Consolas" w:cs="Consolas" w:eastAsia="Consolas" w:hAnsi="Consolas"/>
          <w:sz w:val="18"/>
          <w:szCs w:val="18"/>
        </w:rPr>
        <w:t xml:space="preserve">ZMM_301_MOV_LOG</w:t>
      </w:r>
      <w:r>
        <w:rPr>
          <w:rFonts w:ascii="Arial" w:cs="Arial" w:eastAsia="Arial" w:hAnsi="Arial"/>
          <w:sz w:val="18"/>
          <w:szCs w:val="18"/>
        </w:rPr>
        <w:t xml:space="preserve"> and to the application log. A failure is contained in that unit: the goods receipt is already committed and is untouched.</w:t>
      </w:r>
    </w:p>
    <w:p>
      <w:pPr>
        <w:spacing w:after="100" w:before="0"/>
      </w:pPr>
      <w:r>
        <w:rPr>
          <w:rFonts w:ascii="Arial" w:cs="Arial" w:eastAsia="Arial" w:hAnsi="Arial"/>
          <w:sz w:val="18"/>
          <w:szCs w:val="18"/>
        </w:rPr>
        <w:t xml:space="preserve">The reversal path is the same mechanism in the other direction: a 102 cancellation finds the 301 posted for the original receipt and cancels it, correcting the reservation.</w:t>
      </w:r>
    </w:p>
    <w:p>
      <w:pPr>
        <w:spacing w:after="100" w:before="0"/>
      </w:pPr>
      <w:r>
        <w:rPr>
          <w:rFonts w:ascii="Arial" w:cs="Arial" w:eastAsia="Arial" w:hAnsi="Arial"/>
          <w:sz w:val="18"/>
          <w:szCs w:val="18"/>
        </w:rPr>
        <w:t xml:space="preserve">Anything that did not post in real time is picked up by the monitor transaction </w:t>
      </w:r>
      <w:r>
        <w:rPr>
          <w:rFonts w:ascii="Arial" w:cs="Arial" w:eastAsia="Arial" w:hAnsi="Arial"/>
          <w:sz w:val="18"/>
          <w:szCs w:val="18"/>
          <w:b/>
          <w:bCs/>
        </w:rPr>
        <w:t xml:space="preserve">ZMM301M</w:t>
      </w:r>
      <w:r>
        <w:rPr>
          <w:rFonts w:ascii="Arial" w:cs="Arial" w:eastAsia="Arial" w:hAnsi="Arial"/>
          <w:sz w:val="18"/>
          <w:szCs w:val="18"/>
        </w:rPr>
        <w:t xml:space="preserve">, either interactively (repost) or as a scheduled catch-up sweep. Because every path goes through the same posting function and the same idempotency check, a receipt can be reposted as often as it takes without any risk of a double transfer.</w:t>
      </w:r>
    </w:p>
    <w:p>
      <w:pPr>
        <w:pStyle w:val="Heading2"/>
        <w:spacing w:after="120" w:before="240"/>
      </w:pPr>
      <w:r>
        <w:rPr>
          <w:rFonts w:ascii="Arial" w:cs="Arial" w:eastAsia="Arial" w:hAnsi="Arial"/>
          <w:b/>
          <w:bCs/>
          <w:color w:val="005B9A"/>
          <w:sz w:val="24"/>
          <w:szCs w:val="24"/>
        </w:rPr>
        <w:t xml:space="preserve">4.2 Selection Screen / Input Parameters</w:t>
      </w:r>
    </w:p>
    <w:tbl>
      <w:tblPr>
        <w:tblW w:type="dxa" w:w="9700"/>
        <w:tblBorders>
          <w:top w:val="single" w:color="AAB4BE" w:sz="4"/>
          <w:left w:val="single" w:color="AAB4BE" w:sz="4"/>
          <w:bottom w:val="single" w:color="AAB4BE" w:sz="4"/>
          <w:right w:val="single" w:color="AAB4BE" w:sz="4"/>
          <w:insideH w:val="single" w:color="AAB4BE" w:sz="4"/>
          <w:insideV w:val="single" w:color="AAB4BE" w:sz="4"/>
        </w:tblBorders>
      </w:tblPr>
      <w:tblGrid>
        <w:gridCol w:w="600"/>
        <w:gridCol w:w="2200"/>
        <w:gridCol w:w="1700"/>
        <w:gridCol w:w="1000"/>
        <w:gridCol w:w="1100"/>
        <w:gridCol w:w="1400"/>
        <w:gridCol w:w="1700"/>
      </w:tblGrid>
      <w:tr>
        <w:trPr>
          <w:tblHeader/>
        </w:trPr>
        <w:tc>
          <w:tcPr>
            <w:tcW w:type="dxa" w:w="6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No</w:t>
            </w:r>
          </w:p>
        </w:tc>
        <w:tc>
          <w:tcPr>
            <w:tcW w:type="dxa" w:w="22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Field</w:t>
            </w:r>
          </w:p>
        </w:tc>
        <w:tc>
          <w:tcPr>
            <w:tcW w:type="dxa" w:w="17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Technical field</w:t>
            </w:r>
          </w:p>
        </w:tc>
        <w:tc>
          <w:tcPr>
            <w:tcW w:type="dxa" w:w="10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Sel / Par</w:t>
            </w:r>
          </w:p>
        </w:tc>
        <w:tc>
          <w:tcPr>
            <w:tcW w:type="dxa" w:w="11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Mandatory</w:t>
            </w:r>
          </w:p>
        </w:tc>
        <w:tc>
          <w:tcPr>
            <w:tcW w:type="dxa" w:w="14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Default value</w:t>
            </w:r>
          </w:p>
        </w:tc>
        <w:tc>
          <w:tcPr>
            <w:tcW w:type="dxa" w:w="17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Validation</w:t>
            </w:r>
          </w:p>
        </w:tc>
      </w:tr>
      <w:tr>
        <w:trPr>
          <w:tblHeader w:val="false"/>
        </w:trPr>
        <w:tc>
          <w:tcPr>
            <w:tcW w:type="dxa" w:w="6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w:t>
            </w:r>
          </w:p>
        </w:tc>
        <w:tc>
          <w:tcPr>
            <w:tcW w:type="dxa" w:w="2200"/>
            <w:tcMar>
              <w:top w:type="dxa" w:w="60"/>
              <w:left w:type="dxa" w:w="100"/>
              <w:bottom w:type="dxa" w:w="60"/>
              <w:right w:type="dxa" w:w="100"/>
            </w:tcMar>
          </w:tcPr>
          <w:p>
            <w:pPr>
              <w:spacing w:after="40" w:before="0"/>
            </w:pPr>
            <w:r>
              <w:rPr>
                <w:rFonts w:ascii="Arial" w:cs="Arial" w:eastAsia="Arial" w:hAnsi="Arial"/>
                <w:sz w:val="18"/>
                <w:szCs w:val="18"/>
                <w:b/>
                <w:bCs/>
              </w:rPr>
              <w:t xml:space="preserve">The automatic path has no selection screen.</w:t>
            </w:r>
            <w:r>
              <w:rPr>
                <w:rFonts w:ascii="Arial" w:cs="Arial" w:eastAsia="Arial" w:hAnsi="Arial"/>
                <w:b w:val="false"/>
                <w:bCs w:val="false"/>
                <w:sz w:val="18"/>
                <w:szCs w:val="18"/>
              </w:rPr>
              <w:t xml:space="preserve"> It is triggered by the goods-receipt posting; the fields below belong to the monitor and repost report ZMM301M.</w:t>
            </w:r>
          </w:p>
        </w:tc>
        <w:tc>
          <w:tcPr>
            <w:tcW w:type="dxa" w:w="17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w:t>
            </w:r>
          </w:p>
        </w:tc>
        <w:tc>
          <w:tcPr>
            <w:tcW w:type="dxa" w:w="10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w:t>
            </w:r>
          </w:p>
        </w:tc>
        <w:tc>
          <w:tcPr>
            <w:tcW w:type="dxa" w:w="11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w:t>
            </w:r>
          </w:p>
        </w:tc>
        <w:tc>
          <w:tcPr>
            <w:tcW w:type="dxa" w:w="14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w:t>
            </w:r>
          </w:p>
        </w:tc>
        <w:tc>
          <w:tcPr>
            <w:tcW w:type="dxa" w:w="17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w:t>
            </w:r>
          </w:p>
        </w:tc>
      </w:tr>
      <w:tr>
        <w:trPr>
          <w:tblHeader w:val="false"/>
        </w:trPr>
        <w:tc>
          <w:tcPr>
            <w:tcW w:type="dxa" w:w="6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1</w:t>
            </w:r>
          </w:p>
        </w:tc>
        <w:tc>
          <w:tcPr>
            <w:tcW w:type="dxa" w:w="2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Issuing plant</w:t>
            </w:r>
          </w:p>
        </w:tc>
        <w:tc>
          <w:tcPr>
            <w:tcW w:type="dxa" w:w="1700"/>
            <w:tcMar>
              <w:top w:type="dxa" w:w="60"/>
              <w:left w:type="dxa" w:w="100"/>
              <w:bottom w:type="dxa" w:w="60"/>
              <w:right w:type="dxa" w:w="100"/>
            </w:tcMar>
          </w:tcPr>
          <w:p>
            <w:pPr>
              <w:spacing w:after="40" w:before="0"/>
            </w:pPr>
            <w:r>
              <w:rPr>
                <w:rFonts w:ascii="Consolas" w:cs="Consolas" w:eastAsia="Consolas" w:hAnsi="Consolas"/>
                <w:b w:val="false"/>
                <w:bCs w:val="false"/>
                <w:sz w:val="18"/>
                <w:szCs w:val="18"/>
              </w:rPr>
              <w:t xml:space="preserve">P_WERK_FR</w:t>
            </w:r>
            <w:r>
              <w:rPr>
                <w:rFonts w:ascii="Arial" w:cs="Arial" w:eastAsia="Arial" w:hAnsi="Arial"/>
                <w:b w:val="false"/>
                <w:bCs w:val="false"/>
                <w:sz w:val="18"/>
                <w:szCs w:val="18"/>
              </w:rPr>
              <w:t xml:space="preserve"> – MSEG-WERKS</w:t>
            </w:r>
          </w:p>
        </w:tc>
        <w:tc>
          <w:tcPr>
            <w:tcW w:type="dxa" w:w="10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Parameter</w:t>
            </w:r>
          </w:p>
        </w:tc>
        <w:tc>
          <w:tcPr>
            <w:tcW w:type="dxa" w:w="11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Yes</w:t>
            </w:r>
          </w:p>
        </w:tc>
        <w:tc>
          <w:tcPr>
            <w:tcW w:type="dxa" w:w="14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8P01</w:t>
            </w:r>
          </w:p>
        </w:tc>
        <w:tc>
          <w:tcPr>
            <w:tcW w:type="dxa" w:w="17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Must exist in T001W and have an active </w:t>
            </w:r>
            <w:r>
              <w:rPr>
                <w:rFonts w:ascii="Consolas" w:cs="Consolas" w:eastAsia="Consolas" w:hAnsi="Consolas"/>
                <w:b w:val="false"/>
                <w:bCs w:val="false"/>
                <w:sz w:val="18"/>
                <w:szCs w:val="18"/>
              </w:rPr>
              <w:t xml:space="preserve">ZMM_301_CTRL</w:t>
            </w:r>
            <w:r>
              <w:rPr>
                <w:rFonts w:ascii="Arial" w:cs="Arial" w:eastAsia="Arial" w:hAnsi="Arial"/>
                <w:b w:val="false"/>
                <w:bCs w:val="false"/>
                <w:sz w:val="18"/>
                <w:szCs w:val="18"/>
              </w:rPr>
              <w:t xml:space="preserve"> entry</w:t>
            </w:r>
          </w:p>
        </w:tc>
      </w:tr>
      <w:tr>
        <w:trPr>
          <w:tblHeader w:val="false"/>
        </w:trPr>
        <w:tc>
          <w:tcPr>
            <w:tcW w:type="dxa" w:w="6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2</w:t>
            </w:r>
          </w:p>
        </w:tc>
        <w:tc>
          <w:tcPr>
            <w:tcW w:type="dxa" w:w="2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Posting date</w:t>
            </w:r>
          </w:p>
        </w:tc>
        <w:tc>
          <w:tcPr>
            <w:tcW w:type="dxa" w:w="1700"/>
            <w:tcMar>
              <w:top w:type="dxa" w:w="60"/>
              <w:left w:type="dxa" w:w="100"/>
              <w:bottom w:type="dxa" w:w="60"/>
              <w:right w:type="dxa" w:w="100"/>
            </w:tcMar>
          </w:tcPr>
          <w:p>
            <w:pPr>
              <w:spacing w:after="40" w:before="0"/>
            </w:pPr>
            <w:r>
              <w:rPr>
                <w:rFonts w:ascii="Consolas" w:cs="Consolas" w:eastAsia="Consolas" w:hAnsi="Consolas"/>
                <w:b w:val="false"/>
                <w:bCs w:val="false"/>
                <w:sz w:val="18"/>
                <w:szCs w:val="18"/>
              </w:rPr>
              <w:t xml:space="preserve">SO_BUDAT</w:t>
            </w:r>
            <w:r>
              <w:rPr>
                <w:rFonts w:ascii="Arial" w:cs="Arial" w:eastAsia="Arial" w:hAnsi="Arial"/>
                <w:b w:val="false"/>
                <w:bCs w:val="false"/>
                <w:sz w:val="18"/>
                <w:szCs w:val="18"/>
              </w:rPr>
              <w:t xml:space="preserve"> – MKPF-BUDAT</w:t>
            </w:r>
          </w:p>
        </w:tc>
        <w:tc>
          <w:tcPr>
            <w:tcW w:type="dxa" w:w="10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Select-option</w:t>
            </w:r>
          </w:p>
        </w:tc>
        <w:tc>
          <w:tcPr>
            <w:tcW w:type="dxa" w:w="11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Yes</w:t>
            </w:r>
          </w:p>
        </w:tc>
        <w:tc>
          <w:tcPr>
            <w:tcW w:type="dxa" w:w="14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Current month</w:t>
            </w:r>
          </w:p>
        </w:tc>
        <w:tc>
          <w:tcPr>
            <w:tcW w:type="dxa" w:w="17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The period to be monitored, reposted or swept</w:t>
            </w:r>
          </w:p>
        </w:tc>
      </w:tr>
      <w:tr>
        <w:trPr>
          <w:tblHeader w:val="false"/>
        </w:trPr>
        <w:tc>
          <w:tcPr>
            <w:tcW w:type="dxa" w:w="6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3</w:t>
            </w:r>
          </w:p>
        </w:tc>
        <w:tc>
          <w:tcPr>
            <w:tcW w:type="dxa" w:w="2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Production order</w:t>
            </w:r>
          </w:p>
        </w:tc>
        <w:tc>
          <w:tcPr>
            <w:tcW w:type="dxa" w:w="1700"/>
            <w:tcMar>
              <w:top w:type="dxa" w:w="60"/>
              <w:left w:type="dxa" w:w="100"/>
              <w:bottom w:type="dxa" w:w="60"/>
              <w:right w:type="dxa" w:w="100"/>
            </w:tcMar>
          </w:tcPr>
          <w:p>
            <w:pPr>
              <w:spacing w:after="40" w:before="0"/>
            </w:pPr>
            <w:r>
              <w:rPr>
                <w:rFonts w:ascii="Consolas" w:cs="Consolas" w:eastAsia="Consolas" w:hAnsi="Consolas"/>
                <w:b w:val="false"/>
                <w:bCs w:val="false"/>
                <w:sz w:val="18"/>
                <w:szCs w:val="18"/>
              </w:rPr>
              <w:t xml:space="preserve">SO_AUFNR</w:t>
            </w:r>
            <w:r>
              <w:rPr>
                <w:rFonts w:ascii="Arial" w:cs="Arial" w:eastAsia="Arial" w:hAnsi="Arial"/>
                <w:b w:val="false"/>
                <w:bCs w:val="false"/>
                <w:sz w:val="18"/>
                <w:szCs w:val="18"/>
              </w:rPr>
              <w:t xml:space="preserve"> – MSEG-AUFNR</w:t>
            </w:r>
          </w:p>
        </w:tc>
        <w:tc>
          <w:tcPr>
            <w:tcW w:type="dxa" w:w="10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Select-option</w:t>
            </w:r>
          </w:p>
        </w:tc>
        <w:tc>
          <w:tcPr>
            <w:tcW w:type="dxa" w:w="11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No</w:t>
            </w:r>
          </w:p>
        </w:tc>
        <w:tc>
          <w:tcPr>
            <w:tcW w:type="dxa" w:w="14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w:t>
            </w:r>
          </w:p>
        </w:tc>
        <w:tc>
          <w:tcPr>
            <w:tcW w:type="dxa" w:w="17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Optional restriction</w:t>
            </w:r>
          </w:p>
        </w:tc>
      </w:tr>
      <w:tr>
        <w:trPr>
          <w:tblHeader w:val="false"/>
        </w:trPr>
        <w:tc>
          <w:tcPr>
            <w:tcW w:type="dxa" w:w="6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4</w:t>
            </w:r>
          </w:p>
        </w:tc>
        <w:tc>
          <w:tcPr>
            <w:tcW w:type="dxa" w:w="2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Mode</w:t>
            </w:r>
          </w:p>
        </w:tc>
        <w:tc>
          <w:tcPr>
            <w:tcW w:type="dxa" w:w="1700"/>
            <w:tcMar>
              <w:top w:type="dxa" w:w="60"/>
              <w:left w:type="dxa" w:w="100"/>
              <w:bottom w:type="dxa" w:w="60"/>
              <w:right w:type="dxa" w:w="100"/>
            </w:tcMar>
          </w:tcPr>
          <w:p>
            <w:pPr>
              <w:spacing w:after="40" w:before="0"/>
            </w:pPr>
            <w:r>
              <w:rPr>
                <w:rFonts w:ascii="Consolas" w:cs="Consolas" w:eastAsia="Consolas" w:hAnsi="Consolas"/>
                <w:b w:val="false"/>
                <w:bCs w:val="false"/>
                <w:sz w:val="18"/>
                <w:szCs w:val="18"/>
              </w:rPr>
              <w:t xml:space="preserve">P_MODE</w:t>
            </w:r>
          </w:p>
        </w:tc>
        <w:tc>
          <w:tcPr>
            <w:tcW w:type="dxa" w:w="10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Parameter (listbox)</w:t>
            </w:r>
          </w:p>
        </w:tc>
        <w:tc>
          <w:tcPr>
            <w:tcW w:type="dxa" w:w="11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Yes</w:t>
            </w:r>
          </w:p>
        </w:tc>
        <w:tc>
          <w:tcPr>
            <w:tcW w:type="dxa" w:w="14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M</w:t>
            </w:r>
          </w:p>
        </w:tc>
        <w:tc>
          <w:tcPr>
            <w:tcW w:type="dxa" w:w="17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M = monitor (display only), P = repost the failed and warned entries, C = catch-up sweep for receipts with no transfer at all</w:t>
            </w:r>
          </w:p>
        </w:tc>
      </w:tr>
      <w:tr>
        <w:trPr>
          <w:tblHeader w:val="false"/>
        </w:trPr>
        <w:tc>
          <w:tcPr>
            <w:tcW w:type="dxa" w:w="6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5</w:t>
            </w:r>
          </w:p>
        </w:tc>
        <w:tc>
          <w:tcPr>
            <w:tcW w:type="dxa" w:w="2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Self-reschedule (continuous)</w:t>
            </w:r>
          </w:p>
        </w:tc>
        <w:tc>
          <w:tcPr>
            <w:tcW w:type="dxa" w:w="1700"/>
            <w:tcMar>
              <w:top w:type="dxa" w:w="60"/>
              <w:left w:type="dxa" w:w="100"/>
              <w:bottom w:type="dxa" w:w="60"/>
              <w:right w:type="dxa" w:w="100"/>
            </w:tcMar>
          </w:tcPr>
          <w:p>
            <w:pPr>
              <w:spacing w:after="40" w:before="0"/>
            </w:pPr>
            <w:r>
              <w:rPr>
                <w:rFonts w:ascii="Consolas" w:cs="Consolas" w:eastAsia="Consolas" w:hAnsi="Consolas"/>
                <w:b w:val="false"/>
                <w:bCs w:val="false"/>
                <w:sz w:val="18"/>
                <w:szCs w:val="18"/>
              </w:rPr>
              <w:t xml:space="preserve">P_SCHED</w:t>
            </w:r>
          </w:p>
        </w:tc>
        <w:tc>
          <w:tcPr>
            <w:tcW w:type="dxa" w:w="10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Parameter (checkbox)</w:t>
            </w:r>
          </w:p>
        </w:tc>
        <w:tc>
          <w:tcPr>
            <w:tcW w:type="dxa" w:w="11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No</w:t>
            </w:r>
          </w:p>
        </w:tc>
        <w:tc>
          <w:tcPr>
            <w:tcW w:type="dxa" w:w="14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blank</w:t>
            </w:r>
          </w:p>
        </w:tc>
        <w:tc>
          <w:tcPr>
            <w:tcW w:type="dxa" w:w="17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Catch-up mode only; schedules the next sweep after the current one finishes</w:t>
            </w:r>
          </w:p>
        </w:tc>
      </w:tr>
      <w:tr>
        <w:trPr>
          <w:tblHeader w:val="false"/>
        </w:trPr>
        <w:tc>
          <w:tcPr>
            <w:tcW w:type="dxa" w:w="6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6</w:t>
            </w:r>
          </w:p>
        </w:tc>
        <w:tc>
          <w:tcPr>
            <w:tcW w:type="dxa" w:w="2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Frequency value</w:t>
            </w:r>
          </w:p>
        </w:tc>
        <w:tc>
          <w:tcPr>
            <w:tcW w:type="dxa" w:w="1700"/>
            <w:tcMar>
              <w:top w:type="dxa" w:w="60"/>
              <w:left w:type="dxa" w:w="100"/>
              <w:bottom w:type="dxa" w:w="60"/>
              <w:right w:type="dxa" w:w="100"/>
            </w:tcMar>
          </w:tcPr>
          <w:p>
            <w:pPr>
              <w:spacing w:after="40" w:before="0"/>
            </w:pPr>
            <w:r>
              <w:rPr>
                <w:rFonts w:ascii="Consolas" w:cs="Consolas" w:eastAsia="Consolas" w:hAnsi="Consolas"/>
                <w:b w:val="false"/>
                <w:bCs w:val="false"/>
                <w:sz w:val="18"/>
                <w:szCs w:val="18"/>
              </w:rPr>
              <w:t xml:space="preserve">P_FREQ</w:t>
            </w:r>
          </w:p>
        </w:tc>
        <w:tc>
          <w:tcPr>
            <w:tcW w:type="dxa" w:w="10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Parameter (INT4)</w:t>
            </w:r>
          </w:p>
        </w:tc>
        <w:tc>
          <w:tcPr>
            <w:tcW w:type="dxa" w:w="11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Conditional</w:t>
            </w:r>
          </w:p>
        </w:tc>
        <w:tc>
          <w:tcPr>
            <w:tcW w:type="dxa" w:w="14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5</w:t>
            </w:r>
          </w:p>
        </w:tc>
        <w:tc>
          <w:tcPr>
            <w:tcW w:type="dxa" w:w="17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Input-enabled and mandatory only when self-reschedule is set; the interval must be at least 1 minute</w:t>
            </w:r>
          </w:p>
        </w:tc>
      </w:tr>
      <w:tr>
        <w:trPr>
          <w:tblHeader w:val="false"/>
        </w:trPr>
        <w:tc>
          <w:tcPr>
            <w:tcW w:type="dxa" w:w="6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7</w:t>
            </w:r>
          </w:p>
        </w:tc>
        <w:tc>
          <w:tcPr>
            <w:tcW w:type="dxa" w:w="2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Frequency unit</w:t>
            </w:r>
          </w:p>
        </w:tc>
        <w:tc>
          <w:tcPr>
            <w:tcW w:type="dxa" w:w="1700"/>
            <w:tcMar>
              <w:top w:type="dxa" w:w="60"/>
              <w:left w:type="dxa" w:w="100"/>
              <w:bottom w:type="dxa" w:w="60"/>
              <w:right w:type="dxa" w:w="100"/>
            </w:tcMar>
          </w:tcPr>
          <w:p>
            <w:pPr>
              <w:spacing w:after="40" w:before="0"/>
            </w:pPr>
            <w:r>
              <w:rPr>
                <w:rFonts w:ascii="Consolas" w:cs="Consolas" w:eastAsia="Consolas" w:hAnsi="Consolas"/>
                <w:b w:val="false"/>
                <w:bCs w:val="false"/>
                <w:sz w:val="18"/>
                <w:szCs w:val="18"/>
              </w:rPr>
              <w:t xml:space="preserve">P_FUNIT</w:t>
            </w:r>
          </w:p>
        </w:tc>
        <w:tc>
          <w:tcPr>
            <w:tcW w:type="dxa" w:w="10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Parameter (listbox)</w:t>
            </w:r>
          </w:p>
        </w:tc>
        <w:tc>
          <w:tcPr>
            <w:tcW w:type="dxa" w:w="11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Conditional</w:t>
            </w:r>
          </w:p>
        </w:tc>
        <w:tc>
          <w:tcPr>
            <w:tcW w:type="dxa" w:w="14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MIN</w:t>
            </w:r>
          </w:p>
        </w:tc>
        <w:tc>
          <w:tcPr>
            <w:tcW w:type="dxa" w:w="17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MIN / HRS / DAY. Input-enabled and mandatory only when self-reschedule is set</w:t>
            </w:r>
          </w:p>
        </w:tc>
      </w:tr>
    </w:tbl>
    <w:p>
      <w:pPr>
        <w:pStyle w:val="Heading2"/>
        <w:spacing w:after="120" w:before="240"/>
      </w:pPr>
      <w:r>
        <w:rPr>
          <w:rFonts w:ascii="Arial" w:cs="Arial" w:eastAsia="Arial" w:hAnsi="Arial"/>
          <w:b/>
          <w:bCs/>
          <w:color w:val="005B9A"/>
          <w:sz w:val="24"/>
          <w:szCs w:val="24"/>
        </w:rPr>
        <w:t xml:space="preserve">4.3 Processing Logic and Business Rules</w:t>
      </w:r>
    </w:p>
    <w:p>
      <w:pPr>
        <w:spacing w:after="100" w:before="0"/>
      </w:pPr>
      <w:r>
        <w:rPr>
          <w:rFonts w:ascii="Arial" w:cs="Arial" w:eastAsia="Arial" w:hAnsi="Arial"/>
          <w:sz w:val="18"/>
          <w:szCs w:val="18"/>
        </w:rPr>
        <w:t xml:space="preserve">The steps below are numbered so that the test cases in section 6.2 can reference them. Steps 1 and 2 run inside the goods receipt’s posting LUW, just before its update task is triggered; steps 3 to 11 run in the separate unit that follows it.</w:t>
      </w:r>
    </w:p>
    <w:p>
      <w:pPr>
        <w:spacing w:after="100" w:before="0"/>
      </w:pPr>
      <w:r>
        <w:rPr>
          <w:rFonts w:ascii="Arial" w:cs="Arial" w:eastAsia="Arial" w:hAnsi="Arial"/>
          <w:sz w:val="18"/>
          <w:szCs w:val="18"/>
          <w:b/>
          <w:bCs/>
        </w:rPr>
        <w:t xml:space="preserve">1. Classify each item of the posted material document.</w:t>
      </w:r>
      <w:r>
        <w:rPr>
          <w:rFonts w:ascii="Arial" w:cs="Arial" w:eastAsia="Arial" w:hAnsi="Arial"/>
          <w:sz w:val="18"/>
          <w:szCs w:val="18"/>
        </w:rPr>
        <w:t xml:space="preserve"> An item is taken further only when all of the following hold: the movement type is </w:t>
      </w:r>
      <w:r>
        <w:rPr>
          <w:rFonts w:ascii="Arial" w:cs="Arial" w:eastAsia="Arial" w:hAnsi="Arial"/>
          <w:sz w:val="18"/>
          <w:szCs w:val="18"/>
          <w:b/>
          <w:bCs/>
        </w:rPr>
        <w:t xml:space="preserve">101</w:t>
      </w:r>
      <w:r>
        <w:rPr>
          <w:rFonts w:ascii="Arial" w:cs="Arial" w:eastAsia="Arial" w:hAnsi="Arial"/>
          <w:sz w:val="18"/>
          <w:szCs w:val="18"/>
        </w:rPr>
        <w:t xml:space="preserve"> (transfer path) or </w:t>
      </w:r>
      <w:r>
        <w:rPr>
          <w:rFonts w:ascii="Arial" w:cs="Arial" w:eastAsia="Arial" w:hAnsi="Arial"/>
          <w:sz w:val="18"/>
          <w:szCs w:val="18"/>
          <w:b/>
          <w:bCs/>
        </w:rPr>
        <w:t xml:space="preserve">102</w:t>
      </w:r>
      <w:r>
        <w:rPr>
          <w:rFonts w:ascii="Arial" w:cs="Arial" w:eastAsia="Arial" w:hAnsi="Arial"/>
          <w:sz w:val="18"/>
          <w:szCs w:val="18"/>
        </w:rPr>
        <w:t xml:space="preserve"> (reversal path); the production order field is populated; the plant has an </w:t>
      </w:r>
      <w:r>
        <w:rPr>
          <w:rFonts w:ascii="Arial" w:cs="Arial" w:eastAsia="Arial" w:hAnsi="Arial"/>
          <w:sz w:val="18"/>
          <w:szCs w:val="18"/>
          <w:b/>
          <w:bCs/>
        </w:rPr>
        <w:t xml:space="preserve">active</w:t>
      </w:r>
      <w:r>
        <w:rPr>
          <w:rFonts w:ascii="Arial" w:cs="Arial" w:eastAsia="Arial" w:hAnsi="Arial"/>
          <w:sz w:val="18"/>
          <w:szCs w:val="18"/>
        </w:rPr>
        <w:t xml:space="preserve"> </w:t>
      </w:r>
      <w:r>
        <w:rPr>
          <w:rFonts w:ascii="Consolas" w:cs="Consolas" w:eastAsia="Consolas" w:hAnsi="Consolas"/>
          <w:sz w:val="18"/>
          <w:szCs w:val="18"/>
        </w:rPr>
        <w:t xml:space="preserve">ZMM_301_CTRL</w:t>
      </w:r>
      <w:r>
        <w:rPr>
          <w:rFonts w:ascii="Arial" w:cs="Arial" w:eastAsia="Arial" w:hAnsi="Arial"/>
          <w:sz w:val="18"/>
          <w:szCs w:val="18"/>
        </w:rPr>
        <w:t xml:space="preserve"> entry and the posting date falls inside its optional activation window; and the material is the production order’s </w:t>
      </w:r>
      <w:r>
        <w:rPr>
          <w:rFonts w:ascii="Arial" w:cs="Arial" w:eastAsia="Arial" w:hAnsi="Arial"/>
          <w:sz w:val="18"/>
          <w:szCs w:val="18"/>
          <w:b/>
          <w:bCs/>
        </w:rPr>
        <w:t xml:space="preserve">header</w:t>
      </w:r>
      <w:r>
        <w:rPr>
          <w:rFonts w:ascii="Arial" w:cs="Arial" w:eastAsia="Arial" w:hAnsi="Arial"/>
          <w:sz w:val="18"/>
          <w:szCs w:val="18"/>
        </w:rPr>
        <w:t xml:space="preserve"> material. Every other item is ignored.</w:t>
      </w:r>
    </w:p>
    <w:p>
      <w:pPr>
        <w:spacing w:after="100" w:before="0"/>
      </w:pPr>
      <w:r>
        <w:rPr>
          <w:rFonts w:ascii="Arial" w:cs="Arial" w:eastAsia="Arial" w:hAnsi="Arial"/>
          <w:sz w:val="18"/>
          <w:szCs w:val="18"/>
          <w:b/>
          <w:bCs/>
        </w:rPr>
        <w:t xml:space="preserve">2. Register the follow-on posting.</w:t>
      </w:r>
      <w:r>
        <w:rPr>
          <w:rFonts w:ascii="Arial" w:cs="Arial" w:eastAsia="Arial" w:hAnsi="Arial"/>
          <w:sz w:val="18"/>
          <w:szCs w:val="18"/>
        </w:rPr>
        <w:t xml:space="preserve"> For a qualifying item, register a queued unit carrying the source keys (material document, year, item) and the reversal flag. Nothing is posted and nothing is written to the database at this point: the goods receipt’s posting must stay lightweight, and the transfer must not share its logical unit of work.</w:t>
      </w:r>
    </w:p>
    <w:p>
      <w:pPr>
        <w:spacing w:after="100" w:before="0"/>
      </w:pPr>
      <w:r>
        <w:rPr>
          <w:rFonts w:ascii="Arial" w:cs="Arial" w:eastAsia="Arial" w:hAnsi="Arial"/>
          <w:sz w:val="18"/>
          <w:szCs w:val="18"/>
          <w:b/>
          <w:bCs/>
        </w:rPr>
        <w:t xml:space="preserve">3. Check idempotency.</w:t>
      </w:r>
      <w:r>
        <w:rPr>
          <w:rFonts w:ascii="Arial" w:cs="Arial" w:eastAsia="Arial" w:hAnsi="Arial"/>
          <w:sz w:val="18"/>
          <w:szCs w:val="18"/>
        </w:rPr>
        <w:t xml:space="preserve"> In the queued unit, read </w:t>
      </w:r>
      <w:r>
        <w:rPr>
          <w:rFonts w:ascii="Consolas" w:cs="Consolas" w:eastAsia="Consolas" w:hAnsi="Consolas"/>
          <w:sz w:val="18"/>
          <w:szCs w:val="18"/>
        </w:rPr>
        <w:t xml:space="preserve">ZMM_301_MOV_LOG</w:t>
      </w:r>
      <w:r>
        <w:rPr>
          <w:rFonts w:ascii="Arial" w:cs="Arial" w:eastAsia="Arial" w:hAnsi="Arial"/>
          <w:sz w:val="18"/>
          <w:szCs w:val="18"/>
        </w:rPr>
        <w:t xml:space="preserve"> for the source item. If a 301 material document is already recorded for it – status S, or W when it was posted without a reservation reference – and this is not a reversal, stop: the receipt has already been transferred. This single check is what makes a re-fired event, a queue retry, a repost and a catch-up sweep all safe.</w:t>
      </w:r>
    </w:p>
    <w:p>
      <w:pPr>
        <w:spacing w:after="100" w:before="0"/>
      </w:pPr>
      <w:r>
        <w:rPr>
          <w:rFonts w:ascii="Arial" w:cs="Arial" w:eastAsia="Arial" w:hAnsi="Arial"/>
          <w:sz w:val="18"/>
          <w:szCs w:val="18"/>
          <w:b/>
          <w:bCs/>
        </w:rPr>
        <w:t xml:space="preserve">4. Re-read the source document.</w:t>
      </w:r>
      <w:r>
        <w:rPr>
          <w:rFonts w:ascii="Arial" w:cs="Arial" w:eastAsia="Arial" w:hAnsi="Arial"/>
          <w:sz w:val="18"/>
          <w:szCs w:val="18"/>
        </w:rPr>
        <w:t xml:space="preserve"> Read the material document line and header from the database. This is safe and deliberate: the unit runs after the goods receipt has committed, so the document is persisted.</w:t>
      </w:r>
    </w:p>
    <w:p>
      <w:pPr>
        <w:spacing w:after="100" w:before="0"/>
      </w:pPr>
      <w:r>
        <w:rPr>
          <w:rFonts w:ascii="Arial" w:cs="Arial" w:eastAsia="Arial" w:hAnsi="Arial"/>
          <w:sz w:val="18"/>
          <w:szCs w:val="18"/>
          <w:b/>
          <w:bCs/>
        </w:rPr>
        <w:t xml:space="preserve">5. Re-check the control entry.</w:t>
      </w:r>
      <w:r>
        <w:rPr>
          <w:rFonts w:ascii="Arial" w:cs="Arial" w:eastAsia="Arial" w:hAnsi="Arial"/>
          <w:sz w:val="18"/>
          <w:szCs w:val="18"/>
        </w:rPr>
        <w:t xml:space="preserve"> Read the active </w:t>
      </w:r>
      <w:r>
        <w:rPr>
          <w:rFonts w:ascii="Consolas" w:cs="Consolas" w:eastAsia="Consolas" w:hAnsi="Consolas"/>
          <w:sz w:val="18"/>
          <w:szCs w:val="18"/>
        </w:rPr>
        <w:t xml:space="preserve">ZMM_301_CTRL</w:t>
      </w:r>
      <w:r>
        <w:rPr>
          <w:rFonts w:ascii="Arial" w:cs="Arial" w:eastAsia="Arial" w:hAnsi="Arial"/>
          <w:sz w:val="18"/>
          <w:szCs w:val="18"/>
        </w:rPr>
        <w:t xml:space="preserve"> entry for the issuing plant; if the automation has been switched off in the meantime, stop without posting. Take the movement type (301 by default), the destination plant and the storage locations from that entry.</w:t>
      </w:r>
    </w:p>
    <w:p>
      <w:pPr>
        <w:spacing w:after="100" w:before="0"/>
      </w:pPr>
      <w:r>
        <w:rPr>
          <w:rFonts w:ascii="Arial" w:cs="Arial" w:eastAsia="Arial" w:hAnsi="Arial"/>
          <w:sz w:val="18"/>
          <w:szCs w:val="18"/>
          <w:b/>
          <w:bCs/>
        </w:rPr>
        <w:t xml:space="preserve">6. Reversal path.</w:t>
      </w:r>
      <w:r>
        <w:rPr>
          <w:rFonts w:ascii="Arial" w:cs="Arial" w:eastAsia="Arial" w:hAnsi="Arial"/>
          <w:sz w:val="18"/>
          <w:szCs w:val="18"/>
        </w:rPr>
        <w:t xml:space="preserve"> If this is a cancellation, find the 301 posted for the original receipt in </w:t>
      </w:r>
      <w:r>
        <w:rPr>
          <w:rFonts w:ascii="Consolas" w:cs="Consolas" w:eastAsia="Consolas" w:hAnsi="Consolas"/>
          <w:sz w:val="18"/>
          <w:szCs w:val="18"/>
        </w:rPr>
        <w:t xml:space="preserve">ZMM_301_MOV_LOG</w:t>
      </w:r>
      <w:r>
        <w:rPr>
          <w:rFonts w:ascii="Arial" w:cs="Arial" w:eastAsia="Arial" w:hAnsi="Arial"/>
          <w:sz w:val="18"/>
          <w:szCs w:val="18"/>
        </w:rPr>
        <w:t xml:space="preserve"> and cancel it, which posts the matching </w:t>
      </w:r>
      <w:r>
        <w:rPr>
          <w:rFonts w:ascii="Arial" w:cs="Arial" w:eastAsia="Arial" w:hAnsi="Arial"/>
          <w:sz w:val="18"/>
          <w:szCs w:val="18"/>
          <w:b/>
          <w:bCs/>
        </w:rPr>
        <w:t xml:space="preserve">302</w:t>
      </w:r>
      <w:r>
        <w:rPr>
          <w:rFonts w:ascii="Arial" w:cs="Arial" w:eastAsia="Arial" w:hAnsi="Arial"/>
          <w:sz w:val="18"/>
          <w:szCs w:val="18"/>
        </w:rPr>
        <w:t xml:space="preserve"> for the same quantity and batch and corrects the reservation’s transferred quantity. Mark the log entry as reversed and stop. If no original transfer is found, log a warning and do nothing: there is nothing to reverse.</w:t>
      </w:r>
    </w:p>
    <w:p>
      <w:pPr>
        <w:spacing w:after="100" w:before="0"/>
      </w:pPr>
      <w:r>
        <w:rPr>
          <w:rFonts w:ascii="Arial" w:cs="Arial" w:eastAsia="Arial" w:hAnsi="Arial"/>
          <w:sz w:val="18"/>
          <w:szCs w:val="18"/>
          <w:b/>
          <w:bCs/>
        </w:rPr>
        <w:t xml:space="preserve">7. Determine the reservation.</w:t>
      </w:r>
      <w:r>
        <w:rPr>
          <w:rFonts w:ascii="Arial" w:cs="Arial" w:eastAsia="Arial" w:hAnsi="Arial"/>
          <w:sz w:val="18"/>
          <w:szCs w:val="18"/>
        </w:rPr>
        <w:t xml:space="preserve"> Read the production order’s reservation from </w:t>
      </w:r>
      <w:r>
        <w:rPr>
          <w:rFonts w:ascii="Consolas" w:cs="Consolas" w:eastAsia="Consolas" w:hAnsi="Consolas"/>
          <w:sz w:val="18"/>
          <w:szCs w:val="18"/>
        </w:rPr>
        <w:t xml:space="preserve">ZMM_301_RESV_LOG</w:t>
      </w:r>
      <w:r>
        <w:rPr>
          <w:rFonts w:ascii="Arial" w:cs="Arial" w:eastAsia="Arial" w:hAnsi="Arial"/>
          <w:sz w:val="18"/>
          <w:szCs w:val="18"/>
        </w:rPr>
        <w:t xml:space="preserve"> and validate against RESB that the item is still open (</w:t>
      </w:r>
      <w:r>
        <w:rPr>
          <w:rFonts w:ascii="Consolas" w:cs="Consolas" w:eastAsia="Consolas" w:hAnsi="Consolas"/>
          <w:sz w:val="18"/>
          <w:szCs w:val="18"/>
        </w:rPr>
        <w:t xml:space="preserve">BDMNG − ENMNG &gt; 0</w:t>
      </w:r>
      <w:r>
        <w:rPr>
          <w:rFonts w:ascii="Arial" w:cs="Arial" w:eastAsia="Arial" w:hAnsi="Arial"/>
          <w:sz w:val="18"/>
          <w:szCs w:val="18"/>
        </w:rPr>
        <w:t xml:space="preserve">) and matches on material and plants. If no reservation is found, follow </w:t>
      </w:r>
      <w:r>
        <w:rPr>
          <w:rFonts w:ascii="Consolas" w:cs="Consolas" w:eastAsia="Consolas" w:hAnsi="Consolas"/>
          <w:sz w:val="18"/>
          <w:szCs w:val="18"/>
        </w:rPr>
        <w:t xml:space="preserve">ZMM_301_CTRL-NO_RESV_ACTION</w:t>
      </w:r>
      <w:r>
        <w:rPr>
          <w:rFonts w:ascii="Arial" w:cs="Arial" w:eastAsia="Arial" w:hAnsi="Arial"/>
          <w:sz w:val="18"/>
          <w:szCs w:val="18"/>
        </w:rPr>
        <w:t xml:space="preserve">: </w:t>
      </w:r>
      <w:r>
        <w:rPr>
          <w:rFonts w:ascii="Arial" w:cs="Arial" w:eastAsia="Arial" w:hAnsi="Arial"/>
          <w:sz w:val="18"/>
          <w:szCs w:val="18"/>
          <w:b/>
          <w:bCs/>
        </w:rPr>
        <w:t xml:space="preserve">S</w:t>
      </w:r>
      <w:r>
        <w:rPr>
          <w:rFonts w:ascii="Arial" w:cs="Arial" w:eastAsia="Arial" w:hAnsi="Arial"/>
          <w:sz w:val="18"/>
          <w:szCs w:val="18"/>
        </w:rPr>
        <w:t xml:space="preserve"> logs a warning and stops; </w:t>
      </w:r>
      <w:r>
        <w:rPr>
          <w:rFonts w:ascii="Arial" w:cs="Arial" w:eastAsia="Arial" w:hAnsi="Arial"/>
          <w:sz w:val="18"/>
          <w:szCs w:val="18"/>
          <w:b/>
          <w:bCs/>
        </w:rPr>
        <w:t xml:space="preserve">P</w:t>
      </w:r>
      <w:r>
        <w:rPr>
          <w:rFonts w:ascii="Arial" w:cs="Arial" w:eastAsia="Arial" w:hAnsi="Arial"/>
          <w:sz w:val="18"/>
          <w:szCs w:val="18"/>
        </w:rPr>
        <w:t xml:space="preserve"> continues without a reservation reference and logs a warning, leaving the companion object to realign on its next run.</w:t>
      </w:r>
    </w:p>
    <w:p>
      <w:pPr>
        <w:spacing w:after="100" w:before="0"/>
      </w:pPr>
      <w:r>
        <w:rPr>
          <w:rFonts w:ascii="Arial" w:cs="Arial" w:eastAsia="Arial" w:hAnsi="Arial"/>
          <w:sz w:val="18"/>
          <w:szCs w:val="18"/>
          <w:b/>
          <w:bCs/>
        </w:rPr>
        <w:t xml:space="preserve">8. Resolve the fiscal year.</w:t>
      </w:r>
      <w:r>
        <w:rPr>
          <w:rFonts w:ascii="Arial" w:cs="Arial" w:eastAsia="Arial" w:hAnsi="Arial"/>
          <w:sz w:val="18"/>
          <w:szCs w:val="18"/>
        </w:rPr>
        <w:t xml:space="preserve"> Derive the fiscal year from the goods-receipt </w:t>
      </w:r>
      <w:r>
        <w:rPr>
          <w:rFonts w:ascii="Arial" w:cs="Arial" w:eastAsia="Arial" w:hAnsi="Arial"/>
          <w:sz w:val="18"/>
          <w:szCs w:val="18"/>
          <w:b/>
          <w:bCs/>
        </w:rPr>
        <w:t xml:space="preserve">posting date</w:t>
      </w:r>
      <w:r>
        <w:rPr>
          <w:rFonts w:ascii="Arial" w:cs="Arial" w:eastAsia="Arial" w:hAnsi="Arial"/>
          <w:sz w:val="18"/>
          <w:szCs w:val="18"/>
        </w:rPr>
        <w:t xml:space="preserve"> using the company code’s fiscal-year variant – from the posting date, never from the system date, so that a back-dated receipt is valued in the year it was posted into.</w:t>
      </w:r>
    </w:p>
    <w:p>
      <w:pPr>
        <w:spacing w:after="100" w:before="0"/>
      </w:pPr>
      <w:r>
        <w:rPr>
          <w:rFonts w:ascii="Arial" w:cs="Arial" w:eastAsia="Arial" w:hAnsi="Arial"/>
          <w:sz w:val="18"/>
          <w:szCs w:val="18"/>
          <w:b/>
          <w:bCs/>
        </w:rPr>
        <w:t xml:space="preserve">9. Resolve the destination valuation type.</w:t>
      </w:r>
      <w:r>
        <w:rPr>
          <w:rFonts w:ascii="Arial" w:cs="Arial" w:eastAsia="Arial" w:hAnsi="Arial"/>
          <w:sz w:val="18"/>
          <w:szCs w:val="18"/>
        </w:rPr>
        <w:t xml:space="preserve"> Look up the valuation type for that fiscal year in </w:t>
      </w:r>
      <w:r>
        <w:rPr>
          <w:rFonts w:ascii="Consolas" w:cs="Consolas" w:eastAsia="Consolas" w:hAnsi="Consolas"/>
          <w:sz w:val="18"/>
          <w:szCs w:val="18"/>
        </w:rPr>
        <w:t xml:space="preserve">ZMM_301_VALTYPE</w:t>
      </w:r>
      <w:r>
        <w:rPr>
          <w:rFonts w:ascii="Arial" w:cs="Arial" w:eastAsia="Arial" w:hAnsi="Arial"/>
          <w:sz w:val="18"/>
          <w:szCs w:val="18"/>
        </w:rPr>
        <w:t xml:space="preserve">. If there is no entry, stop with an error and flag the receipt for the monitor. </w:t>
      </w:r>
      <w:r>
        <w:rPr>
          <w:rFonts w:ascii="Arial" w:cs="Arial" w:eastAsia="Arial" w:hAnsi="Arial"/>
          <w:sz w:val="18"/>
          <w:szCs w:val="18"/>
          <w:b/>
          <w:bCs/>
        </w:rPr>
        <w:t xml:space="preserve">No valuation type is ever guessed.</w:t>
      </w:r>
    </w:p>
    <w:p>
      <w:pPr>
        <w:spacing w:after="100" w:before="0"/>
      </w:pPr>
      <w:r>
        <w:rPr>
          <w:rFonts w:ascii="Arial" w:cs="Arial" w:eastAsia="Arial" w:hAnsi="Arial"/>
          <w:sz w:val="18"/>
          <w:szCs w:val="18"/>
          <w:b/>
          <w:bCs/>
        </w:rPr>
        <w:t xml:space="preserve">10. Post the transfer.</w:t>
      </w:r>
      <w:r>
        <w:rPr>
          <w:rFonts w:ascii="Arial" w:cs="Arial" w:eastAsia="Arial" w:hAnsi="Arial"/>
          <w:sz w:val="18"/>
          <w:szCs w:val="18"/>
        </w:rPr>
        <w:t xml:space="preserve"> Post the 301 for the goods-receipt quantity from the issuing to the receiving plant, carrying the goods-receipt batch on both sides, with </w:t>
      </w:r>
      <w:r>
        <w:rPr>
          <w:rFonts w:ascii="Arial" w:cs="Arial" w:eastAsia="Arial" w:hAnsi="Arial"/>
          <w:sz w:val="18"/>
          <w:szCs w:val="18"/>
          <w:b/>
          <w:bCs/>
        </w:rPr>
        <w:t xml:space="preserve">no</w:t>
      </w:r>
      <w:r>
        <w:rPr>
          <w:rFonts w:ascii="Arial" w:cs="Arial" w:eastAsia="Arial" w:hAnsi="Arial"/>
          <w:sz w:val="18"/>
          <w:szCs w:val="18"/>
        </w:rPr>
        <w:t xml:space="preserve"> valuation type on the issuing side (the origin plant is not split-valuated) and the resolved fiscal-year valuation type on the receiving side, referencing the reservation item where one was found. Commit on success; roll back this transfer alone on failure. The goods receipt is never affected either way.</w:t>
      </w:r>
    </w:p>
    <w:p>
      <w:pPr>
        <w:spacing w:after="100" w:before="0"/>
      </w:pPr>
      <w:r>
        <w:rPr>
          <w:rFonts w:ascii="Arial" w:cs="Arial" w:eastAsia="Arial" w:hAnsi="Arial"/>
          <w:sz w:val="18"/>
          <w:szCs w:val="18"/>
          <w:b/>
          <w:bCs/>
        </w:rPr>
        <w:t xml:space="preserve">11. Log the outcome.</w:t>
      </w:r>
      <w:r>
        <w:rPr>
          <w:rFonts w:ascii="Arial" w:cs="Arial" w:eastAsia="Arial" w:hAnsi="Arial"/>
          <w:sz w:val="18"/>
          <w:szCs w:val="18"/>
        </w:rPr>
        <w:t xml:space="preserve"> Write one </w:t>
      </w:r>
      <w:r>
        <w:rPr>
          <w:rFonts w:ascii="Consolas" w:cs="Consolas" w:eastAsia="Consolas" w:hAnsi="Consolas"/>
          <w:sz w:val="18"/>
          <w:szCs w:val="18"/>
        </w:rPr>
        <w:t xml:space="preserve">ZMM_301_MOV_LOG</w:t>
      </w:r>
      <w:r>
        <w:rPr>
          <w:rFonts w:ascii="Arial" w:cs="Arial" w:eastAsia="Arial" w:hAnsi="Arial"/>
          <w:sz w:val="18"/>
          <w:szCs w:val="18"/>
        </w:rPr>
        <w:t xml:space="preserve"> row for the source item with the status (S success, W warning, E error, R reversed), the created material document, the valuation type used, the reservation referenced and any message, and write the same outcome to the application log.</w:t>
      </w:r>
    </w:p>
    <w:p>
      <w:pPr>
        <w:spacing w:after="100" w:before="0"/>
      </w:pPr>
      <w:r>
        <w:rPr>
          <w:rFonts w:ascii="Arial" w:cs="Arial" w:eastAsia="Arial" w:hAnsi="Arial"/>
          <w:sz w:val="18"/>
          <w:szCs w:val="18"/>
          <w:b/>
          <w:bCs/>
        </w:rPr>
        <w:t xml:space="preserve">12. Monitor and repost.</w:t>
      </w:r>
      <w:r>
        <w:rPr>
          <w:rFonts w:ascii="Arial" w:cs="Arial" w:eastAsia="Arial" w:hAnsi="Arial"/>
          <w:sz w:val="18"/>
          <w:szCs w:val="18"/>
        </w:rPr>
        <w:t xml:space="preserve"> The monitor transaction lists the receipts and their transfer status for a period. Repost mode retries the entries in status E or W that have no 301 material document yet; catch-up mode sweeps the period for receipts that produced no transfer at all and posts them. Both re-enter at step 3, so nothing is ever transferred twice. Every monitor, repost and catch-up run writes a header row to </w:t>
      </w:r>
      <w:r>
        <w:rPr>
          <w:rFonts w:ascii="Consolas" w:cs="Consolas" w:eastAsia="Consolas" w:hAnsi="Consolas"/>
          <w:sz w:val="18"/>
          <w:szCs w:val="18"/>
        </w:rPr>
        <w:t xml:space="preserve">ZMM_301_MOV_RUN_LOG</w:t>
      </w:r>
      <w:r>
        <w:rPr>
          <w:rFonts w:ascii="Arial" w:cs="Arial" w:eastAsia="Arial" w:hAnsi="Arial"/>
          <w:sz w:val="18"/>
          <w:szCs w:val="18"/>
        </w:rPr>
        <w:t xml:space="preserve">; the real-time postings are </w:t>
      </w:r>
      <w:r>
        <w:rPr>
          <w:rFonts w:ascii="Arial" w:cs="Arial" w:eastAsia="Arial" w:hAnsi="Arial"/>
          <w:sz w:val="18"/>
          <w:szCs w:val="18"/>
          <w:b/>
          <w:bCs/>
        </w:rPr>
        <w:t xml:space="preserve">not</w:t>
      </w:r>
      <w:r>
        <w:rPr>
          <w:rFonts w:ascii="Arial" w:cs="Arial" w:eastAsia="Arial" w:hAnsi="Arial"/>
          <w:sz w:val="18"/>
          <w:szCs w:val="18"/>
        </w:rPr>
        <w:t xml:space="preserve"> runs and are audited per document instead.</w:t>
      </w:r>
    </w:p>
    <w:p>
      <w:pPr>
        <w:spacing w:after="100" w:before="0"/>
      </w:pPr>
      <w:r>
        <w:rPr>
          <w:rFonts w:ascii="Arial" w:cs="Arial" w:eastAsia="Arial" w:hAnsi="Arial"/>
          <w:sz w:val="18"/>
          <w:szCs w:val="18"/>
          <w:b/>
          <w:bCs/>
        </w:rPr>
        <w:t xml:space="preserve">13. Scheduled catch-up.</w:t>
      </w:r>
      <w:r>
        <w:rPr>
          <w:rFonts w:ascii="Arial" w:cs="Arial" w:eastAsia="Arial" w:hAnsi="Arial"/>
          <w:sz w:val="18"/>
          <w:szCs w:val="18"/>
        </w:rPr>
        <w:t xml:space="preserve"> The catch-up sweep may be scheduled at a parameter-driven interval (1 minute to multiple days) using the same self-rescheduling pattern as the companion object: the next sweep is scheduled only after the current one finishes, so sweeps never overlap, and the chain stops cleanly when the control flag is unset. This is a safety net only; the real-time path remains the primary mechanism.</w:t>
      </w:r>
    </w:p>
    <w:p>
      <w:pPr>
        <w:pStyle w:val="Heading2"/>
        <w:spacing w:after="120" w:before="240"/>
      </w:pPr>
      <w:r>
        <w:rPr>
          <w:rFonts w:ascii="Arial" w:cs="Arial" w:eastAsia="Arial" w:hAnsi="Arial"/>
          <w:b/>
          <w:bCs/>
          <w:color w:val="005B9A"/>
          <w:sz w:val="24"/>
          <w:szCs w:val="24"/>
        </w:rPr>
        <w:t xml:space="preserve">4.4 Output Definition</w:t>
      </w:r>
    </w:p>
    <w:p>
      <w:pPr>
        <w:pStyle w:val="Heading3"/>
        <w:spacing w:after="120" w:before="240"/>
      </w:pPr>
      <w:r>
        <w:rPr>
          <w:rFonts w:ascii="Arial" w:cs="Arial" w:eastAsia="Arial" w:hAnsi="Arial"/>
          <w:b/>
          <w:bCs/>
          <w:sz w:val="21"/>
          <w:szCs w:val="21"/>
        </w:rPr>
        <w:t xml:space="preserve">4.4.1 Enhancement Points</w:t>
      </w:r>
    </w:p>
    <w:tbl>
      <w:tblPr>
        <w:tblW w:type="dxa" w:w="9700"/>
        <w:tblBorders>
          <w:top w:val="single" w:color="AAB4BE" w:sz="4"/>
          <w:left w:val="single" w:color="AAB4BE" w:sz="4"/>
          <w:bottom w:val="single" w:color="AAB4BE" w:sz="4"/>
          <w:right w:val="single" w:color="AAB4BE" w:sz="4"/>
          <w:insideH w:val="single" w:color="AAB4BE" w:sz="4"/>
          <w:insideV w:val="single" w:color="AAB4BE" w:sz="4"/>
        </w:tblBorders>
      </w:tblPr>
      <w:tblGrid>
        <w:gridCol w:w="2400"/>
        <w:gridCol w:w="2600"/>
        <w:gridCol w:w="2400"/>
        <w:gridCol w:w="2300"/>
      </w:tblGrid>
      <w:tr>
        <w:trPr>
          <w:tblHeader/>
        </w:trPr>
        <w:tc>
          <w:tcPr>
            <w:tcW w:type="dxa" w:w="24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Standard object enhanced</w:t>
            </w:r>
          </w:p>
        </w:tc>
        <w:tc>
          <w:tcPr>
            <w:tcW w:type="dxa" w:w="26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Enhancement point</w:t>
            </w:r>
          </w:p>
        </w:tc>
        <w:tc>
          <w:tcPr>
            <w:tcW w:type="dxa" w:w="24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Trigger condition</w:t>
            </w:r>
          </w:p>
        </w:tc>
        <w:tc>
          <w:tcPr>
            <w:tcW w:type="dxa" w:w="23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Expected behaviour</w:t>
            </w:r>
          </w:p>
        </w:tc>
      </w:tr>
      <w:tr>
        <w:trPr>
          <w:tblHeader w:val="false"/>
        </w:trPr>
        <w:tc>
          <w:tcPr>
            <w:tcW w:type="dxa" w:w="24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Material document posting – BAdI </w:t>
            </w:r>
            <w:r>
              <w:rPr>
                <w:rFonts w:ascii="Consolas" w:cs="Consolas" w:eastAsia="Consolas" w:hAnsi="Consolas"/>
                <w:b w:val="false"/>
                <w:bCs w:val="false"/>
                <w:sz w:val="18"/>
                <w:szCs w:val="18"/>
              </w:rPr>
              <w:t xml:space="preserve">MB_DOCUMENT_BADI</w:t>
            </w:r>
            <w:r>
              <w:rPr>
                <w:rFonts w:ascii="Arial" w:cs="Arial" w:eastAsia="Arial" w:hAnsi="Arial"/>
                <w:b w:val="false"/>
                <w:bCs w:val="false"/>
                <w:sz w:val="18"/>
                <w:szCs w:val="18"/>
              </w:rPr>
              <w:t xml:space="preserve">, interface </w:t>
            </w:r>
            <w:r>
              <w:rPr>
                <w:rFonts w:ascii="Consolas" w:cs="Consolas" w:eastAsia="Consolas" w:hAnsi="Consolas"/>
                <w:b w:val="false"/>
                <w:bCs w:val="false"/>
                <w:sz w:val="18"/>
                <w:szCs w:val="18"/>
              </w:rPr>
              <w:t xml:space="preserve">IF_EX_MB_DOCUMENT_BADI</w:t>
            </w:r>
            <w:r>
              <w:rPr>
                <w:rFonts w:ascii="Arial" w:cs="Arial" w:eastAsia="Arial" w:hAnsi="Arial"/>
                <w:b w:val="false"/>
                <w:bCs w:val="false"/>
                <w:sz w:val="18"/>
                <w:szCs w:val="18"/>
              </w:rPr>
              <w:t xml:space="preserve">, method </w:t>
            </w:r>
            <w:r>
              <w:rPr>
                <w:rFonts w:ascii="Consolas" w:cs="Consolas" w:eastAsia="Consolas" w:hAnsi="Consolas"/>
                <w:b w:val="false"/>
                <w:bCs w:val="false"/>
                <w:sz w:val="18"/>
                <w:szCs w:val="18"/>
              </w:rPr>
              <w:t xml:space="preserve">MB_DOCUMENT_BEFORE_UPDATE</w:t>
            </w:r>
          </w:p>
        </w:tc>
        <w:tc>
          <w:tcPr>
            <w:tcW w:type="dxa" w:w="26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Implementation </w:t>
            </w:r>
            <w:r>
              <w:rPr>
                <w:rFonts w:ascii="Consolas" w:cs="Consolas" w:eastAsia="Consolas" w:hAnsi="Consolas"/>
                <w:b w:val="false"/>
                <w:bCs w:val="false"/>
                <w:sz w:val="18"/>
                <w:szCs w:val="18"/>
              </w:rPr>
              <w:t xml:space="preserve">ZMM_301_GR_TRIGGER</w:t>
            </w:r>
            <w:r>
              <w:rPr>
                <w:rFonts w:ascii="Arial" w:cs="Arial" w:eastAsia="Arial" w:hAnsi="Arial"/>
                <w:b w:val="false"/>
                <w:bCs w:val="false"/>
                <w:sz w:val="18"/>
                <w:szCs w:val="18"/>
              </w:rPr>
              <w:t xml:space="preserve"> (class </w:t>
            </w:r>
            <w:r>
              <w:rPr>
                <w:rFonts w:ascii="Consolas" w:cs="Consolas" w:eastAsia="Consolas" w:hAnsi="Consolas"/>
                <w:b w:val="false"/>
                <w:bCs w:val="false"/>
                <w:sz w:val="18"/>
                <w:szCs w:val="18"/>
              </w:rPr>
              <w:t xml:space="preserve">ZCL_MM_301_GR_TRIGGER</w:t>
            </w:r>
            <w:r>
              <w:rPr>
                <w:rFonts w:ascii="Arial" w:cs="Arial" w:eastAsia="Arial" w:hAnsi="Arial"/>
                <w:b w:val="false"/>
                <w:bCs w:val="false"/>
                <w:sz w:val="18"/>
                <w:szCs w:val="18"/>
              </w:rPr>
              <w:t xml:space="preserve">). The method is called by the posting program in the posting LUW immediately before the update task is triggered – it is not the update-task method (that is MB_DOCUMENT_UPDATE, not used) – and receives the document header and item tables (XMKPF, XMSEG).</w:t>
            </w:r>
          </w:p>
        </w:tc>
        <w:tc>
          <w:tcPr>
            <w:tcW w:type="dxa" w:w="24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A document item with movement type 101 or 102, a populated production order, a plant carrying an active </w:t>
            </w:r>
            <w:r>
              <w:rPr>
                <w:rFonts w:ascii="Consolas" w:cs="Consolas" w:eastAsia="Consolas" w:hAnsi="Consolas"/>
                <w:b w:val="false"/>
                <w:bCs w:val="false"/>
                <w:sz w:val="18"/>
                <w:szCs w:val="18"/>
              </w:rPr>
              <w:t xml:space="preserve">ZMM_301_CTRL</w:t>
            </w:r>
            <w:r>
              <w:rPr>
                <w:rFonts w:ascii="Arial" w:cs="Arial" w:eastAsia="Arial" w:hAnsi="Arial"/>
                <w:b w:val="false"/>
                <w:bCs w:val="false"/>
                <w:sz w:val="18"/>
                <w:szCs w:val="18"/>
              </w:rPr>
              <w:t xml:space="preserve"> entry, a posting date inside the activation window, and a material equal to the order’s header material (section 4.3 step 1).</w:t>
            </w:r>
          </w:p>
        </w:tc>
        <w:tc>
          <w:tcPr>
            <w:tcW w:type="dxa" w:w="2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Registers the queued posting unit for that item with the source keys and the reversal flag (section 4.3 step 2). Performs no posting and no database write, so the goods receipt’s posting is unaffected in both runtime and outcome; the registered unit runs only if the receipt commits.</w:t>
            </w:r>
          </w:p>
        </w:tc>
      </w:tr>
      <w:tr>
        <w:trPr>
          <w:tblHeader w:val="false"/>
        </w:trPr>
        <w:tc>
          <w:tcPr>
            <w:tcW w:type="dxa" w:w="24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Follow-on posting unit – function module </w:t>
            </w:r>
            <w:r>
              <w:rPr>
                <w:rFonts w:ascii="Consolas" w:cs="Consolas" w:eastAsia="Consolas" w:hAnsi="Consolas"/>
                <w:b w:val="false"/>
                <w:bCs w:val="false"/>
                <w:sz w:val="18"/>
                <w:szCs w:val="18"/>
              </w:rPr>
              <w:t xml:space="preserve">Z_MM_301_POST_TRANSFER</w:t>
            </w:r>
          </w:p>
        </w:tc>
        <w:tc>
          <w:tcPr>
            <w:tcW w:type="dxa" w:w="26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Registered by the BAdI implementation to run immediately after the goods receipt commits, in its own logical unit of work.</w:t>
            </w:r>
          </w:p>
        </w:tc>
        <w:tc>
          <w:tcPr>
            <w:tcW w:type="dxa" w:w="24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Executed once per registered source goods-receipt item, and again on demand from the monitor’s repost and catch-up modes.</w:t>
            </w:r>
          </w:p>
        </w:tc>
        <w:tc>
          <w:tcPr>
            <w:tcW w:type="dxa" w:w="2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Executes section 4.3 steps 3 to 11: idempotency check, source re-read, control check, reversal or transfer, reservation lookup, fiscal-year and valuation-type resolution, the 301 (or 302) posting with its own commit or rollback, and the movement-log and application-log entries.</w:t>
            </w:r>
          </w:p>
        </w:tc>
      </w:tr>
      <w:tr>
        <w:trPr>
          <w:tblHeader w:val="false"/>
        </w:trPr>
        <w:tc>
          <w:tcPr>
            <w:tcW w:type="dxa" w:w="24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Fallback – legacy exit </w:t>
            </w:r>
            <w:r>
              <w:rPr>
                <w:rFonts w:ascii="Consolas" w:cs="Consolas" w:eastAsia="Consolas" w:hAnsi="Consolas"/>
                <w:b w:val="false"/>
                <w:bCs w:val="false"/>
                <w:sz w:val="18"/>
                <w:szCs w:val="18"/>
              </w:rPr>
              <w:t xml:space="preserve">MB_CF001</w:t>
            </w:r>
          </w:p>
        </w:tc>
        <w:tc>
          <w:tcPr>
            <w:tcW w:type="dxa" w:w="26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Only if </w:t>
            </w:r>
            <w:r>
              <w:rPr>
                <w:rFonts w:ascii="Consolas" w:cs="Consolas" w:eastAsia="Consolas" w:hAnsi="Consolas"/>
                <w:b w:val="false"/>
                <w:bCs w:val="false"/>
                <w:sz w:val="18"/>
                <w:szCs w:val="18"/>
              </w:rPr>
              <w:t xml:space="preserve">MB_DOCUMENT_BADI</w:t>
            </w:r>
            <w:r>
              <w:rPr>
                <w:rFonts w:ascii="Arial" w:cs="Arial" w:eastAsia="Arial" w:hAnsi="Arial"/>
                <w:b w:val="false"/>
                <w:bCs w:val="false"/>
                <w:sz w:val="18"/>
                <w:szCs w:val="18"/>
              </w:rPr>
              <w:t xml:space="preserve"> proves unavailable or does not fire for every goods-receipt channel in the target release (open item M1).</w:t>
            </w:r>
          </w:p>
        </w:tc>
        <w:tc>
          <w:tcPr>
            <w:tcW w:type="dxa" w:w="24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Same conditions as the BAdI implementation.</w:t>
            </w:r>
          </w:p>
        </w:tc>
        <w:tc>
          <w:tcPr>
            <w:tcW w:type="dxa" w:w="2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Same behaviour: classify and register the queued unit. The posting function </w:t>
            </w:r>
            <w:r>
              <w:rPr>
                <w:rFonts w:ascii="Consolas" w:cs="Consolas" w:eastAsia="Consolas" w:hAnsi="Consolas"/>
                <w:b w:val="false"/>
                <w:bCs w:val="false"/>
                <w:sz w:val="18"/>
                <w:szCs w:val="18"/>
              </w:rPr>
              <w:t xml:space="preserve">Z_MM_301_POST_TRANSFER</w:t>
            </w:r>
            <w:r>
              <w:rPr>
                <w:rFonts w:ascii="Arial" w:cs="Arial" w:eastAsia="Arial" w:hAnsi="Arial"/>
                <w:b w:val="false"/>
                <w:bCs w:val="false"/>
                <w:sz w:val="18"/>
                <w:szCs w:val="18"/>
              </w:rPr>
              <w:t xml:space="preserve"> is unchanged, because the trigger is deliberately kept separate from the posting logic.</w:t>
            </w:r>
          </w:p>
        </w:tc>
      </w:tr>
    </w:tbl>
    <w:p>
      <w:pPr>
        <w:pStyle w:val="Heading2"/>
        <w:spacing w:after="120" w:before="240"/>
      </w:pPr>
      <w:r>
        <w:rPr>
          <w:rFonts w:ascii="Arial" w:cs="Arial" w:eastAsia="Arial" w:hAnsi="Arial"/>
          <w:b/>
          <w:bCs/>
          <w:color w:val="005B9A"/>
          <w:sz w:val="24"/>
          <w:szCs w:val="24"/>
        </w:rPr>
        <w:t xml:space="preserve">4.5 Language Considerations</w:t>
      </w:r>
    </w:p>
    <w:p>
      <w:pPr>
        <w:spacing w:after="100" w:before="0"/>
      </w:pPr>
      <w:r>
        <w:rPr>
          <w:rFonts w:ascii="Arial" w:cs="Arial" w:eastAsia="Arial" w:hAnsi="Arial"/>
          <w:sz w:val="18"/>
          <w:szCs w:val="18"/>
        </w:rPr>
        <w:t xml:space="preserve">English only. All messages are maintained in message class </w:t>
      </w:r>
      <w:r>
        <w:rPr>
          <w:rFonts w:ascii="Consolas" w:cs="Consolas" w:eastAsia="Consolas" w:hAnsi="Consolas"/>
          <w:sz w:val="18"/>
          <w:szCs w:val="18"/>
        </w:rPr>
        <w:t xml:space="preserve">ZMM301</w:t>
      </w:r>
      <w:r>
        <w:rPr>
          <w:rFonts w:ascii="Arial" w:cs="Arial" w:eastAsia="Arial" w:hAnsi="Arial"/>
          <w:sz w:val="18"/>
          <w:szCs w:val="18"/>
        </w:rPr>
        <w:t xml:space="preserve">, shared with the companion object; the monitor report’s texts are maintained as text elements. No hard-coded literals and no translation into further languages are required.</w:t>
      </w:r>
    </w:p>
    <w:p>
      <w:pPr>
        <w:pStyle w:val="Heading2"/>
        <w:spacing w:after="120" w:before="240"/>
      </w:pPr>
      <w:r>
        <w:rPr>
          <w:rFonts w:ascii="Arial" w:cs="Arial" w:eastAsia="Arial" w:hAnsi="Arial"/>
          <w:b/>
          <w:bCs/>
          <w:color w:val="005B9A"/>
          <w:sz w:val="24"/>
          <w:szCs w:val="24"/>
        </w:rPr>
        <w:t xml:space="preserve">4.6 Execution / Trigger</w:t>
      </w:r>
    </w:p>
    <w:p>
      <w:pPr>
        <w:spacing w:after="100" w:before="0"/>
      </w:pPr>
      <w:r>
        <w:rPr>
          <w:rFonts w:ascii="Arial" w:cs="Arial" w:eastAsia="Arial" w:hAnsi="Arial"/>
          <w:sz w:val="18"/>
          <w:szCs w:val="18"/>
        </w:rPr>
        <w:t xml:space="preserve">The transfer itself has no transaction: it is triggered by the goods-receipt posting, through whichever channel posts it – MIGO, MB31, CO11N auto-receipt or MFBF backflush. The user-facing entry point is transaction </w:t>
      </w:r>
      <w:r>
        <w:rPr>
          <w:rFonts w:ascii="Consolas" w:cs="Consolas" w:eastAsia="Consolas" w:hAnsi="Consolas"/>
          <w:sz w:val="18"/>
          <w:szCs w:val="18"/>
        </w:rPr>
        <w:t xml:space="preserve">ZMM301M</w:t>
      </w:r>
      <w:r>
        <w:rPr>
          <w:rFonts w:ascii="Arial" w:cs="Arial" w:eastAsia="Arial" w:hAnsi="Arial"/>
          <w:sz w:val="18"/>
          <w:szCs w:val="18"/>
        </w:rPr>
        <w:t xml:space="preserve"> (monitor, repost and catch-up), run by the MM key user and, in catch-up mode, scheduled as a background job with the optional self-rescheduling chain </w:t>
      </w:r>
      <w:r>
        <w:rPr>
          <w:rFonts w:ascii="Consolas" w:cs="Consolas" w:eastAsia="Consolas" w:hAnsi="Consolas"/>
          <w:sz w:val="18"/>
          <w:szCs w:val="18"/>
        </w:rPr>
        <w:t xml:space="preserve">ZMM301M_CHAIN</w:t>
      </w:r>
      <w:r>
        <w:rPr>
          <w:rFonts w:ascii="Arial" w:cs="Arial" w:eastAsia="Arial" w:hAnsi="Arial"/>
          <w:sz w:val="18"/>
          <w:szCs w:val="18"/>
        </w:rPr>
        <w:t xml:space="preserve">. The whole automation is switched on and off through the ACTIVE flag of </w:t>
      </w:r>
      <w:r>
        <w:rPr>
          <w:rFonts w:ascii="Consolas" w:cs="Consolas" w:eastAsia="Consolas" w:hAnsi="Consolas"/>
          <w:sz w:val="18"/>
          <w:szCs w:val="18"/>
        </w:rPr>
        <w:t xml:space="preserve">ZMM_301_CTRL</w:t>
      </w:r>
      <w:r>
        <w:rPr>
          <w:rFonts w:ascii="Arial" w:cs="Arial" w:eastAsia="Arial" w:hAnsi="Arial"/>
          <w:sz w:val="18"/>
          <w:szCs w:val="18"/>
        </w:rPr>
        <w:t xml:space="preserve">.</w:t>
      </w:r>
    </w:p>
    <w:p>
      <w:pPr>
        <w:pStyle w:val="Heading2"/>
        <w:spacing w:after="120" w:before="240"/>
      </w:pPr>
      <w:r>
        <w:rPr>
          <w:rFonts w:ascii="Arial" w:cs="Arial" w:eastAsia="Arial" w:hAnsi="Arial"/>
          <w:b/>
          <w:bCs/>
          <w:color w:val="005B9A"/>
          <w:sz w:val="24"/>
          <w:szCs w:val="24"/>
        </w:rPr>
        <w:t xml:space="preserve">4.7 Output Device / Printer Requirements</w:t>
      </w:r>
    </w:p>
    <w:p>
      <w:pPr>
        <w:spacing w:after="100" w:before="0"/>
      </w:pPr>
      <w:r>
        <w:rPr>
          <w:rFonts w:ascii="Arial" w:cs="Arial" w:eastAsia="Arial" w:hAnsi="Arial"/>
          <w:sz w:val="18"/>
          <w:szCs w:val="18"/>
        </w:rPr>
        <w:t xml:space="preserve">N/A. The object produces no printed output. The monitor report displays an ALV list online and writes a summary to the spool when it runs in the background; standard spool handling applies and no dedicated output device is required.</w:t>
      </w:r>
    </w:p>
    <w:p>
      <w:pPr>
        <w:pStyle w:val="Heading2"/>
        <w:spacing w:after="120" w:before="240"/>
      </w:pPr>
      <w:r>
        <w:rPr>
          <w:rFonts w:ascii="Arial" w:cs="Arial" w:eastAsia="Arial" w:hAnsi="Arial"/>
          <w:b/>
          <w:bCs/>
          <w:color w:val="005B9A"/>
          <w:sz w:val="24"/>
          <w:szCs w:val="24"/>
        </w:rPr>
        <w:t xml:space="preserve">4.8 Legal and Compliance Requirements</w:t>
      </w:r>
    </w:p>
    <w:p>
      <w:pPr>
        <w:spacing w:after="100" w:before="0"/>
      </w:pPr>
      <w:r>
        <w:rPr>
          <w:rFonts w:ascii="Arial" w:cs="Arial" w:eastAsia="Arial" w:hAnsi="Arial"/>
          <w:sz w:val="18"/>
          <w:szCs w:val="18"/>
        </w:rPr>
        <w:t xml:space="preserve">No legal or regulatory requirement has been identified for this object. Auditability is provided by design: every automatic transfer is recorded in </w:t>
      </w:r>
      <w:r>
        <w:rPr>
          <w:rFonts w:ascii="Consolas" w:cs="Consolas" w:eastAsia="Consolas" w:hAnsi="Consolas"/>
          <w:sz w:val="18"/>
          <w:szCs w:val="18"/>
        </w:rPr>
        <w:t xml:space="preserve">ZMM_301_MOV_LOG</w:t>
      </w:r>
      <w:r>
        <w:rPr>
          <w:rFonts w:ascii="Arial" w:cs="Arial" w:eastAsia="Arial" w:hAnsi="Arial"/>
          <w:sz w:val="18"/>
          <w:szCs w:val="18"/>
        </w:rPr>
        <w:t xml:space="preserve">, keyed by the source goods-receipt item, with the material document created, the valuation type applied and the reservation referenced; every monitor, repost and catch-up run is recorded in </w:t>
      </w:r>
      <w:r>
        <w:rPr>
          <w:rFonts w:ascii="Consolas" w:cs="Consolas" w:eastAsia="Consolas" w:hAnsi="Consolas"/>
          <w:sz w:val="18"/>
          <w:szCs w:val="18"/>
        </w:rPr>
        <w:t xml:space="preserve">ZMM_301_MOV_RUN_LOG</w:t>
      </w:r>
      <w:r>
        <w:rPr>
          <w:rFonts w:ascii="Arial" w:cs="Arial" w:eastAsia="Arial" w:hAnsi="Arial"/>
          <w:sz w:val="18"/>
          <w:szCs w:val="18"/>
        </w:rPr>
        <w:t xml:space="preserve">; and both write to the application log. The valuation-type rule has an accounting consequence – stock is valued in the fiscal year of the posting date – which is why a missing mapping is a hard error rather than a defaulted value. The only personal data held is the SAP user name of the posting or executing user. Retention of the log tables is covered by the housekeeping report in section 5.5.</w:t>
      </w:r>
    </w:p>
    <w:p>
      <w:pPr>
        <w:pStyle w:val="Heading2"/>
        <w:spacing w:after="120" w:before="240"/>
      </w:pPr>
      <w:r>
        <w:rPr>
          <w:rFonts w:ascii="Arial" w:cs="Arial" w:eastAsia="Arial" w:hAnsi="Arial"/>
          <w:b/>
          <w:bCs/>
          <w:color w:val="005B9A"/>
          <w:sz w:val="24"/>
          <w:szCs w:val="24"/>
        </w:rPr>
        <w:t xml:space="preserve">4.9 Reuse of Existing Objects</w:t>
      </w:r>
    </w:p>
    <w:p>
      <w:pPr>
        <w:spacing w:after="100" w:before="0"/>
      </w:pPr>
      <w:r>
        <w:rPr>
          <w:rFonts w:ascii="Arial" w:cs="Arial" w:eastAsia="Arial" w:hAnsi="Arial"/>
          <w:sz w:val="18"/>
          <w:szCs w:val="18"/>
        </w:rPr>
        <w:t xml:space="preserve">Standard SAP is reused wherever it exists: the standard enhancement </w:t>
      </w:r>
      <w:r>
        <w:rPr>
          <w:rFonts w:ascii="Consolas" w:cs="Consolas" w:eastAsia="Consolas" w:hAnsi="Consolas"/>
          <w:sz w:val="18"/>
          <w:szCs w:val="18"/>
        </w:rPr>
        <w:t xml:space="preserve">MB_DOCUMENT_BADI</w:t>
      </w:r>
      <w:r>
        <w:rPr>
          <w:rFonts w:ascii="Arial" w:cs="Arial" w:eastAsia="Arial" w:hAnsi="Arial"/>
          <w:sz w:val="18"/>
          <w:szCs w:val="18"/>
        </w:rPr>
        <w:t xml:space="preserve"> rather than a modification, </w:t>
      </w:r>
      <w:r>
        <w:rPr>
          <w:rFonts w:ascii="Consolas" w:cs="Consolas" w:eastAsia="Consolas" w:hAnsi="Consolas"/>
          <w:sz w:val="18"/>
          <w:szCs w:val="18"/>
        </w:rPr>
        <w:t xml:space="preserve">BAPI_GOODS_MOVEMENT_CREATE</w:t>
      </w:r>
      <w:r>
        <w:rPr>
          <w:rFonts w:ascii="Arial" w:cs="Arial" w:eastAsia="Arial" w:hAnsi="Arial"/>
          <w:sz w:val="18"/>
          <w:szCs w:val="18"/>
        </w:rPr>
        <w:t xml:space="preserve"> for the transfer and the standard cancellation BAPI for the reversal, and standard queued-RFC infrastructure for the decoupling. Transaction MB1B remains available for manual corrections. Within the migration solution this object shares the control table </w:t>
      </w:r>
      <w:r>
        <w:rPr>
          <w:rFonts w:ascii="Consolas" w:cs="Consolas" w:eastAsia="Consolas" w:hAnsi="Consolas"/>
          <w:sz w:val="18"/>
          <w:szCs w:val="18"/>
        </w:rPr>
        <w:t xml:space="preserve">ZMM_301_CTRL</w:t>
      </w:r>
      <w:r>
        <w:rPr>
          <w:rFonts w:ascii="Arial" w:cs="Arial" w:eastAsia="Arial" w:hAnsi="Arial"/>
          <w:sz w:val="18"/>
          <w:szCs w:val="18"/>
        </w:rPr>
        <w:t xml:space="preserve">, the reservation link table </w:t>
      </w:r>
      <w:r>
        <w:rPr>
          <w:rFonts w:ascii="Consolas" w:cs="Consolas" w:eastAsia="Consolas" w:hAnsi="Consolas"/>
          <w:sz w:val="18"/>
          <w:szCs w:val="18"/>
        </w:rPr>
        <w:t xml:space="preserve">ZMM_301_RESV_LOG</w:t>
      </w:r>
      <w:r>
        <w:rPr>
          <w:rFonts w:ascii="Arial" w:cs="Arial" w:eastAsia="Arial" w:hAnsi="Arial"/>
          <w:sz w:val="18"/>
          <w:szCs w:val="18"/>
        </w:rPr>
        <w:t xml:space="preserve">, the message class </w:t>
      </w:r>
      <w:r>
        <w:rPr>
          <w:rFonts w:ascii="Consolas" w:cs="Consolas" w:eastAsia="Consolas" w:hAnsi="Consolas"/>
          <w:sz w:val="18"/>
          <w:szCs w:val="18"/>
        </w:rPr>
        <w:t xml:space="preserve">ZMM301</w:t>
      </w:r>
      <w:r>
        <w:rPr>
          <w:rFonts w:ascii="Arial" w:cs="Arial" w:eastAsia="Arial" w:hAnsi="Arial"/>
          <w:sz w:val="18"/>
          <w:szCs w:val="18"/>
        </w:rPr>
        <w:t xml:space="preserve"> and the package </w:t>
      </w:r>
      <w:r>
        <w:rPr>
          <w:rFonts w:ascii="Consolas" w:cs="Consolas" w:eastAsia="Consolas" w:hAnsi="Consolas"/>
          <w:sz w:val="18"/>
          <w:szCs w:val="18"/>
        </w:rPr>
        <w:t xml:space="preserve">Z_MM_INVENTORY</w:t>
      </w:r>
      <w:r>
        <w:rPr>
          <w:rFonts w:ascii="Arial" w:cs="Arial" w:eastAsia="Arial" w:hAnsi="Arial"/>
          <w:sz w:val="18"/>
          <w:szCs w:val="18"/>
        </w:rPr>
        <w:t xml:space="preserve"> with the companion object R-xxx-SEG. The self-rescheduling pattern used by the catch-up sweep is the one specified for the companion object and is implemented once per report rather than in a shared framework, which is recorded as a build decision.</w:t>
      </w:r>
    </w:p>
    <w:p>
      <w:pPr>
        <w:pStyle w:val="Heading2"/>
        <w:spacing w:after="120" w:before="240"/>
      </w:pPr>
      <w:r>
        <w:rPr>
          <w:rFonts w:ascii="Arial" w:cs="Arial" w:eastAsia="Arial" w:hAnsi="Arial"/>
          <w:b/>
          <w:bCs/>
          <w:color w:val="005B9A"/>
          <w:sz w:val="24"/>
          <w:szCs w:val="24"/>
        </w:rPr>
        <w:t xml:space="preserve">4.10 Error Handling</w:t>
      </w:r>
    </w:p>
    <w:p>
      <w:pPr>
        <w:spacing w:after="100" w:before="0"/>
      </w:pPr>
      <w:r>
        <w:rPr>
          <w:rFonts w:ascii="Arial" w:cs="Arial" w:eastAsia="Arial" w:hAnsi="Arial"/>
          <w:sz w:val="18"/>
          <w:szCs w:val="18"/>
          <w:b/>
          <w:bCs/>
        </w:rPr>
        <w:t xml:space="preserve">E1 – No reservation exists for the production order</w:t>
      </w:r>
    </w:p>
    <w:tbl>
      <w:tblPr>
        <w:tblW w:type="dxa" w:w="9700"/>
        <w:tblBorders>
          <w:top w:val="single" w:color="AAB4BE" w:sz="4"/>
          <w:left w:val="single" w:color="AAB4BE" w:sz="4"/>
          <w:bottom w:val="single" w:color="AAB4BE" w:sz="4"/>
          <w:right w:val="single" w:color="AAB4BE" w:sz="4"/>
          <w:insideH w:val="single" w:color="AAB4BE" w:sz="4"/>
          <w:insideV w:val="single" w:color="AAB4BE" w:sz="4"/>
        </w:tblBorders>
      </w:tblPr>
      <w:tblGrid>
        <w:gridCol w:w="2600"/>
        <w:gridCol w:w="7100"/>
      </w:tblGrid>
      <w:tr>
        <w:tc>
          <w:tcPr>
            <w:tcW w:type="dxa" w:w="26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Detection</w:t>
            </w:r>
          </w:p>
        </w:tc>
        <w:tc>
          <w:tcPr>
            <w:tcW w:type="dxa" w:w="7100"/>
            <w:tcMar>
              <w:top w:type="dxa" w:w="60"/>
              <w:left w:type="dxa" w:w="100"/>
              <w:bottom w:type="dxa" w:w="60"/>
              <w:right w:type="dxa" w:w="100"/>
            </w:tcMar>
          </w:tcPr>
          <w:p>
            <w:pPr>
              <w:spacing w:after="40" w:before="0"/>
            </w:pPr>
            <w:r>
              <w:rPr>
                <w:rFonts w:ascii="Arial" w:cs="Arial" w:eastAsia="Arial" w:hAnsi="Arial"/>
                <w:sz w:val="18"/>
                <w:szCs w:val="18"/>
              </w:rPr>
              <w:t xml:space="preserve">No row in </w:t>
            </w:r>
            <w:r>
              <w:rPr>
                <w:rFonts w:ascii="Consolas" w:cs="Consolas" w:eastAsia="Consolas" w:hAnsi="Consolas"/>
                <w:sz w:val="18"/>
                <w:szCs w:val="18"/>
              </w:rPr>
              <w:t xml:space="preserve">ZMM_301_RESV_LOG</w:t>
            </w:r>
            <w:r>
              <w:rPr>
                <w:rFonts w:ascii="Arial" w:cs="Arial" w:eastAsia="Arial" w:hAnsi="Arial"/>
                <w:sz w:val="18"/>
                <w:szCs w:val="18"/>
              </w:rPr>
              <w:t xml:space="preserve"> for the order, or the RESB item is not open (section 4.3 step 7).</w:t>
            </w:r>
          </w:p>
        </w:tc>
      </w:tr>
      <w:tr>
        <w:tc>
          <w:tcPr>
            <w:tcW w:type="dxa" w:w="26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Response</w:t>
            </w:r>
          </w:p>
        </w:tc>
        <w:tc>
          <w:tcPr>
            <w:tcW w:type="dxa" w:w="7100"/>
            <w:tcMar>
              <w:top w:type="dxa" w:w="60"/>
              <w:left w:type="dxa" w:w="100"/>
              <w:bottom w:type="dxa" w:w="60"/>
              <w:right w:type="dxa" w:w="100"/>
            </w:tcMar>
          </w:tcPr>
          <w:p>
            <w:pPr>
              <w:spacing w:after="40" w:before="0"/>
            </w:pPr>
            <w:r>
              <w:rPr>
                <w:rFonts w:ascii="Arial" w:cs="Arial" w:eastAsia="Arial" w:hAnsi="Arial"/>
                <w:sz w:val="18"/>
                <w:szCs w:val="18"/>
              </w:rPr>
              <w:t xml:space="preserve">Warning. Behaviour follows </w:t>
            </w:r>
            <w:r>
              <w:rPr>
                <w:rFonts w:ascii="Consolas" w:cs="Consolas" w:eastAsia="Consolas" w:hAnsi="Consolas"/>
                <w:sz w:val="18"/>
                <w:szCs w:val="18"/>
              </w:rPr>
              <w:t xml:space="preserve">ZMM_301_CTRL-NO_RESV_ACTION</w:t>
            </w:r>
            <w:r>
              <w:rPr>
                <w:rFonts w:ascii="Arial" w:cs="Arial" w:eastAsia="Arial" w:hAnsi="Arial"/>
                <w:sz w:val="18"/>
                <w:szCs w:val="18"/>
              </w:rPr>
              <w:t xml:space="preserve">: </w:t>
            </w:r>
            <w:r>
              <w:rPr>
                <w:rFonts w:ascii="Arial" w:cs="Arial" w:eastAsia="Arial" w:hAnsi="Arial"/>
                <w:sz w:val="18"/>
                <w:szCs w:val="18"/>
                <w:b/>
                <w:bCs/>
              </w:rPr>
              <w:t xml:space="preserve">P</w:t>
            </w:r>
            <w:r>
              <w:rPr>
                <w:rFonts w:ascii="Arial" w:cs="Arial" w:eastAsia="Arial" w:hAnsi="Arial"/>
                <w:sz w:val="18"/>
                <w:szCs w:val="18"/>
              </w:rPr>
              <w:t xml:space="preserve"> posts the 301 without a reservation reference; </w:t>
            </w:r>
            <w:r>
              <w:rPr>
                <w:rFonts w:ascii="Arial" w:cs="Arial" w:eastAsia="Arial" w:hAnsi="Arial"/>
                <w:sz w:val="18"/>
                <w:szCs w:val="18"/>
                <w:b/>
                <w:bCs/>
              </w:rPr>
              <w:t xml:space="preserve">S</w:t>
            </w:r>
            <w:r>
              <w:rPr>
                <w:rFonts w:ascii="Arial" w:cs="Arial" w:eastAsia="Arial" w:hAnsi="Arial"/>
                <w:sz w:val="18"/>
                <w:szCs w:val="18"/>
              </w:rPr>
              <w:t xml:space="preserve"> skips the transfer.</w:t>
            </w:r>
          </w:p>
        </w:tc>
      </w:tr>
      <w:tr>
        <w:tc>
          <w:tcPr>
            <w:tcW w:type="dxa" w:w="26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Notification</w:t>
            </w:r>
          </w:p>
        </w:tc>
        <w:tc>
          <w:tcPr>
            <w:tcW w:type="dxa" w:w="7100"/>
            <w:tcMar>
              <w:top w:type="dxa" w:w="60"/>
              <w:left w:type="dxa" w:w="100"/>
              <w:bottom w:type="dxa" w:w="60"/>
              <w:right w:type="dxa" w:w="100"/>
            </w:tcMar>
          </w:tcPr>
          <w:p>
            <w:pPr>
              <w:spacing w:after="40" w:before="0"/>
            </w:pPr>
            <w:r>
              <w:rPr>
                <w:rFonts w:ascii="Consolas" w:cs="Consolas" w:eastAsia="Consolas" w:hAnsi="Consolas"/>
                <w:sz w:val="18"/>
                <w:szCs w:val="18"/>
              </w:rPr>
              <w:t xml:space="preserve">ZMM301</w:t>
            </w:r>
            <w:r>
              <w:rPr>
                <w:rFonts w:ascii="Arial" w:cs="Arial" w:eastAsia="Arial" w:hAnsi="Arial"/>
                <w:sz w:val="18"/>
                <w:szCs w:val="18"/>
              </w:rPr>
              <w:t xml:space="preserve"> – warning, status W in </w:t>
            </w:r>
            <w:r>
              <w:rPr>
                <w:rFonts w:ascii="Consolas" w:cs="Consolas" w:eastAsia="Consolas" w:hAnsi="Consolas"/>
                <w:sz w:val="18"/>
                <w:szCs w:val="18"/>
              </w:rPr>
              <w:t xml:space="preserve">ZMM_301_MOV_LOG</w:t>
            </w:r>
            <w:r>
              <w:rPr>
                <w:rFonts w:ascii="Arial" w:cs="Arial" w:eastAsia="Arial" w:hAnsi="Arial"/>
                <w:sz w:val="18"/>
                <w:szCs w:val="18"/>
              </w:rPr>
              <w:t xml:space="preserve">.</w:t>
            </w:r>
          </w:p>
        </w:tc>
      </w:tr>
      <w:tr>
        <w:tc>
          <w:tcPr>
            <w:tcW w:type="dxa" w:w="26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Impact</w:t>
            </w:r>
          </w:p>
        </w:tc>
        <w:tc>
          <w:tcPr>
            <w:tcW w:type="dxa" w:w="7100"/>
            <w:tcMar>
              <w:top w:type="dxa" w:w="60"/>
              <w:left w:type="dxa" w:w="100"/>
              <w:bottom w:type="dxa" w:w="60"/>
              <w:right w:type="dxa" w:w="100"/>
            </w:tcMar>
          </w:tcPr>
          <w:p>
            <w:pPr>
              <w:spacing w:after="40" w:before="0"/>
            </w:pPr>
            <w:r>
              <w:rPr>
                <w:rFonts w:ascii="Arial" w:cs="Arial" w:eastAsia="Arial" w:hAnsi="Arial"/>
                <w:sz w:val="18"/>
                <w:szCs w:val="18"/>
              </w:rPr>
              <w:t xml:space="preserve">With </w:t>
            </w:r>
            <w:r>
              <w:rPr>
                <w:rFonts w:ascii="Arial" w:cs="Arial" w:eastAsia="Arial" w:hAnsi="Arial"/>
                <w:sz w:val="18"/>
                <w:szCs w:val="18"/>
                <w:b/>
                <w:bCs/>
              </w:rPr>
              <w:t xml:space="preserve">P</w:t>
            </w:r>
            <w:r>
              <w:rPr>
                <w:rFonts w:ascii="Arial" w:cs="Arial" w:eastAsia="Arial" w:hAnsi="Arial"/>
                <w:sz w:val="18"/>
                <w:szCs w:val="18"/>
              </w:rPr>
              <w:t xml:space="preserve"> the stock reaches the receiving plant but the reservation is not consumed, so the companion object realigns it on its next run. With </w:t>
            </w:r>
            <w:r>
              <w:rPr>
                <w:rFonts w:ascii="Arial" w:cs="Arial" w:eastAsia="Arial" w:hAnsi="Arial"/>
                <w:sz w:val="18"/>
                <w:szCs w:val="18"/>
                <w:b/>
                <w:bCs/>
              </w:rPr>
              <w:t xml:space="preserve">S</w:t>
            </w:r>
            <w:r>
              <w:rPr>
                <w:rFonts w:ascii="Arial" w:cs="Arial" w:eastAsia="Arial" w:hAnsi="Arial"/>
                <w:sz w:val="18"/>
                <w:szCs w:val="18"/>
              </w:rPr>
              <w:t xml:space="preserve"> the stock stays in the issuing plant until the reservation exists and the transfer is reposted.</w:t>
            </w:r>
          </w:p>
        </w:tc>
      </w:tr>
      <w:tr>
        <w:tc>
          <w:tcPr>
            <w:tcW w:type="dxa" w:w="26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Resolution</w:t>
            </w:r>
          </w:p>
        </w:tc>
        <w:tc>
          <w:tcPr>
            <w:tcW w:type="dxa" w:w="7100"/>
            <w:tcMar>
              <w:top w:type="dxa" w:w="60"/>
              <w:left w:type="dxa" w:w="100"/>
              <w:bottom w:type="dxa" w:w="60"/>
              <w:right w:type="dxa" w:w="100"/>
            </w:tcMar>
          </w:tcPr>
          <w:p>
            <w:pPr>
              <w:spacing w:after="40" w:before="0"/>
            </w:pPr>
            <w:r>
              <w:rPr>
                <w:rFonts w:ascii="Arial" w:cs="Arial" w:eastAsia="Arial" w:hAnsi="Arial"/>
                <w:sz w:val="18"/>
                <w:szCs w:val="18"/>
              </w:rPr>
              <w:t xml:space="preserve">None usually required: the companion object creates the reservation on its next run and the monitor’s repost or catch-up posts the transfer. Investigate if the warning recurs, as it means the reservation program is not keeping up.</w:t>
            </w:r>
          </w:p>
        </w:tc>
      </w:tr>
    </w:tbl>
    <w:p>
      <w:pPr>
        <w:spacing w:after="100" w:before="0"/>
      </w:pPr>
      <w:r>
        <w:rPr>
          <w:rFonts w:ascii="Arial" w:cs="Arial" w:eastAsia="Arial" w:hAnsi="Arial"/>
          <w:sz w:val="18"/>
          <w:szCs w:val="18"/>
          <w:b/>
          <w:bCs/>
        </w:rPr>
        <w:t xml:space="preserve">E2 – The 301 posting returns an error</w:t>
      </w:r>
    </w:p>
    <w:tbl>
      <w:tblPr>
        <w:tblW w:type="dxa" w:w="9700"/>
        <w:tblBorders>
          <w:top w:val="single" w:color="AAB4BE" w:sz="4"/>
          <w:left w:val="single" w:color="AAB4BE" w:sz="4"/>
          <w:bottom w:val="single" w:color="AAB4BE" w:sz="4"/>
          <w:right w:val="single" w:color="AAB4BE" w:sz="4"/>
          <w:insideH w:val="single" w:color="AAB4BE" w:sz="4"/>
          <w:insideV w:val="single" w:color="AAB4BE" w:sz="4"/>
        </w:tblBorders>
      </w:tblPr>
      <w:tblGrid>
        <w:gridCol w:w="2600"/>
        <w:gridCol w:w="7100"/>
      </w:tblGrid>
      <w:tr>
        <w:tc>
          <w:tcPr>
            <w:tcW w:type="dxa" w:w="26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Detection</w:t>
            </w:r>
          </w:p>
        </w:tc>
        <w:tc>
          <w:tcPr>
            <w:tcW w:type="dxa" w:w="7100"/>
            <w:tcMar>
              <w:top w:type="dxa" w:w="60"/>
              <w:left w:type="dxa" w:w="100"/>
              <w:bottom w:type="dxa" w:w="60"/>
              <w:right w:type="dxa" w:w="100"/>
            </w:tcMar>
          </w:tcPr>
          <w:p>
            <w:pPr>
              <w:spacing w:after="40" w:before="0"/>
            </w:pPr>
            <w:r>
              <w:rPr>
                <w:rFonts w:ascii="Arial" w:cs="Arial" w:eastAsia="Arial" w:hAnsi="Arial"/>
                <w:sz w:val="18"/>
                <w:szCs w:val="18"/>
              </w:rPr>
              <w:t xml:space="preserve">The goods-movement BAPI returns a message of type E or A (section 4.3 step 10).</w:t>
            </w:r>
          </w:p>
        </w:tc>
      </w:tr>
      <w:tr>
        <w:tc>
          <w:tcPr>
            <w:tcW w:type="dxa" w:w="26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Response</w:t>
            </w:r>
          </w:p>
        </w:tc>
        <w:tc>
          <w:tcPr>
            <w:tcW w:type="dxa" w:w="7100"/>
            <w:tcMar>
              <w:top w:type="dxa" w:w="60"/>
              <w:left w:type="dxa" w:w="100"/>
              <w:bottom w:type="dxa" w:w="60"/>
              <w:right w:type="dxa" w:w="100"/>
            </w:tcMar>
          </w:tcPr>
          <w:p>
            <w:pPr>
              <w:spacing w:after="40" w:before="0"/>
            </w:pPr>
            <w:r>
              <w:rPr>
                <w:rFonts w:ascii="Arial" w:cs="Arial" w:eastAsia="Arial" w:hAnsi="Arial"/>
                <w:sz w:val="18"/>
                <w:szCs w:val="18"/>
              </w:rPr>
              <w:t xml:space="preserve">Error. Only the transfer is rolled back. </w:t>
            </w:r>
            <w:r>
              <w:rPr>
                <w:rFonts w:ascii="Arial" w:cs="Arial" w:eastAsia="Arial" w:hAnsi="Arial"/>
                <w:sz w:val="18"/>
                <w:szCs w:val="18"/>
                <w:b/>
                <w:bCs/>
              </w:rPr>
              <w:t xml:space="preserve">The goods receipt is already committed and is untouched.</w:t>
            </w:r>
          </w:p>
        </w:tc>
      </w:tr>
      <w:tr>
        <w:tc>
          <w:tcPr>
            <w:tcW w:type="dxa" w:w="26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Notification</w:t>
            </w:r>
          </w:p>
        </w:tc>
        <w:tc>
          <w:tcPr>
            <w:tcW w:type="dxa" w:w="7100"/>
            <w:tcMar>
              <w:top w:type="dxa" w:w="60"/>
              <w:left w:type="dxa" w:w="100"/>
              <w:bottom w:type="dxa" w:w="60"/>
              <w:right w:type="dxa" w:w="100"/>
            </w:tcMar>
          </w:tcPr>
          <w:p>
            <w:pPr>
              <w:spacing w:after="40" w:before="0"/>
            </w:pPr>
            <w:r>
              <w:rPr>
                <w:rFonts w:ascii="Arial" w:cs="Arial" w:eastAsia="Arial" w:hAnsi="Arial"/>
                <w:sz w:val="18"/>
                <w:szCs w:val="18"/>
              </w:rPr>
              <w:t xml:space="preserve">The BAPI message text is written to </w:t>
            </w:r>
            <w:r>
              <w:rPr>
                <w:rFonts w:ascii="Consolas" w:cs="Consolas" w:eastAsia="Consolas" w:hAnsi="Consolas"/>
                <w:sz w:val="18"/>
                <w:szCs w:val="18"/>
              </w:rPr>
              <w:t xml:space="preserve">ZMM_301_MOV_LOG</w:t>
            </w:r>
            <w:r>
              <w:rPr>
                <w:rFonts w:ascii="Arial" w:cs="Arial" w:eastAsia="Arial" w:hAnsi="Arial"/>
                <w:sz w:val="18"/>
                <w:szCs w:val="18"/>
              </w:rPr>
              <w:t xml:space="preserve"> with status E and to the application log </w:t>
            </w:r>
            <w:r>
              <w:rPr>
                <w:rFonts w:ascii="Consolas" w:cs="Consolas" w:eastAsia="Consolas" w:hAnsi="Consolas"/>
                <w:sz w:val="18"/>
                <w:szCs w:val="18"/>
              </w:rPr>
              <w:t xml:space="preserve">ZMM</w:t>
            </w:r>
            <w:r>
              <w:rPr>
                <w:rFonts w:ascii="Arial" w:cs="Arial" w:eastAsia="Arial" w:hAnsi="Arial"/>
                <w:sz w:val="18"/>
                <w:szCs w:val="18"/>
              </w:rPr>
              <w:t xml:space="preserve"> / </w:t>
            </w:r>
            <w:r>
              <w:rPr>
                <w:rFonts w:ascii="Consolas" w:cs="Consolas" w:eastAsia="Consolas" w:hAnsi="Consolas"/>
                <w:sz w:val="18"/>
                <w:szCs w:val="18"/>
              </w:rPr>
              <w:t xml:space="preserve">Z301MOV</w:t>
            </w:r>
            <w:r>
              <w:rPr>
                <w:rFonts w:ascii="Arial" w:cs="Arial" w:eastAsia="Arial" w:hAnsi="Arial"/>
                <w:sz w:val="18"/>
                <w:szCs w:val="18"/>
              </w:rPr>
              <w:t xml:space="preserve">.</w:t>
            </w:r>
          </w:p>
        </w:tc>
      </w:tr>
      <w:tr>
        <w:tc>
          <w:tcPr>
            <w:tcW w:type="dxa" w:w="26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Impact</w:t>
            </w:r>
          </w:p>
        </w:tc>
        <w:tc>
          <w:tcPr>
            <w:tcW w:type="dxa" w:w="7100"/>
            <w:tcMar>
              <w:top w:type="dxa" w:w="60"/>
              <w:left w:type="dxa" w:w="100"/>
              <w:bottom w:type="dxa" w:w="60"/>
              <w:right w:type="dxa" w:w="100"/>
            </w:tcMar>
          </w:tcPr>
          <w:p>
            <w:pPr>
              <w:spacing w:after="40" w:before="0"/>
            </w:pPr>
            <w:r>
              <w:rPr>
                <w:rFonts w:ascii="Arial" w:cs="Arial" w:eastAsia="Arial" w:hAnsi="Arial"/>
                <w:sz w:val="18"/>
                <w:szCs w:val="18"/>
              </w:rPr>
              <w:t xml:space="preserve">Stock remains in the issuing plant for that receipt; the reservation is not consumed.</w:t>
            </w:r>
          </w:p>
        </w:tc>
      </w:tr>
      <w:tr>
        <w:tc>
          <w:tcPr>
            <w:tcW w:type="dxa" w:w="26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Resolution</w:t>
            </w:r>
          </w:p>
        </w:tc>
        <w:tc>
          <w:tcPr>
            <w:tcW w:type="dxa" w:w="7100"/>
            <w:tcMar>
              <w:top w:type="dxa" w:w="60"/>
              <w:left w:type="dxa" w:w="100"/>
              <w:bottom w:type="dxa" w:w="60"/>
              <w:right w:type="dxa" w:w="100"/>
            </w:tcMar>
          </w:tcPr>
          <w:p>
            <w:pPr>
              <w:spacing w:after="40" w:before="0"/>
            </w:pPr>
            <w:r>
              <w:rPr>
                <w:rFonts w:ascii="Arial" w:cs="Arial" w:eastAsia="Arial" w:hAnsi="Arial"/>
                <w:sz w:val="18"/>
                <w:szCs w:val="18"/>
              </w:rPr>
              <w:t xml:space="preserve">Correct the cause and repost from transaction ZMM301M. The repost is idempotent, so it can be run as often as needed. The companion object’s drift check reports the same receipt independently.</w:t>
            </w:r>
          </w:p>
        </w:tc>
      </w:tr>
    </w:tbl>
    <w:p>
      <w:pPr>
        <w:spacing w:after="100" w:before="0"/>
      </w:pPr>
      <w:r>
        <w:rPr>
          <w:rFonts w:ascii="Arial" w:cs="Arial" w:eastAsia="Arial" w:hAnsi="Arial"/>
          <w:sz w:val="18"/>
          <w:szCs w:val="18"/>
          <w:b/>
          <w:bCs/>
        </w:rPr>
        <w:t xml:space="preserve">E3 – Insufficient or blocked stock in the issuing plant</w:t>
      </w:r>
    </w:p>
    <w:tbl>
      <w:tblPr>
        <w:tblW w:type="dxa" w:w="9700"/>
        <w:tblBorders>
          <w:top w:val="single" w:color="AAB4BE" w:sz="4"/>
          <w:left w:val="single" w:color="AAB4BE" w:sz="4"/>
          <w:bottom w:val="single" w:color="AAB4BE" w:sz="4"/>
          <w:right w:val="single" w:color="AAB4BE" w:sz="4"/>
          <w:insideH w:val="single" w:color="AAB4BE" w:sz="4"/>
          <w:insideV w:val="single" w:color="AAB4BE" w:sz="4"/>
        </w:tblBorders>
      </w:tblPr>
      <w:tblGrid>
        <w:gridCol w:w="2600"/>
        <w:gridCol w:w="7100"/>
      </w:tblGrid>
      <w:tr>
        <w:tc>
          <w:tcPr>
            <w:tcW w:type="dxa" w:w="26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Detection</w:t>
            </w:r>
          </w:p>
        </w:tc>
        <w:tc>
          <w:tcPr>
            <w:tcW w:type="dxa" w:w="7100"/>
            <w:tcMar>
              <w:top w:type="dxa" w:w="60"/>
              <w:left w:type="dxa" w:w="100"/>
              <w:bottom w:type="dxa" w:w="60"/>
              <w:right w:type="dxa" w:w="100"/>
            </w:tcMar>
          </w:tcPr>
          <w:p>
            <w:pPr>
              <w:spacing w:after="40" w:before="0"/>
            </w:pPr>
            <w:r>
              <w:rPr>
                <w:rFonts w:ascii="Arial" w:cs="Arial" w:eastAsia="Arial" w:hAnsi="Arial"/>
                <w:sz w:val="18"/>
                <w:szCs w:val="18"/>
              </w:rPr>
              <w:t xml:space="preserve">The transfer fails on stock availability, typically because the received quantity landed in quality-inspection or blocked stock.</w:t>
            </w:r>
          </w:p>
        </w:tc>
      </w:tr>
      <w:tr>
        <w:tc>
          <w:tcPr>
            <w:tcW w:type="dxa" w:w="26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Response</w:t>
            </w:r>
          </w:p>
        </w:tc>
        <w:tc>
          <w:tcPr>
            <w:tcW w:type="dxa" w:w="7100"/>
            <w:tcMar>
              <w:top w:type="dxa" w:w="60"/>
              <w:left w:type="dxa" w:w="100"/>
              <w:bottom w:type="dxa" w:w="60"/>
              <w:right w:type="dxa" w:w="100"/>
            </w:tcMar>
          </w:tcPr>
          <w:p>
            <w:pPr>
              <w:spacing w:after="40" w:before="0"/>
            </w:pPr>
            <w:r>
              <w:rPr>
                <w:rFonts w:ascii="Arial" w:cs="Arial" w:eastAsia="Arial" w:hAnsi="Arial"/>
                <w:sz w:val="18"/>
                <w:szCs w:val="18"/>
              </w:rPr>
              <w:t xml:space="preserve">Error, handled exactly as E2: the transfer alone fails and is logged.</w:t>
            </w:r>
          </w:p>
        </w:tc>
      </w:tr>
      <w:tr>
        <w:tc>
          <w:tcPr>
            <w:tcW w:type="dxa" w:w="26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Notification</w:t>
            </w:r>
          </w:p>
        </w:tc>
        <w:tc>
          <w:tcPr>
            <w:tcW w:type="dxa" w:w="7100"/>
            <w:tcMar>
              <w:top w:type="dxa" w:w="60"/>
              <w:left w:type="dxa" w:w="100"/>
              <w:bottom w:type="dxa" w:w="60"/>
              <w:right w:type="dxa" w:w="100"/>
            </w:tcMar>
          </w:tcPr>
          <w:p>
            <w:pPr>
              <w:spacing w:after="40" w:before="0"/>
            </w:pPr>
            <w:r>
              <w:rPr>
                <w:rFonts w:ascii="Arial" w:cs="Arial" w:eastAsia="Arial" w:hAnsi="Arial"/>
                <w:sz w:val="18"/>
                <w:szCs w:val="18"/>
              </w:rPr>
              <w:t xml:space="preserve">BAPI message, status E in the movement log.</w:t>
            </w:r>
          </w:p>
        </w:tc>
      </w:tr>
      <w:tr>
        <w:tc>
          <w:tcPr>
            <w:tcW w:type="dxa" w:w="26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Impact</w:t>
            </w:r>
          </w:p>
        </w:tc>
        <w:tc>
          <w:tcPr>
            <w:tcW w:type="dxa" w:w="7100"/>
            <w:tcMar>
              <w:top w:type="dxa" w:w="60"/>
              <w:left w:type="dxa" w:w="100"/>
              <w:bottom w:type="dxa" w:w="60"/>
              <w:right w:type="dxa" w:w="100"/>
            </w:tcMar>
          </w:tcPr>
          <w:p>
            <w:pPr>
              <w:spacing w:after="40" w:before="0"/>
            </w:pPr>
            <w:r>
              <w:rPr>
                <w:rFonts w:ascii="Arial" w:cs="Arial" w:eastAsia="Arial" w:hAnsi="Arial"/>
                <w:sz w:val="18"/>
                <w:szCs w:val="18"/>
              </w:rPr>
              <w:t xml:space="preserve">The transfer waits until the stock is available in unrestricted use.</w:t>
            </w:r>
          </w:p>
        </w:tc>
      </w:tr>
      <w:tr>
        <w:tc>
          <w:tcPr>
            <w:tcW w:type="dxa" w:w="26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Resolution</w:t>
            </w:r>
          </w:p>
        </w:tc>
        <w:tc>
          <w:tcPr>
            <w:tcW w:type="dxa" w:w="7100"/>
            <w:tcMar>
              <w:top w:type="dxa" w:w="60"/>
              <w:left w:type="dxa" w:w="100"/>
              <w:bottom w:type="dxa" w:w="60"/>
              <w:right w:type="dxa" w:w="100"/>
            </w:tcMar>
          </w:tcPr>
          <w:p>
            <w:pPr>
              <w:spacing w:after="40" w:before="0"/>
            </w:pPr>
            <w:r>
              <w:rPr>
                <w:rFonts w:ascii="Arial" w:cs="Arial" w:eastAsia="Arial" w:hAnsi="Arial"/>
                <w:sz w:val="18"/>
                <w:szCs w:val="18"/>
              </w:rPr>
              <w:t xml:space="preserve">Release the stock from inspection or blocked status, then repost from ZMM301M. The general handling of inspection stock is open item M2.</w:t>
            </w:r>
          </w:p>
        </w:tc>
      </w:tr>
    </w:tbl>
    <w:p>
      <w:pPr>
        <w:spacing w:after="100" w:before="0"/>
      </w:pPr>
      <w:r>
        <w:rPr>
          <w:rFonts w:ascii="Arial" w:cs="Arial" w:eastAsia="Arial" w:hAnsi="Arial"/>
          <w:sz w:val="18"/>
          <w:szCs w:val="18"/>
          <w:b/>
          <w:bCs/>
        </w:rPr>
        <w:t xml:space="preserve">E4 – The source goods receipt has already been transferred</w:t>
      </w:r>
    </w:p>
    <w:tbl>
      <w:tblPr>
        <w:tblW w:type="dxa" w:w="9700"/>
        <w:tblBorders>
          <w:top w:val="single" w:color="AAB4BE" w:sz="4"/>
          <w:left w:val="single" w:color="AAB4BE" w:sz="4"/>
          <w:bottom w:val="single" w:color="AAB4BE" w:sz="4"/>
          <w:right w:val="single" w:color="AAB4BE" w:sz="4"/>
          <w:insideH w:val="single" w:color="AAB4BE" w:sz="4"/>
          <w:insideV w:val="single" w:color="AAB4BE" w:sz="4"/>
        </w:tblBorders>
      </w:tblPr>
      <w:tblGrid>
        <w:gridCol w:w="2600"/>
        <w:gridCol w:w="7100"/>
      </w:tblGrid>
      <w:tr>
        <w:tc>
          <w:tcPr>
            <w:tcW w:type="dxa" w:w="26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Detection</w:t>
            </w:r>
          </w:p>
        </w:tc>
        <w:tc>
          <w:tcPr>
            <w:tcW w:type="dxa" w:w="7100"/>
            <w:tcMar>
              <w:top w:type="dxa" w:w="60"/>
              <w:left w:type="dxa" w:w="100"/>
              <w:bottom w:type="dxa" w:w="60"/>
              <w:right w:type="dxa" w:w="100"/>
            </w:tcMar>
          </w:tcPr>
          <w:p>
            <w:pPr>
              <w:spacing w:after="40" w:before="0"/>
            </w:pPr>
            <w:r>
              <w:rPr>
                <w:rFonts w:ascii="Arial" w:cs="Arial" w:eastAsia="Arial" w:hAnsi="Arial"/>
                <w:sz w:val="18"/>
                <w:szCs w:val="18"/>
              </w:rPr>
              <w:t xml:space="preserve">A ZMM_301_MOV_LOG row carrying a 301 material document already exists for the source item (section 4.3 step 3).</w:t>
            </w:r>
            <w:r>
              <w:rPr>
                <w:rFonts w:ascii="Consolas" w:cs="Consolas" w:eastAsia="Consolas" w:hAnsi="Consolas"/>
                <w:sz w:val="18"/>
                <w:szCs w:val="18"/>
              </w:rPr>
              <w:t xml:space="preserve"/>
            </w:r>
            <w:r>
              <w:rPr>
                <w:rFonts w:ascii="Arial" w:cs="Arial" w:eastAsia="Arial" w:hAnsi="Arial"/>
                <w:sz w:val="18"/>
                <w:szCs w:val="18"/>
              </w:rPr>
              <w:t xml:space="preserve"/>
            </w:r>
          </w:p>
        </w:tc>
      </w:tr>
      <w:tr>
        <w:tc>
          <w:tcPr>
            <w:tcW w:type="dxa" w:w="26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Response</w:t>
            </w:r>
          </w:p>
        </w:tc>
        <w:tc>
          <w:tcPr>
            <w:tcW w:type="dxa" w:w="7100"/>
            <w:tcMar>
              <w:top w:type="dxa" w:w="60"/>
              <w:left w:type="dxa" w:w="100"/>
              <w:bottom w:type="dxa" w:w="60"/>
              <w:right w:type="dxa" w:w="100"/>
            </w:tcMar>
          </w:tcPr>
          <w:p>
            <w:pPr>
              <w:spacing w:after="40" w:before="0"/>
            </w:pPr>
            <w:r>
              <w:rPr>
                <w:rFonts w:ascii="Arial" w:cs="Arial" w:eastAsia="Arial" w:hAnsi="Arial"/>
                <w:sz w:val="18"/>
                <w:szCs w:val="18"/>
              </w:rPr>
              <w:t xml:space="preserve">Information. The request is skipped; nothing is posted.</w:t>
            </w:r>
          </w:p>
        </w:tc>
      </w:tr>
      <w:tr>
        <w:tc>
          <w:tcPr>
            <w:tcW w:type="dxa" w:w="26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Notification</w:t>
            </w:r>
          </w:p>
        </w:tc>
        <w:tc>
          <w:tcPr>
            <w:tcW w:type="dxa" w:w="7100"/>
            <w:tcMar>
              <w:top w:type="dxa" w:w="60"/>
              <w:left w:type="dxa" w:w="100"/>
              <w:bottom w:type="dxa" w:w="60"/>
              <w:right w:type="dxa" w:w="100"/>
            </w:tcMar>
          </w:tcPr>
          <w:p>
            <w:pPr>
              <w:spacing w:after="40" w:before="0"/>
            </w:pPr>
            <w:r>
              <w:rPr>
                <w:rFonts w:ascii="Arial" w:cs="Arial" w:eastAsia="Arial" w:hAnsi="Arial"/>
                <w:sz w:val="18"/>
                <w:szCs w:val="18"/>
              </w:rPr>
              <w:t xml:space="preserve">Logged as an idempotent skip.</w:t>
            </w:r>
          </w:p>
        </w:tc>
      </w:tr>
      <w:tr>
        <w:tc>
          <w:tcPr>
            <w:tcW w:type="dxa" w:w="26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Impact</w:t>
            </w:r>
          </w:p>
        </w:tc>
        <w:tc>
          <w:tcPr>
            <w:tcW w:type="dxa" w:w="7100"/>
            <w:tcMar>
              <w:top w:type="dxa" w:w="60"/>
              <w:left w:type="dxa" w:w="100"/>
              <w:bottom w:type="dxa" w:w="60"/>
              <w:right w:type="dxa" w:w="100"/>
            </w:tcMar>
          </w:tcPr>
          <w:p>
            <w:pPr>
              <w:spacing w:after="40" w:before="0"/>
            </w:pPr>
            <w:r>
              <w:rPr>
                <w:rFonts w:ascii="Arial" w:cs="Arial" w:eastAsia="Arial" w:hAnsi="Arial"/>
                <w:sz w:val="18"/>
                <w:szCs w:val="18"/>
              </w:rPr>
              <w:t xml:space="preserve">None. This is the designed behaviour on a re-fired event, a queue retry or a repost.</w:t>
            </w:r>
          </w:p>
        </w:tc>
      </w:tr>
      <w:tr>
        <w:tc>
          <w:tcPr>
            <w:tcW w:type="dxa" w:w="26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Resolution</w:t>
            </w:r>
          </w:p>
        </w:tc>
        <w:tc>
          <w:tcPr>
            <w:tcW w:type="dxa" w:w="7100"/>
            <w:tcMar>
              <w:top w:type="dxa" w:w="60"/>
              <w:left w:type="dxa" w:w="100"/>
              <w:bottom w:type="dxa" w:w="60"/>
              <w:right w:type="dxa" w:w="100"/>
            </w:tcMar>
          </w:tcPr>
          <w:p>
            <w:pPr>
              <w:spacing w:after="40" w:before="0"/>
            </w:pPr>
            <w:r>
              <w:rPr>
                <w:rFonts w:ascii="Arial" w:cs="Arial" w:eastAsia="Arial" w:hAnsi="Arial"/>
                <w:sz w:val="18"/>
                <w:szCs w:val="18"/>
              </w:rPr>
              <w:t xml:space="preserve">None required.</w:t>
            </w:r>
          </w:p>
        </w:tc>
      </w:tr>
    </w:tbl>
    <w:p>
      <w:pPr>
        <w:spacing w:after="100" w:before="0"/>
      </w:pPr>
      <w:r>
        <w:rPr>
          <w:rFonts w:ascii="Arial" w:cs="Arial" w:eastAsia="Arial" w:hAnsi="Arial"/>
          <w:sz w:val="18"/>
          <w:szCs w:val="18"/>
          <w:b/>
          <w:bCs/>
        </w:rPr>
        <w:t xml:space="preserve">E5 – Goods-receipt reversal with no prior transfer</w:t>
      </w:r>
    </w:p>
    <w:tbl>
      <w:tblPr>
        <w:tblW w:type="dxa" w:w="9700"/>
        <w:tblBorders>
          <w:top w:val="single" w:color="AAB4BE" w:sz="4"/>
          <w:left w:val="single" w:color="AAB4BE" w:sz="4"/>
          <w:bottom w:val="single" w:color="AAB4BE" w:sz="4"/>
          <w:right w:val="single" w:color="AAB4BE" w:sz="4"/>
          <w:insideH w:val="single" w:color="AAB4BE" w:sz="4"/>
          <w:insideV w:val="single" w:color="AAB4BE" w:sz="4"/>
        </w:tblBorders>
      </w:tblPr>
      <w:tblGrid>
        <w:gridCol w:w="2600"/>
        <w:gridCol w:w="7100"/>
      </w:tblGrid>
      <w:tr>
        <w:tc>
          <w:tcPr>
            <w:tcW w:type="dxa" w:w="26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Detection</w:t>
            </w:r>
          </w:p>
        </w:tc>
        <w:tc>
          <w:tcPr>
            <w:tcW w:type="dxa" w:w="7100"/>
            <w:tcMar>
              <w:top w:type="dxa" w:w="60"/>
              <w:left w:type="dxa" w:w="100"/>
              <w:bottom w:type="dxa" w:w="60"/>
              <w:right w:type="dxa" w:w="100"/>
            </w:tcMar>
          </w:tcPr>
          <w:p>
            <w:pPr>
              <w:spacing w:after="40" w:before="0"/>
            </w:pPr>
            <w:r>
              <w:rPr>
                <w:rFonts w:ascii="Arial" w:cs="Arial" w:eastAsia="Arial" w:hAnsi="Arial"/>
                <w:sz w:val="18"/>
                <w:szCs w:val="18"/>
              </w:rPr>
              <w:t xml:space="preserve">A 102 cancellation is processed but no 301 is recorded for the original receipt (section 4.3 step 6).</w:t>
            </w:r>
          </w:p>
        </w:tc>
      </w:tr>
      <w:tr>
        <w:tc>
          <w:tcPr>
            <w:tcW w:type="dxa" w:w="26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Response</w:t>
            </w:r>
          </w:p>
        </w:tc>
        <w:tc>
          <w:tcPr>
            <w:tcW w:type="dxa" w:w="7100"/>
            <w:tcMar>
              <w:top w:type="dxa" w:w="60"/>
              <w:left w:type="dxa" w:w="100"/>
              <w:bottom w:type="dxa" w:w="60"/>
              <w:right w:type="dxa" w:w="100"/>
            </w:tcMar>
          </w:tcPr>
          <w:p>
            <w:pPr>
              <w:spacing w:after="40" w:before="0"/>
            </w:pPr>
            <w:r>
              <w:rPr>
                <w:rFonts w:ascii="Arial" w:cs="Arial" w:eastAsia="Arial" w:hAnsi="Arial"/>
                <w:sz w:val="18"/>
                <w:szCs w:val="18"/>
              </w:rPr>
              <w:t xml:space="preserve">Warning. No reversal is posted.</w:t>
            </w:r>
          </w:p>
        </w:tc>
      </w:tr>
      <w:tr>
        <w:tc>
          <w:tcPr>
            <w:tcW w:type="dxa" w:w="26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Notification</w:t>
            </w:r>
          </w:p>
        </w:tc>
        <w:tc>
          <w:tcPr>
            <w:tcW w:type="dxa" w:w="7100"/>
            <w:tcMar>
              <w:top w:type="dxa" w:w="60"/>
              <w:left w:type="dxa" w:w="100"/>
              <w:bottom w:type="dxa" w:w="60"/>
              <w:right w:type="dxa" w:w="100"/>
            </w:tcMar>
          </w:tcPr>
          <w:p>
            <w:pPr>
              <w:spacing w:after="40" w:before="0"/>
            </w:pPr>
            <w:r>
              <w:rPr>
                <w:rFonts w:ascii="Consolas" w:cs="Consolas" w:eastAsia="Consolas" w:hAnsi="Consolas"/>
                <w:sz w:val="18"/>
                <w:szCs w:val="18"/>
              </w:rPr>
              <w:t xml:space="preserve">ZMM301</w:t>
            </w:r>
            <w:r>
              <w:rPr>
                <w:rFonts w:ascii="Arial" w:cs="Arial" w:eastAsia="Arial" w:hAnsi="Arial"/>
                <w:sz w:val="18"/>
                <w:szCs w:val="18"/>
              </w:rPr>
              <w:t xml:space="preserve"> – warning, logged against the cancellation document.</w:t>
            </w:r>
          </w:p>
        </w:tc>
      </w:tr>
      <w:tr>
        <w:tc>
          <w:tcPr>
            <w:tcW w:type="dxa" w:w="26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Impact</w:t>
            </w:r>
          </w:p>
        </w:tc>
        <w:tc>
          <w:tcPr>
            <w:tcW w:type="dxa" w:w="7100"/>
            <w:tcMar>
              <w:top w:type="dxa" w:w="60"/>
              <w:left w:type="dxa" w:w="100"/>
              <w:bottom w:type="dxa" w:w="60"/>
              <w:right w:type="dxa" w:w="100"/>
            </w:tcMar>
          </w:tcPr>
          <w:p>
            <w:pPr>
              <w:spacing w:after="40" w:before="0"/>
            </w:pPr>
            <w:r>
              <w:rPr>
                <w:rFonts w:ascii="Arial" w:cs="Arial" w:eastAsia="Arial" w:hAnsi="Arial"/>
                <w:sz w:val="18"/>
                <w:szCs w:val="18"/>
              </w:rPr>
              <w:t xml:space="preserve">None: there was no transfer to reverse, so the stock is already where it should be.</w:t>
            </w:r>
          </w:p>
        </w:tc>
      </w:tr>
      <w:tr>
        <w:tc>
          <w:tcPr>
            <w:tcW w:type="dxa" w:w="26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Resolution</w:t>
            </w:r>
          </w:p>
        </w:tc>
        <w:tc>
          <w:tcPr>
            <w:tcW w:type="dxa" w:w="7100"/>
            <w:tcMar>
              <w:top w:type="dxa" w:w="60"/>
              <w:left w:type="dxa" w:w="100"/>
              <w:bottom w:type="dxa" w:w="60"/>
              <w:right w:type="dxa" w:w="100"/>
            </w:tcMar>
          </w:tcPr>
          <w:p>
            <w:pPr>
              <w:spacing w:after="40" w:before="0"/>
            </w:pPr>
            <w:r>
              <w:rPr>
                <w:rFonts w:ascii="Arial" w:cs="Arial" w:eastAsia="Arial" w:hAnsi="Arial"/>
                <w:sz w:val="18"/>
                <w:szCs w:val="18"/>
              </w:rPr>
              <w:t xml:space="preserve">None required. Verify that the original receipt was genuinely never transferred.</w:t>
            </w:r>
          </w:p>
        </w:tc>
      </w:tr>
    </w:tbl>
    <w:p>
      <w:pPr>
        <w:spacing w:after="100" w:before="0"/>
      </w:pPr>
      <w:r>
        <w:rPr>
          <w:rFonts w:ascii="Arial" w:cs="Arial" w:eastAsia="Arial" w:hAnsi="Arial"/>
          <w:sz w:val="18"/>
          <w:szCs w:val="18"/>
          <w:b/>
          <w:bCs/>
        </w:rPr>
        <w:t xml:space="preserve">E6 – Plant or movement type not configured, or automation switched off</w:t>
      </w:r>
    </w:p>
    <w:tbl>
      <w:tblPr>
        <w:tblW w:type="dxa" w:w="9700"/>
        <w:tblBorders>
          <w:top w:val="single" w:color="AAB4BE" w:sz="4"/>
          <w:left w:val="single" w:color="AAB4BE" w:sz="4"/>
          <w:bottom w:val="single" w:color="AAB4BE" w:sz="4"/>
          <w:right w:val="single" w:color="AAB4BE" w:sz="4"/>
          <w:insideH w:val="single" w:color="AAB4BE" w:sz="4"/>
          <w:insideV w:val="single" w:color="AAB4BE" w:sz="4"/>
        </w:tblBorders>
      </w:tblPr>
      <w:tblGrid>
        <w:gridCol w:w="2600"/>
        <w:gridCol w:w="7100"/>
      </w:tblGrid>
      <w:tr>
        <w:tc>
          <w:tcPr>
            <w:tcW w:type="dxa" w:w="26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Detection</w:t>
            </w:r>
          </w:p>
        </w:tc>
        <w:tc>
          <w:tcPr>
            <w:tcW w:type="dxa" w:w="7100"/>
            <w:tcMar>
              <w:top w:type="dxa" w:w="60"/>
              <w:left w:type="dxa" w:w="100"/>
              <w:bottom w:type="dxa" w:w="60"/>
              <w:right w:type="dxa" w:w="100"/>
            </w:tcMar>
          </w:tcPr>
          <w:p>
            <w:pPr>
              <w:spacing w:after="40" w:before="0"/>
            </w:pPr>
            <w:r>
              <w:rPr>
                <w:rFonts w:ascii="Arial" w:cs="Arial" w:eastAsia="Arial" w:hAnsi="Arial"/>
                <w:sz w:val="18"/>
                <w:szCs w:val="18"/>
              </w:rPr>
              <w:t xml:space="preserve">No active </w:t>
            </w:r>
            <w:r>
              <w:rPr>
                <w:rFonts w:ascii="Consolas" w:cs="Consolas" w:eastAsia="Consolas" w:hAnsi="Consolas"/>
                <w:sz w:val="18"/>
                <w:szCs w:val="18"/>
              </w:rPr>
              <w:t xml:space="preserve">ZMM_301_CTRL</w:t>
            </w:r>
            <w:r>
              <w:rPr>
                <w:rFonts w:ascii="Arial" w:cs="Arial" w:eastAsia="Arial" w:hAnsi="Arial"/>
                <w:sz w:val="18"/>
                <w:szCs w:val="18"/>
              </w:rPr>
              <w:t xml:space="preserve"> entry for the plant, or the posting date falls outside the activation window (section 4.3 steps 1 and 5).</w:t>
            </w:r>
          </w:p>
        </w:tc>
      </w:tr>
      <w:tr>
        <w:tc>
          <w:tcPr>
            <w:tcW w:type="dxa" w:w="26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Response</w:t>
            </w:r>
          </w:p>
        </w:tc>
        <w:tc>
          <w:tcPr>
            <w:tcW w:type="dxa" w:w="7100"/>
            <w:tcMar>
              <w:top w:type="dxa" w:w="60"/>
              <w:left w:type="dxa" w:w="100"/>
              <w:bottom w:type="dxa" w:w="60"/>
              <w:right w:type="dxa" w:w="100"/>
            </w:tcMar>
          </w:tcPr>
          <w:p>
            <w:pPr>
              <w:spacing w:after="40" w:before="0"/>
            </w:pPr>
            <w:r>
              <w:rPr>
                <w:rFonts w:ascii="Arial" w:cs="Arial" w:eastAsia="Arial" w:hAnsi="Arial"/>
                <w:sz w:val="18"/>
                <w:szCs w:val="18"/>
              </w:rPr>
              <w:t xml:space="preserve">Information. The item is ignored; nothing is posted or logged as an error.</w:t>
            </w:r>
          </w:p>
        </w:tc>
      </w:tr>
      <w:tr>
        <w:tc>
          <w:tcPr>
            <w:tcW w:type="dxa" w:w="26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Notification</w:t>
            </w:r>
          </w:p>
        </w:tc>
        <w:tc>
          <w:tcPr>
            <w:tcW w:type="dxa" w:w="7100"/>
            <w:tcMar>
              <w:top w:type="dxa" w:w="60"/>
              <w:left w:type="dxa" w:w="100"/>
              <w:bottom w:type="dxa" w:w="60"/>
              <w:right w:type="dxa" w:w="100"/>
            </w:tcMar>
          </w:tcPr>
          <w:p>
            <w:pPr>
              <w:spacing w:after="40" w:before="0"/>
            </w:pPr>
            <w:r>
              <w:rPr>
                <w:rFonts w:ascii="Arial" w:cs="Arial" w:eastAsia="Arial" w:hAnsi="Arial"/>
                <w:sz w:val="18"/>
                <w:szCs w:val="18"/>
              </w:rPr>
              <w:t xml:space="preserve">None in normal operation. This is how the automation is switched off at the end of the migration.</w:t>
            </w:r>
          </w:p>
        </w:tc>
      </w:tr>
      <w:tr>
        <w:tc>
          <w:tcPr>
            <w:tcW w:type="dxa" w:w="26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Impact</w:t>
            </w:r>
          </w:p>
        </w:tc>
        <w:tc>
          <w:tcPr>
            <w:tcW w:type="dxa" w:w="7100"/>
            <w:tcMar>
              <w:top w:type="dxa" w:w="60"/>
              <w:left w:type="dxa" w:w="100"/>
              <w:bottom w:type="dxa" w:w="60"/>
              <w:right w:type="dxa" w:w="100"/>
            </w:tcMar>
          </w:tcPr>
          <w:p>
            <w:pPr>
              <w:spacing w:after="40" w:before="0"/>
            </w:pPr>
            <w:r>
              <w:rPr>
                <w:rFonts w:ascii="Arial" w:cs="Arial" w:eastAsia="Arial" w:hAnsi="Arial"/>
                <w:sz w:val="18"/>
                <w:szCs w:val="18"/>
              </w:rPr>
              <w:t xml:space="preserve">No automatic transfer takes place – the intended behaviour outside the migration scope.</w:t>
            </w:r>
          </w:p>
        </w:tc>
      </w:tr>
      <w:tr>
        <w:tc>
          <w:tcPr>
            <w:tcW w:type="dxa" w:w="26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Resolution</w:t>
            </w:r>
          </w:p>
        </w:tc>
        <w:tc>
          <w:tcPr>
            <w:tcW w:type="dxa" w:w="7100"/>
            <w:tcMar>
              <w:top w:type="dxa" w:w="60"/>
              <w:left w:type="dxa" w:w="100"/>
              <w:bottom w:type="dxa" w:w="60"/>
              <w:right w:type="dxa" w:w="100"/>
            </w:tcMar>
          </w:tcPr>
          <w:p>
            <w:pPr>
              <w:spacing w:after="40" w:before="0"/>
            </w:pPr>
            <w:r>
              <w:rPr>
                <w:rFonts w:ascii="Arial" w:cs="Arial" w:eastAsia="Arial" w:hAnsi="Arial"/>
                <w:sz w:val="18"/>
                <w:szCs w:val="18"/>
              </w:rPr>
              <w:t xml:space="preserve">If transfers were expected, check the control table entry and its activation window.</w:t>
            </w:r>
          </w:p>
        </w:tc>
      </w:tr>
    </w:tbl>
    <w:p>
      <w:pPr>
        <w:spacing w:after="100" w:before="0"/>
      </w:pPr>
      <w:r>
        <w:rPr>
          <w:rFonts w:ascii="Arial" w:cs="Arial" w:eastAsia="Arial" w:hAnsi="Arial"/>
          <w:sz w:val="18"/>
          <w:szCs w:val="18"/>
          <w:b/>
          <w:bCs/>
        </w:rPr>
        <w:t xml:space="preserve">E7 – No valuation type mapped for the resolved fiscal year</w:t>
      </w:r>
    </w:p>
    <w:tbl>
      <w:tblPr>
        <w:tblW w:type="dxa" w:w="9700"/>
        <w:tblBorders>
          <w:top w:val="single" w:color="AAB4BE" w:sz="4"/>
          <w:left w:val="single" w:color="AAB4BE" w:sz="4"/>
          <w:bottom w:val="single" w:color="AAB4BE" w:sz="4"/>
          <w:right w:val="single" w:color="AAB4BE" w:sz="4"/>
          <w:insideH w:val="single" w:color="AAB4BE" w:sz="4"/>
          <w:insideV w:val="single" w:color="AAB4BE" w:sz="4"/>
        </w:tblBorders>
      </w:tblPr>
      <w:tblGrid>
        <w:gridCol w:w="2600"/>
        <w:gridCol w:w="7100"/>
      </w:tblGrid>
      <w:tr>
        <w:tc>
          <w:tcPr>
            <w:tcW w:type="dxa" w:w="26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Detection</w:t>
            </w:r>
          </w:p>
        </w:tc>
        <w:tc>
          <w:tcPr>
            <w:tcW w:type="dxa" w:w="7100"/>
            <w:tcMar>
              <w:top w:type="dxa" w:w="60"/>
              <w:left w:type="dxa" w:w="100"/>
              <w:bottom w:type="dxa" w:w="60"/>
              <w:right w:type="dxa" w:w="100"/>
            </w:tcMar>
          </w:tcPr>
          <w:p>
            <w:pPr>
              <w:spacing w:after="40" w:before="0"/>
            </w:pPr>
            <w:r>
              <w:rPr>
                <w:rFonts w:ascii="Consolas" w:cs="Consolas" w:eastAsia="Consolas" w:hAnsi="Consolas"/>
                <w:sz w:val="18"/>
                <w:szCs w:val="18"/>
              </w:rPr>
              <w:t xml:space="preserve">ZMM_301_VALTYPE</w:t>
            </w:r>
            <w:r>
              <w:rPr>
                <w:rFonts w:ascii="Arial" w:cs="Arial" w:eastAsia="Arial" w:hAnsi="Arial"/>
                <w:sz w:val="18"/>
                <w:szCs w:val="18"/>
              </w:rPr>
              <w:t xml:space="preserve"> has no active entry for the fiscal year resolved from the posting date (section 4.3 step 9).</w:t>
            </w:r>
          </w:p>
        </w:tc>
      </w:tr>
      <w:tr>
        <w:tc>
          <w:tcPr>
            <w:tcW w:type="dxa" w:w="26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Response</w:t>
            </w:r>
          </w:p>
        </w:tc>
        <w:tc>
          <w:tcPr>
            <w:tcW w:type="dxa" w:w="7100"/>
            <w:tcMar>
              <w:top w:type="dxa" w:w="60"/>
              <w:left w:type="dxa" w:w="100"/>
              <w:bottom w:type="dxa" w:w="60"/>
              <w:right w:type="dxa" w:w="100"/>
            </w:tcMar>
          </w:tcPr>
          <w:p>
            <w:pPr>
              <w:spacing w:after="40" w:before="0"/>
            </w:pPr>
            <w:r>
              <w:rPr>
                <w:rFonts w:ascii="Arial" w:cs="Arial" w:eastAsia="Arial" w:hAnsi="Arial"/>
                <w:sz w:val="18"/>
                <w:szCs w:val="18"/>
              </w:rPr>
              <w:t xml:space="preserve">Error. </w:t>
            </w:r>
            <w:r>
              <w:rPr>
                <w:rFonts w:ascii="Arial" w:cs="Arial" w:eastAsia="Arial" w:hAnsi="Arial"/>
                <w:sz w:val="18"/>
                <w:szCs w:val="18"/>
                <w:b/>
                <w:bCs/>
              </w:rPr>
              <w:t xml:space="preserve">The transfer is not posted.</w:t>
            </w:r>
            <w:r>
              <w:rPr>
                <w:rFonts w:ascii="Arial" w:cs="Arial" w:eastAsia="Arial" w:hAnsi="Arial"/>
                <w:sz w:val="18"/>
                <w:szCs w:val="18"/>
              </w:rPr>
              <w:t xml:space="preserve"> No valuation type is guessed or defaulted.</w:t>
            </w:r>
          </w:p>
        </w:tc>
      </w:tr>
      <w:tr>
        <w:tc>
          <w:tcPr>
            <w:tcW w:type="dxa" w:w="26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Notification</w:t>
            </w:r>
          </w:p>
        </w:tc>
        <w:tc>
          <w:tcPr>
            <w:tcW w:type="dxa" w:w="7100"/>
            <w:tcMar>
              <w:top w:type="dxa" w:w="60"/>
              <w:left w:type="dxa" w:w="100"/>
              <w:bottom w:type="dxa" w:w="60"/>
              <w:right w:type="dxa" w:w="100"/>
            </w:tcMar>
          </w:tcPr>
          <w:p>
            <w:pPr>
              <w:spacing w:after="40" w:before="0"/>
            </w:pPr>
            <w:r>
              <w:rPr>
                <w:rFonts w:ascii="Consolas" w:cs="Consolas" w:eastAsia="Consolas" w:hAnsi="Consolas"/>
                <w:sz w:val="18"/>
                <w:szCs w:val="18"/>
              </w:rPr>
              <w:t xml:space="preserve">ZMM301</w:t>
            </w:r>
            <w:r>
              <w:rPr>
                <w:rFonts w:ascii="Arial" w:cs="Arial" w:eastAsia="Arial" w:hAnsi="Arial"/>
                <w:sz w:val="18"/>
                <w:szCs w:val="18"/>
              </w:rPr>
              <w:t xml:space="preserve"> – error naming the fiscal year, status E in the movement log, flagged for the monitor.</w:t>
            </w:r>
          </w:p>
        </w:tc>
      </w:tr>
      <w:tr>
        <w:tc>
          <w:tcPr>
            <w:tcW w:type="dxa" w:w="26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Impact</w:t>
            </w:r>
          </w:p>
        </w:tc>
        <w:tc>
          <w:tcPr>
            <w:tcW w:type="dxa" w:w="7100"/>
            <w:tcMar>
              <w:top w:type="dxa" w:w="60"/>
              <w:left w:type="dxa" w:w="100"/>
              <w:bottom w:type="dxa" w:w="60"/>
              <w:right w:type="dxa" w:w="100"/>
            </w:tcMar>
          </w:tcPr>
          <w:p>
            <w:pPr>
              <w:spacing w:after="40" w:before="0"/>
            </w:pPr>
            <w:r>
              <w:rPr>
                <w:rFonts w:ascii="Arial" w:cs="Arial" w:eastAsia="Arial" w:hAnsi="Arial"/>
                <w:sz w:val="18"/>
                <w:szCs w:val="18"/>
              </w:rPr>
              <w:t xml:space="preserve">Every transfer for that fiscal year fails until the mapping is maintained. This is most likely at a year change, which is why the table must be extended before each new fiscal year.</w:t>
            </w:r>
          </w:p>
        </w:tc>
      </w:tr>
      <w:tr>
        <w:tc>
          <w:tcPr>
            <w:tcW w:type="dxa" w:w="26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Resolution</w:t>
            </w:r>
          </w:p>
        </w:tc>
        <w:tc>
          <w:tcPr>
            <w:tcW w:type="dxa" w:w="7100"/>
            <w:tcMar>
              <w:top w:type="dxa" w:w="60"/>
              <w:left w:type="dxa" w:w="100"/>
              <w:bottom w:type="dxa" w:w="60"/>
              <w:right w:type="dxa" w:w="100"/>
            </w:tcMar>
          </w:tcPr>
          <w:p>
            <w:pPr>
              <w:spacing w:after="40" w:before="0"/>
            </w:pPr>
            <w:r>
              <w:rPr>
                <w:rFonts w:ascii="Arial" w:cs="Arial" w:eastAsia="Arial" w:hAnsi="Arial"/>
                <w:sz w:val="18"/>
                <w:szCs w:val="18"/>
              </w:rPr>
              <w:t xml:space="preserve">Maintain the valuation type for the fiscal year in </w:t>
            </w:r>
            <w:r>
              <w:rPr>
                <w:rFonts w:ascii="Consolas" w:cs="Consolas" w:eastAsia="Consolas" w:hAnsi="Consolas"/>
                <w:sz w:val="18"/>
                <w:szCs w:val="18"/>
              </w:rPr>
              <w:t xml:space="preserve">ZMM_301_VALTYPE</w:t>
            </w:r>
            <w:r>
              <w:rPr>
                <w:rFonts w:ascii="Arial" w:cs="Arial" w:eastAsia="Arial" w:hAnsi="Arial"/>
                <w:sz w:val="18"/>
                <w:szCs w:val="18"/>
              </w:rPr>
              <w:t xml:space="preserve">, then repost the affected receipts from ZMM301M.</w:t>
            </w:r>
          </w:p>
        </w:tc>
      </w:tr>
    </w:tbl>
    <w:p>
      <w:pPr>
        <w:spacing w:after="100" w:before="0"/>
      </w:pPr>
      <w:r>
        <w:rPr>
          <w:rFonts w:ascii="Arial" w:cs="Arial" w:eastAsia="Arial" w:hAnsi="Arial"/>
          <w:sz w:val="18"/>
          <w:szCs w:val="18"/>
          <w:b/>
          <w:bCs/>
        </w:rPr>
        <w:t xml:space="preserve">E8 – The queued unit does not execute</w:t>
      </w:r>
    </w:p>
    <w:tbl>
      <w:tblPr>
        <w:tblW w:type="dxa" w:w="9700"/>
        <w:tblBorders>
          <w:top w:val="single" w:color="AAB4BE" w:sz="4"/>
          <w:left w:val="single" w:color="AAB4BE" w:sz="4"/>
          <w:bottom w:val="single" w:color="AAB4BE" w:sz="4"/>
          <w:right w:val="single" w:color="AAB4BE" w:sz="4"/>
          <w:insideH w:val="single" w:color="AAB4BE" w:sz="4"/>
          <w:insideV w:val="single" w:color="AAB4BE" w:sz="4"/>
        </w:tblBorders>
      </w:tblPr>
      <w:tblGrid>
        <w:gridCol w:w="2600"/>
        <w:gridCol w:w="7100"/>
      </w:tblGrid>
      <w:tr>
        <w:tc>
          <w:tcPr>
            <w:tcW w:type="dxa" w:w="26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Detection</w:t>
            </w:r>
          </w:p>
        </w:tc>
        <w:tc>
          <w:tcPr>
            <w:tcW w:type="dxa" w:w="7100"/>
            <w:tcMar>
              <w:top w:type="dxa" w:w="60"/>
              <w:left w:type="dxa" w:w="100"/>
              <w:bottom w:type="dxa" w:w="60"/>
              <w:right w:type="dxa" w:w="100"/>
            </w:tcMar>
          </w:tcPr>
          <w:p>
            <w:pPr>
              <w:spacing w:after="40" w:before="0"/>
            </w:pPr>
            <w:r>
              <w:rPr>
                <w:rFonts w:ascii="Arial" w:cs="Arial" w:eastAsia="Arial" w:hAnsi="Arial"/>
                <w:sz w:val="18"/>
                <w:szCs w:val="18"/>
              </w:rPr>
              <w:t xml:space="preserve">The receipt has no </w:t>
            </w:r>
            <w:r>
              <w:rPr>
                <w:rFonts w:ascii="Consolas" w:cs="Consolas" w:eastAsia="Consolas" w:hAnsi="Consolas"/>
                <w:sz w:val="18"/>
                <w:szCs w:val="18"/>
              </w:rPr>
              <w:t xml:space="preserve">ZMM_301_MOV_LOG</w:t>
            </w:r>
            <w:r>
              <w:rPr>
                <w:rFonts w:ascii="Arial" w:cs="Arial" w:eastAsia="Arial" w:hAnsi="Arial"/>
                <w:sz w:val="18"/>
                <w:szCs w:val="18"/>
              </w:rPr>
              <w:t xml:space="preserve"> row at all: the unit was never processed, for example because the queue scheduler was stopped.</w:t>
            </w:r>
          </w:p>
        </w:tc>
      </w:tr>
      <w:tr>
        <w:tc>
          <w:tcPr>
            <w:tcW w:type="dxa" w:w="26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Response</w:t>
            </w:r>
          </w:p>
        </w:tc>
        <w:tc>
          <w:tcPr>
            <w:tcW w:type="dxa" w:w="7100"/>
            <w:tcMar>
              <w:top w:type="dxa" w:w="60"/>
              <w:left w:type="dxa" w:w="100"/>
              <w:bottom w:type="dxa" w:w="60"/>
              <w:right w:type="dxa" w:w="100"/>
            </w:tcMar>
          </w:tcPr>
          <w:p>
            <w:pPr>
              <w:spacing w:after="40" w:before="0"/>
            </w:pPr>
            <w:r>
              <w:rPr>
                <w:rFonts w:ascii="Arial" w:cs="Arial" w:eastAsia="Arial" w:hAnsi="Arial"/>
                <w:sz w:val="18"/>
                <w:szCs w:val="18"/>
              </w:rPr>
              <w:t xml:space="preserve">Nothing is posted and nothing is logged by the real-time path – by definition the failure is invisible to it.</w:t>
            </w:r>
          </w:p>
        </w:tc>
      </w:tr>
      <w:tr>
        <w:tc>
          <w:tcPr>
            <w:tcW w:type="dxa" w:w="26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Notification</w:t>
            </w:r>
          </w:p>
        </w:tc>
        <w:tc>
          <w:tcPr>
            <w:tcW w:type="dxa" w:w="7100"/>
            <w:tcMar>
              <w:top w:type="dxa" w:w="60"/>
              <w:left w:type="dxa" w:w="100"/>
              <w:bottom w:type="dxa" w:w="60"/>
              <w:right w:type="dxa" w:w="100"/>
            </w:tcMar>
          </w:tcPr>
          <w:p>
            <w:pPr>
              <w:spacing w:after="40" w:before="0"/>
            </w:pPr>
            <w:r>
              <w:rPr>
                <w:rFonts w:ascii="Arial" w:cs="Arial" w:eastAsia="Arial" w:hAnsi="Arial"/>
                <w:sz w:val="18"/>
                <w:szCs w:val="18"/>
              </w:rPr>
              <w:t xml:space="preserve">Detected by the catch-up sweep, which scans receipts against the movement log, and independently by the companion object’s drift check.</w:t>
            </w:r>
          </w:p>
        </w:tc>
      </w:tr>
      <w:tr>
        <w:tc>
          <w:tcPr>
            <w:tcW w:type="dxa" w:w="26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Impact</w:t>
            </w:r>
          </w:p>
        </w:tc>
        <w:tc>
          <w:tcPr>
            <w:tcW w:type="dxa" w:w="7100"/>
            <w:tcMar>
              <w:top w:type="dxa" w:w="60"/>
              <w:left w:type="dxa" w:w="100"/>
              <w:bottom w:type="dxa" w:w="60"/>
              <w:right w:type="dxa" w:w="100"/>
            </w:tcMar>
          </w:tcPr>
          <w:p>
            <w:pPr>
              <w:spacing w:after="40" w:before="0"/>
            </w:pPr>
            <w:r>
              <w:rPr>
                <w:rFonts w:ascii="Arial" w:cs="Arial" w:eastAsia="Arial" w:hAnsi="Arial"/>
                <w:sz w:val="18"/>
                <w:szCs w:val="18"/>
              </w:rPr>
              <w:t xml:space="preserve">Stock stays in the issuing plant until the sweep or a manual repost transfers it.</w:t>
            </w:r>
          </w:p>
        </w:tc>
      </w:tr>
      <w:tr>
        <w:tc>
          <w:tcPr>
            <w:tcW w:type="dxa" w:w="26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Resolution</w:t>
            </w:r>
          </w:p>
        </w:tc>
        <w:tc>
          <w:tcPr>
            <w:tcW w:type="dxa" w:w="7100"/>
            <w:tcMar>
              <w:top w:type="dxa" w:w="60"/>
              <w:left w:type="dxa" w:w="100"/>
              <w:bottom w:type="dxa" w:w="60"/>
              <w:right w:type="dxa" w:w="100"/>
            </w:tcMar>
          </w:tcPr>
          <w:p>
            <w:pPr>
              <w:spacing w:after="40" w:before="0"/>
            </w:pPr>
            <w:r>
              <w:rPr>
                <w:rFonts w:ascii="Arial" w:cs="Arial" w:eastAsia="Arial" w:hAnsi="Arial"/>
                <w:sz w:val="18"/>
                <w:szCs w:val="18"/>
              </w:rPr>
              <w:t xml:space="preserve">Restart the queue scheduler, then run the catch-up mode of ZMM301M for the affected period. Monitoring the queue is part of the operations handover (section 5.5).</w:t>
            </w:r>
          </w:p>
        </w:tc>
      </w:tr>
    </w:tbl>
    <w:p>
      <w:pPr>
        <w:pStyle w:val="Heading2"/>
        <w:spacing w:after="120" w:before="240"/>
      </w:pPr>
      <w:r>
        <w:rPr>
          <w:rFonts w:ascii="Arial" w:cs="Arial" w:eastAsia="Arial" w:hAnsi="Arial"/>
          <w:b/>
          <w:bCs/>
          <w:color w:val="005B9A"/>
          <w:sz w:val="24"/>
          <w:szCs w:val="24"/>
        </w:rPr>
        <w:t xml:space="preserve">4.11 Transaction Volume and Performance Requirements</w:t>
      </w:r>
    </w:p>
    <w:tbl>
      <w:tblPr>
        <w:tblW w:type="dxa" w:w="9700"/>
        <w:tblBorders>
          <w:top w:val="single" w:color="AAB4BE" w:sz="4"/>
          <w:left w:val="single" w:color="AAB4BE" w:sz="4"/>
          <w:bottom w:val="single" w:color="AAB4BE" w:sz="4"/>
          <w:right w:val="single" w:color="AAB4BE" w:sz="4"/>
          <w:insideH w:val="single" w:color="AAB4BE" w:sz="4"/>
          <w:insideV w:val="single" w:color="AAB4BE" w:sz="4"/>
        </w:tblBorders>
      </w:tblPr>
      <w:tblGrid>
        <w:gridCol w:w="3400"/>
        <w:gridCol w:w="3100"/>
        <w:gridCol w:w="3200"/>
      </w:tblGrid>
      <w:tr>
        <w:trPr>
          <w:tblHeader/>
        </w:trPr>
        <w:tc>
          <w:tcPr>
            <w:tcW w:type="dxa" w:w="34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Measure</w:t>
            </w:r>
          </w:p>
        </w:tc>
        <w:tc>
          <w:tcPr>
            <w:tcW w:type="dxa" w:w="31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Expected value</w:t>
            </w:r>
          </w:p>
        </w:tc>
        <w:tc>
          <w:tcPr>
            <w:tcW w:type="dxa" w:w="32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Peak</w:t>
            </w:r>
          </w:p>
        </w:tc>
      </w:tr>
      <w:tr>
        <w:trPr>
          <w:tblHeader w:val="false"/>
        </w:trPr>
        <w:tc>
          <w:tcPr>
            <w:tcW w:type="dxa" w:w="34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Executions per day</w:t>
            </w:r>
          </w:p>
        </w:tc>
        <w:tc>
          <w:tcPr>
            <w:tcW w:type="dxa" w:w="31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One per qualifying goods-receipt item. To be confirmed from the production receipt volume in the issuing plant (open item M1 sizing).</w:t>
            </w:r>
          </w:p>
        </w:tc>
        <w:tc>
          <w:tcPr>
            <w:tcW w:type="dxa" w:w="3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MFBF backflush can post many items in one document, producing a burst of units; the queue must absorb it</w:t>
            </w:r>
          </w:p>
        </w:tc>
      </w:tr>
      <w:tr>
        <w:trPr>
          <w:tblHeader w:val="false"/>
        </w:trPr>
        <w:tc>
          <w:tcPr>
            <w:tcW w:type="dxa" w:w="34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Records per execution</w:t>
            </w:r>
          </w:p>
        </w:tc>
        <w:tc>
          <w:tcPr>
            <w:tcW w:type="dxa" w:w="31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One goods-receipt item per unit: one reservation read, one valuation-type read and one posting.</w:t>
            </w:r>
          </w:p>
        </w:tc>
        <w:tc>
          <w:tcPr>
            <w:tcW w:type="dxa" w:w="3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w:t>
            </w:r>
          </w:p>
        </w:tc>
      </w:tr>
      <w:tr>
        <w:trPr>
          <w:tblHeader w:val="false"/>
        </w:trPr>
        <w:tc>
          <w:tcPr>
            <w:tcW w:type="dxa" w:w="34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Maximum acceptable runtime</w:t>
            </w:r>
          </w:p>
        </w:tc>
        <w:tc>
          <w:tcPr>
            <w:tcW w:type="dxa" w:w="31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Sub-second per unit, so that the transfer is effectively immediate after the receipt. The logic inside the goods receipt’s posting path must add no measurable time to the posting.</w:t>
            </w:r>
          </w:p>
        </w:tc>
        <w:tc>
          <w:tcPr>
            <w:tcW w:type="dxa" w:w="3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Queue backlog is the risk, not the individual unit; monitor the queue depth</w:t>
            </w:r>
          </w:p>
        </w:tc>
      </w:tr>
      <w:tr>
        <w:trPr>
          <w:tblHeader w:val="false"/>
        </w:trPr>
        <w:tc>
          <w:tcPr>
            <w:tcW w:type="dxa" w:w="34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Data retention / growth</w:t>
            </w:r>
          </w:p>
        </w:tc>
        <w:tc>
          <w:tcPr>
            <w:tcW w:type="dxa" w:w="31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One </w:t>
            </w:r>
            <w:r>
              <w:rPr>
                <w:rFonts w:ascii="Consolas" w:cs="Consolas" w:eastAsia="Consolas" w:hAnsi="Consolas"/>
                <w:b w:val="false"/>
                <w:bCs w:val="false"/>
                <w:sz w:val="18"/>
                <w:szCs w:val="18"/>
              </w:rPr>
              <w:t xml:space="preserve">ZMM_301_MOV_LOG</w:t>
            </w:r>
            <w:r>
              <w:rPr>
                <w:rFonts w:ascii="Arial" w:cs="Arial" w:eastAsia="Arial" w:hAnsi="Arial"/>
                <w:b w:val="false"/>
                <w:bCs w:val="false"/>
                <w:sz w:val="18"/>
                <w:szCs w:val="18"/>
              </w:rPr>
              <w:t xml:space="preserve"> row per goods-receipt item, kept for the whole migration window, plus one </w:t>
            </w:r>
            <w:r>
              <w:rPr>
                <w:rFonts w:ascii="Consolas" w:cs="Consolas" w:eastAsia="Consolas" w:hAnsi="Consolas"/>
                <w:b w:val="false"/>
                <w:bCs w:val="false"/>
                <w:sz w:val="18"/>
                <w:szCs w:val="18"/>
              </w:rPr>
              <w:t xml:space="preserve">ZMM_301_MOV_RUN_LOG</w:t>
            </w:r>
            <w:r>
              <w:rPr>
                <w:rFonts w:ascii="Arial" w:cs="Arial" w:eastAsia="Arial" w:hAnsi="Arial"/>
                <w:b w:val="false"/>
                <w:bCs w:val="false"/>
                <w:sz w:val="18"/>
                <w:szCs w:val="18"/>
              </w:rPr>
              <w:t xml:space="preserve"> row per monitor, repost or catch-up run.</w:t>
            </w:r>
          </w:p>
        </w:tc>
        <w:tc>
          <w:tcPr>
            <w:tcW w:type="dxa" w:w="3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Retention to be confirmed; see the housekeeping report in section 5.5</w:t>
            </w:r>
          </w:p>
        </w:tc>
      </w:tr>
    </w:tbl>
    <w:p>
      <w:pPr>
        <w:pStyle w:val="Heading2"/>
        <w:spacing w:after="120" w:before="240"/>
      </w:pPr>
      <w:r>
        <w:rPr>
          <w:rFonts w:ascii="Arial" w:cs="Arial" w:eastAsia="Arial" w:hAnsi="Arial"/>
          <w:b/>
          <w:bCs/>
          <w:color w:val="005B9A"/>
          <w:sz w:val="24"/>
          <w:szCs w:val="24"/>
        </w:rPr>
        <w:t xml:space="preserve">4.12 Batch Processing</w:t>
      </w:r>
    </w:p>
    <w:tbl>
      <w:tblPr>
        <w:tblW w:type="dxa" w:w="9700"/>
        <w:tblBorders>
          <w:top w:val="single" w:color="AAB4BE" w:sz="4"/>
          <w:left w:val="single" w:color="AAB4BE" w:sz="4"/>
          <w:bottom w:val="single" w:color="AAB4BE" w:sz="4"/>
          <w:right w:val="single" w:color="AAB4BE" w:sz="4"/>
          <w:insideH w:val="single" w:color="AAB4BE" w:sz="4"/>
          <w:insideV w:val="single" w:color="AAB4BE" w:sz="4"/>
        </w:tblBorders>
      </w:tblPr>
      <w:tblGrid>
        <w:gridCol w:w="3900"/>
        <w:gridCol w:w="5800"/>
      </w:tblGrid>
      <w:tr>
        <w:tc>
          <w:tcPr>
            <w:tcW w:type="dxa" w:w="39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Job start procedure</w:t>
            </w:r>
          </w:p>
        </w:tc>
        <w:tc>
          <w:tcPr>
            <w:tcW w:type="dxa" w:w="5800"/>
            <w:tcMar>
              <w:top w:type="dxa" w:w="60"/>
              <w:left w:type="dxa" w:w="100"/>
              <w:bottom w:type="dxa" w:w="60"/>
              <w:right w:type="dxa" w:w="100"/>
            </w:tcMar>
          </w:tcPr>
          <w:p>
            <w:pPr>
              <w:spacing w:after="40" w:before="0"/>
            </w:pPr>
            <w:r>
              <w:rPr>
                <w:rFonts w:ascii="Arial" w:cs="Arial" w:eastAsia="Arial" w:hAnsi="Arial"/>
                <w:sz w:val="18"/>
                <w:szCs w:val="18"/>
              </w:rPr>
              <w:t xml:space="preserve">The automatic transfer is not a job: it is triggered by the goods receipt. Only the catch-up sweep is scheduled, in SM36 with mode C, optionally as the self-rescheduling chain </w:t>
            </w:r>
            <w:r>
              <w:rPr>
                <w:rFonts w:ascii="Consolas" w:cs="Consolas" w:eastAsia="Consolas" w:hAnsi="Consolas"/>
                <w:sz w:val="18"/>
                <w:szCs w:val="18"/>
              </w:rPr>
              <w:t xml:space="preserve">ZMM301M_CHAIN</w:t>
            </w:r>
            <w:r>
              <w:rPr>
                <w:rFonts w:ascii="Arial" w:cs="Arial" w:eastAsia="Arial" w:hAnsi="Arial"/>
                <w:sz w:val="18"/>
                <w:szCs w:val="18"/>
              </w:rPr>
              <w:t xml:space="preserve">.</w:t>
            </w:r>
          </w:p>
        </w:tc>
      </w:tr>
      <w:tr>
        <w:tc>
          <w:tcPr>
            <w:tcW w:type="dxa" w:w="39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Re-run on failure required</w:t>
            </w:r>
          </w:p>
        </w:tc>
        <w:tc>
          <w:tcPr>
            <w:tcW w:type="dxa" w:w="5800"/>
            <w:tcMar>
              <w:top w:type="dxa" w:w="60"/>
              <w:left w:type="dxa" w:w="100"/>
              <w:bottom w:type="dxa" w:w="60"/>
              <w:right w:type="dxa" w:w="100"/>
            </w:tcMar>
          </w:tcPr>
          <w:p>
            <w:pPr>
              <w:spacing w:after="40" w:before="0"/>
            </w:pPr>
            <w:r>
              <w:rPr>
                <w:rFonts w:ascii="Arial" w:cs="Arial" w:eastAsia="Arial" w:hAnsi="Arial"/>
                <w:sz w:val="18"/>
                <w:szCs w:val="18"/>
              </w:rPr>
              <w:t xml:space="preserve">Yes for the catch-up sweep, but it is safe and idempotent: a receipt already transferred is skipped, so the sweep can be rerun at will.</w:t>
            </w:r>
          </w:p>
        </w:tc>
      </w:tr>
      <w:tr>
        <w:tc>
          <w:tcPr>
            <w:tcW w:type="dxa" w:w="39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Period / variant</w:t>
            </w:r>
          </w:p>
        </w:tc>
        <w:tc>
          <w:tcPr>
            <w:tcW w:type="dxa" w:w="5800"/>
            <w:tcMar>
              <w:top w:type="dxa" w:w="60"/>
              <w:left w:type="dxa" w:w="100"/>
              <w:bottom w:type="dxa" w:w="60"/>
              <w:right w:type="dxa" w:w="100"/>
            </w:tcMar>
          </w:tcPr>
          <w:p>
            <w:pPr>
              <w:spacing w:after="40" w:before="0"/>
            </w:pPr>
            <w:r>
              <w:rPr>
                <w:rFonts w:ascii="Arial" w:cs="Arial" w:eastAsia="Arial" w:hAnsi="Arial"/>
                <w:sz w:val="18"/>
                <w:szCs w:val="18"/>
              </w:rPr>
              <w:t xml:space="preserve">Catch-up variant covering the issuing plant and a rolling posting-date window (for example the last seven days). The interval is a parameter, from 1 minute to multiple days.</w:t>
            </w:r>
          </w:p>
        </w:tc>
      </w:tr>
      <w:tr>
        <w:tc>
          <w:tcPr>
            <w:tcW w:type="dxa" w:w="39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External interface reliance</w:t>
            </w:r>
          </w:p>
        </w:tc>
        <w:tc>
          <w:tcPr>
            <w:tcW w:type="dxa" w:w="5800"/>
            <w:tcMar>
              <w:top w:type="dxa" w:w="60"/>
              <w:left w:type="dxa" w:w="100"/>
              <w:bottom w:type="dxa" w:w="60"/>
              <w:right w:type="dxa" w:w="100"/>
            </w:tcMar>
          </w:tcPr>
          <w:p>
            <w:pPr>
              <w:spacing w:after="40" w:before="0"/>
            </w:pPr>
            <w:r>
              <w:rPr>
                <w:rFonts w:ascii="Arial" w:cs="Arial" w:eastAsia="Arial" w:hAnsi="Arial"/>
                <w:sz w:val="18"/>
                <w:szCs w:val="18"/>
              </w:rPr>
              <w:t xml:space="preserve">None. All processing is inside the local S/4HANA system. The object does depend on the internal queue scheduler being active.</w:t>
            </w:r>
          </w:p>
        </w:tc>
      </w:tr>
      <w:tr>
        <w:tc>
          <w:tcPr>
            <w:tcW w:type="dxa" w:w="39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Expected run time</w:t>
            </w:r>
          </w:p>
        </w:tc>
        <w:tc>
          <w:tcPr>
            <w:tcW w:type="dxa" w:w="5800"/>
            <w:tcMar>
              <w:top w:type="dxa" w:w="60"/>
              <w:left w:type="dxa" w:w="100"/>
              <w:bottom w:type="dxa" w:w="60"/>
              <w:right w:type="dxa" w:w="100"/>
            </w:tcMar>
          </w:tcPr>
          <w:p>
            <w:pPr>
              <w:spacing w:after="40" w:before="0"/>
            </w:pPr>
            <w:r>
              <w:rPr>
                <w:rFonts w:ascii="Arial" w:cs="Arial" w:eastAsia="Arial" w:hAnsi="Arial"/>
                <w:sz w:val="18"/>
                <w:szCs w:val="18"/>
              </w:rPr>
              <w:t xml:space="preserve">To be confirmed from the goods-receipt volume. The sweep only examines receipts in the selected window that have no successful transfer, so in normal operation it finds nothing and finishes quickly.</w:t>
            </w:r>
          </w:p>
        </w:tc>
      </w:tr>
      <w:tr>
        <w:tc>
          <w:tcPr>
            <w:tcW w:type="dxa" w:w="39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Business impact if not completed on time</w:t>
            </w:r>
          </w:p>
        </w:tc>
        <w:tc>
          <w:tcPr>
            <w:tcW w:type="dxa" w:w="5800"/>
            <w:tcMar>
              <w:top w:type="dxa" w:w="60"/>
              <w:left w:type="dxa" w:w="100"/>
              <w:bottom w:type="dxa" w:w="60"/>
              <w:right w:type="dxa" w:w="100"/>
            </w:tcMar>
          </w:tcPr>
          <w:p>
            <w:pPr>
              <w:spacing w:after="40" w:before="0"/>
            </w:pPr>
            <w:r>
              <w:rPr>
                <w:rFonts w:ascii="Arial" w:cs="Arial" w:eastAsia="Arial" w:hAnsi="Arial"/>
                <w:sz w:val="18"/>
                <w:szCs w:val="18"/>
              </w:rPr>
              <w:t xml:space="preserve">Low. The sweep is a safety net; the real-time path does the work. If both the real-time path and the sweep fail for a prolonged period, stock accumulates in the plant being wound down and the companion object reports growing drift.</w:t>
            </w:r>
          </w:p>
        </w:tc>
      </w:tr>
      <w:tr>
        <w:tc>
          <w:tcPr>
            <w:tcW w:type="dxa" w:w="39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Can the job be cancelled?</w:t>
            </w:r>
          </w:p>
        </w:tc>
        <w:tc>
          <w:tcPr>
            <w:tcW w:type="dxa" w:w="5800"/>
            <w:tcMar>
              <w:top w:type="dxa" w:w="60"/>
              <w:left w:type="dxa" w:w="100"/>
              <w:bottom w:type="dxa" w:w="60"/>
              <w:right w:type="dxa" w:w="100"/>
            </w:tcMar>
          </w:tcPr>
          <w:p>
            <w:pPr>
              <w:spacing w:after="40" w:before="0"/>
            </w:pPr>
            <w:r>
              <w:rPr>
                <w:rFonts w:ascii="Arial" w:cs="Arial" w:eastAsia="Arial" w:hAnsi="Arial"/>
                <w:sz w:val="18"/>
                <w:szCs w:val="18"/>
              </w:rPr>
              <w:t xml:space="preserve">Yes. Cancelling the sweep leaves the transfers already posted in place and the rest untouched; the next sweep picks them up. To stop the chain cleanly, unset </w:t>
            </w:r>
            <w:r>
              <w:rPr>
                <w:rFonts w:ascii="Consolas" w:cs="Consolas" w:eastAsia="Consolas" w:hAnsi="Consolas"/>
                <w:sz w:val="18"/>
                <w:szCs w:val="18"/>
              </w:rPr>
              <w:t xml:space="preserve">ZMM_301_CTRL-ACTIVE</w:t>
            </w:r>
            <w:r>
              <w:rPr>
                <w:rFonts w:ascii="Arial" w:cs="Arial" w:eastAsia="Arial" w:hAnsi="Arial"/>
                <w:sz w:val="18"/>
                <w:szCs w:val="18"/>
              </w:rPr>
              <w:t xml:space="preserve">.</w:t>
            </w:r>
          </w:p>
        </w:tc>
      </w:tr>
      <w:tr>
        <w:tc>
          <w:tcPr>
            <w:tcW w:type="dxa" w:w="39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Clean-up job</w:t>
            </w:r>
          </w:p>
        </w:tc>
        <w:tc>
          <w:tcPr>
            <w:tcW w:type="dxa" w:w="5800"/>
            <w:tcMar>
              <w:top w:type="dxa" w:w="60"/>
              <w:left w:type="dxa" w:w="100"/>
              <w:bottom w:type="dxa" w:w="60"/>
              <w:right w:type="dxa" w:w="100"/>
            </w:tcMar>
          </w:tcPr>
          <w:p>
            <w:pPr>
              <w:spacing w:after="40" w:before="0"/>
            </w:pPr>
            <w:r>
              <w:rPr>
                <w:rFonts w:ascii="Arial" w:cs="Arial" w:eastAsia="Arial" w:hAnsi="Arial"/>
                <w:sz w:val="18"/>
                <w:szCs w:val="18"/>
              </w:rPr>
              <w:t xml:space="preserve">A reorganisation report deletes </w:t>
            </w:r>
            <w:r>
              <w:rPr>
                <w:rFonts w:ascii="Consolas" w:cs="Consolas" w:eastAsia="Consolas" w:hAnsi="Consolas"/>
                <w:sz w:val="18"/>
                <w:szCs w:val="18"/>
              </w:rPr>
              <w:t xml:space="preserve">ZMM_301_MOV_LOG</w:t>
            </w:r>
            <w:r>
              <w:rPr>
                <w:rFonts w:ascii="Arial" w:cs="Arial" w:eastAsia="Arial" w:hAnsi="Arial"/>
                <w:sz w:val="18"/>
                <w:szCs w:val="18"/>
              </w:rPr>
              <w:t xml:space="preserve"> and </w:t>
            </w:r>
            <w:r>
              <w:rPr>
                <w:rFonts w:ascii="Consolas" w:cs="Consolas" w:eastAsia="Consolas" w:hAnsi="Consolas"/>
                <w:sz w:val="18"/>
                <w:szCs w:val="18"/>
              </w:rPr>
              <w:t xml:space="preserve">ZMM_301_MOV_RUN_LOG</w:t>
            </w:r>
            <w:r>
              <w:rPr>
                <w:rFonts w:ascii="Arial" w:cs="Arial" w:eastAsia="Arial" w:hAnsi="Arial"/>
                <w:sz w:val="18"/>
                <w:szCs w:val="18"/>
              </w:rPr>
              <w:t xml:space="preserve"> rows older than a parameterised number of days, keeping error rows longer. Retention period to be confirmed.</w:t>
            </w:r>
          </w:p>
        </w:tc>
      </w:tr>
    </w:tbl>
    <w:p>
      <w:pPr>
        <w:pStyle w:val="Heading2"/>
        <w:spacing w:after="120" w:before="240"/>
      </w:pPr>
      <w:r>
        <w:rPr>
          <w:rFonts w:ascii="Arial" w:cs="Arial" w:eastAsia="Arial" w:hAnsi="Arial"/>
          <w:b/>
          <w:bCs/>
          <w:color w:val="005B9A"/>
          <w:sz w:val="24"/>
          <w:szCs w:val="24"/>
        </w:rPr>
        <w:t xml:space="preserve">4.13 Security</w:t>
      </w:r>
    </w:p>
    <w:tbl>
      <w:tblPr>
        <w:tblW w:type="dxa" w:w="9700"/>
        <w:tblBorders>
          <w:top w:val="single" w:color="AAB4BE" w:sz="4"/>
          <w:left w:val="single" w:color="AAB4BE" w:sz="4"/>
          <w:bottom w:val="single" w:color="AAB4BE" w:sz="4"/>
          <w:right w:val="single" w:color="AAB4BE" w:sz="4"/>
          <w:insideH w:val="single" w:color="AAB4BE" w:sz="4"/>
          <w:insideV w:val="single" w:color="AAB4BE" w:sz="4"/>
        </w:tblBorders>
      </w:tblPr>
      <w:tblGrid>
        <w:gridCol w:w="3900"/>
        <w:gridCol w:w="5800"/>
      </w:tblGrid>
      <w:tr>
        <w:tc>
          <w:tcPr>
            <w:tcW w:type="dxa" w:w="39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Transaction code / Fiori app</w:t>
            </w:r>
          </w:p>
        </w:tc>
        <w:tc>
          <w:tcPr>
            <w:tcW w:type="dxa" w:w="5800"/>
            <w:tcMar>
              <w:top w:type="dxa" w:w="60"/>
              <w:left w:type="dxa" w:w="100"/>
              <w:bottom w:type="dxa" w:w="60"/>
              <w:right w:type="dxa" w:w="100"/>
            </w:tcMar>
          </w:tcPr>
          <w:p>
            <w:pPr>
              <w:spacing w:after="40" w:before="0"/>
            </w:pPr>
            <w:r>
              <w:rPr>
                <w:rFonts w:ascii="Consolas" w:cs="Consolas" w:eastAsia="Consolas" w:hAnsi="Consolas"/>
                <w:sz w:val="18"/>
                <w:szCs w:val="18"/>
              </w:rPr>
              <w:t xml:space="preserve">ZMM301M</w:t>
            </w:r>
            <w:r>
              <w:rPr>
                <w:rFonts w:ascii="Arial" w:cs="Arial" w:eastAsia="Arial" w:hAnsi="Arial"/>
                <w:sz w:val="18"/>
                <w:szCs w:val="18"/>
              </w:rPr>
              <w:t xml:space="preserve"> for the monitor, repost and catch-up. The automatic transfer itself has no transaction. SM30 maintenance views for </w:t>
            </w:r>
            <w:r>
              <w:rPr>
                <w:rFonts w:ascii="Consolas" w:cs="Consolas" w:eastAsia="Consolas" w:hAnsi="Consolas"/>
                <w:sz w:val="18"/>
                <w:szCs w:val="18"/>
              </w:rPr>
              <w:t xml:space="preserve">ZMM_301_CTRL</w:t>
            </w:r>
            <w:r>
              <w:rPr>
                <w:rFonts w:ascii="Arial" w:cs="Arial" w:eastAsia="Arial" w:hAnsi="Arial"/>
                <w:sz w:val="18"/>
                <w:szCs w:val="18"/>
              </w:rPr>
              <w:t xml:space="preserve"> and </w:t>
            </w:r>
            <w:r>
              <w:rPr>
                <w:rFonts w:ascii="Consolas" w:cs="Consolas" w:eastAsia="Consolas" w:hAnsi="Consolas"/>
                <w:sz w:val="18"/>
                <w:szCs w:val="18"/>
              </w:rPr>
              <w:t xml:space="preserve">ZMM_301_VALTYPE</w:t>
            </w:r>
            <w:r>
              <w:rPr>
                <w:rFonts w:ascii="Arial" w:cs="Arial" w:eastAsia="Arial" w:hAnsi="Arial"/>
                <w:sz w:val="18"/>
                <w:szCs w:val="18"/>
              </w:rPr>
              <w:t xml:space="preserve">.</w:t>
            </w:r>
          </w:p>
        </w:tc>
      </w:tr>
      <w:tr>
        <w:tc>
          <w:tcPr>
            <w:tcW w:type="dxa" w:w="39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Authorization object details</w:t>
            </w:r>
          </w:p>
        </w:tc>
        <w:tc>
          <w:tcPr>
            <w:tcW w:type="dxa" w:w="5800"/>
            <w:tcMar>
              <w:top w:type="dxa" w:w="60"/>
              <w:left w:type="dxa" w:w="100"/>
              <w:bottom w:type="dxa" w:w="60"/>
              <w:right w:type="dxa" w:w="100"/>
            </w:tcMar>
          </w:tcPr>
          <w:p>
            <w:pPr>
              <w:spacing w:after="40" w:before="0"/>
            </w:pPr>
            <w:r>
              <w:rPr>
                <w:rFonts w:ascii="Consolas" w:cs="Consolas" w:eastAsia="Consolas" w:hAnsi="Consolas"/>
                <w:sz w:val="18"/>
                <w:szCs w:val="18"/>
              </w:rPr>
              <w:t xml:space="preserve">M_MSEG_WMB (plant) – ACTVT 01, WERKS for both the issuing and the receiving plant; M_MSEG_BWA (movement type) – ACTVT 01, BWART 301 and 302; both checked explicitly</w:t>
            </w:r>
            <w:r>
              <w:rPr>
                <w:rFonts w:ascii="Arial" w:cs="Arial" w:eastAsia="Arial" w:hAnsi="Arial"/>
                <w:sz w:val="18"/>
                <w:szCs w:val="18"/>
              </w:rPr>
              <w:t xml:space="preserve"> inside the posting function before the BAPI call. </w:t>
            </w:r>
            <w:r>
              <w:rPr>
                <w:rFonts w:ascii="Consolas" w:cs="Consolas" w:eastAsia="Consolas" w:hAnsi="Consolas"/>
                <w:sz w:val="18"/>
                <w:szCs w:val="18"/>
              </w:rPr>
              <w:t xml:space="preserve">S_TCODE</w:t>
            </w:r>
            <w:r>
              <w:rPr>
                <w:rFonts w:ascii="Arial" w:cs="Arial" w:eastAsia="Arial" w:hAnsi="Arial"/>
                <w:sz w:val="18"/>
                <w:szCs w:val="18"/>
              </w:rPr>
              <w:t xml:space="preserve"> for </w:t>
            </w:r>
            <w:r>
              <w:rPr>
                <w:rFonts w:ascii="Consolas" w:cs="Consolas" w:eastAsia="Consolas" w:hAnsi="Consolas"/>
                <w:sz w:val="18"/>
                <w:szCs w:val="18"/>
              </w:rPr>
              <w:t xml:space="preserve">ZMM301M</w:t>
            </w:r>
            <w:r>
              <w:rPr>
                <w:rFonts w:ascii="Arial" w:cs="Arial" w:eastAsia="Arial" w:hAnsi="Arial"/>
                <w:sz w:val="18"/>
                <w:szCs w:val="18"/>
              </w:rPr>
              <w:t xml:space="preserve">. </w:t>
            </w:r>
            <w:r>
              <w:rPr>
                <w:rFonts w:ascii="Consolas" w:cs="Consolas" w:eastAsia="Consolas" w:hAnsi="Consolas"/>
                <w:sz w:val="18"/>
                <w:szCs w:val="18"/>
              </w:rPr>
              <w:t xml:space="preserve">S_TABU_DIS</w:t>
            </w:r>
            <w:r>
              <w:rPr>
                <w:rFonts w:ascii="Arial" w:cs="Arial" w:eastAsia="Arial" w:hAnsi="Arial"/>
                <w:sz w:val="18"/>
                <w:szCs w:val="18"/>
              </w:rPr>
              <w:t xml:space="preserve"> / </w:t>
            </w:r>
            <w:r>
              <w:rPr>
                <w:rFonts w:ascii="Consolas" w:cs="Consolas" w:eastAsia="Consolas" w:hAnsi="Consolas"/>
                <w:sz w:val="18"/>
                <w:szCs w:val="18"/>
              </w:rPr>
              <w:t xml:space="preserve">S_TABU_NAM</w:t>
            </w:r>
            <w:r>
              <w:rPr>
                <w:rFonts w:ascii="Arial" w:cs="Arial" w:eastAsia="Arial" w:hAnsi="Arial"/>
                <w:sz w:val="18"/>
                <w:szCs w:val="18"/>
              </w:rPr>
              <w:t xml:space="preserve"> for the two configuration views. Read access to the reservation and to the material master in both plants.</w:t>
            </w:r>
          </w:p>
        </w:tc>
      </w:tr>
      <w:tr>
        <w:tc>
          <w:tcPr>
            <w:tcW w:type="dxa" w:w="39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Defined fields</w:t>
            </w:r>
          </w:p>
        </w:tc>
        <w:tc>
          <w:tcPr>
            <w:tcW w:type="dxa" w:w="5800"/>
            <w:tcMar>
              <w:top w:type="dxa" w:w="60"/>
              <w:left w:type="dxa" w:w="100"/>
              <w:bottom w:type="dxa" w:w="60"/>
              <w:right w:type="dxa" w:w="100"/>
            </w:tcMar>
          </w:tcPr>
          <w:p>
            <w:pPr>
              <w:spacing w:after="40" w:before="0"/>
            </w:pPr>
            <w:r>
              <w:rPr>
                <w:rFonts w:ascii="Arial" w:cs="Arial" w:eastAsia="Arial" w:hAnsi="Arial"/>
                <w:sz w:val="18"/>
                <w:szCs w:val="18"/>
              </w:rPr>
              <w:t xml:space="preserve">ACTVT, WERKS, BWART, TCD, and the table authorisation group for the configuration views.</w:t>
            </w:r>
          </w:p>
        </w:tc>
      </w:tr>
      <w:tr>
        <w:tc>
          <w:tcPr>
            <w:tcW w:type="dxa" w:w="39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Procedure</w:t>
            </w:r>
          </w:p>
        </w:tc>
        <w:tc>
          <w:tcPr>
            <w:tcW w:type="dxa" w:w="5800"/>
            <w:tcMar>
              <w:top w:type="dxa" w:w="60"/>
              <w:left w:type="dxa" w:w="100"/>
              <w:bottom w:type="dxa" w:w="60"/>
              <w:right w:type="dxa" w:w="100"/>
            </w:tcMar>
          </w:tcPr>
          <w:p>
            <w:pPr>
              <w:spacing w:after="40" w:before="0"/>
            </w:pPr>
            <w:r>
              <w:rPr>
                <w:rFonts w:ascii="Arial" w:cs="Arial" w:eastAsia="Arial" w:hAnsi="Arial"/>
                <w:sz w:val="18"/>
                <w:szCs w:val="18"/>
              </w:rPr>
              <w:t xml:space="preserve">Roles are requested through the standard authorisation process. The user context in which the queued posting executes – the goods-receipt user or a dedicated technical user – must be confirmed and authorised accordingly; this is open item M7 and must be settled before the build is tested, because the posting fails without it.</w:t>
            </w:r>
          </w:p>
        </w:tc>
      </w:tr>
      <w:tr>
        <w:tc>
          <w:tcPr>
            <w:tcW w:type="dxa" w:w="39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Role update required</w:t>
            </w:r>
          </w:p>
        </w:tc>
        <w:tc>
          <w:tcPr>
            <w:tcW w:type="dxa" w:w="5800"/>
            <w:tcMar>
              <w:top w:type="dxa" w:w="60"/>
              <w:left w:type="dxa" w:w="100"/>
              <w:bottom w:type="dxa" w:w="60"/>
              <w:right w:type="dxa" w:w="100"/>
            </w:tcMar>
          </w:tcPr>
          <w:p>
            <w:pPr>
              <w:spacing w:after="40" w:before="0"/>
            </w:pPr>
            <w:r>
              <w:rPr>
                <w:rFonts w:ascii="Arial" w:cs="Arial" w:eastAsia="Arial" w:hAnsi="Arial"/>
                <w:sz w:val="18"/>
                <w:szCs w:val="18"/>
              </w:rPr>
              <w:t xml:space="preserve">Yes – the posting authorisations for the executing context, the monitor transaction for the MM key user, and the configuration views for the user maintaining the fiscal-year valuation types. To be confirmed with the security team.</w:t>
            </w:r>
          </w:p>
        </w:tc>
      </w:tr>
      <w:tr>
        <w:tc>
          <w:tcPr>
            <w:tcW w:type="dxa" w:w="39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Organizational level restrictions</w:t>
            </w:r>
          </w:p>
        </w:tc>
        <w:tc>
          <w:tcPr>
            <w:tcW w:type="dxa" w:w="5800"/>
            <w:tcMar>
              <w:top w:type="dxa" w:w="60"/>
              <w:left w:type="dxa" w:w="100"/>
              <w:bottom w:type="dxa" w:w="60"/>
              <w:right w:type="dxa" w:w="100"/>
            </w:tcMar>
          </w:tcPr>
          <w:p>
            <w:pPr>
              <w:spacing w:after="40" w:before="0"/>
            </w:pPr>
            <w:r>
              <w:rPr>
                <w:rFonts w:ascii="Arial" w:cs="Arial" w:eastAsia="Arial" w:hAnsi="Arial"/>
                <w:sz w:val="18"/>
                <w:szCs w:val="18"/>
              </w:rPr>
              <w:t xml:space="preserve">Plant. Transfers are only possible between the plants held in the control table, and only by a context authorised for both.</w:t>
            </w:r>
          </w:p>
        </w:tc>
      </w:tr>
      <w:tr>
        <w:tc>
          <w:tcPr>
            <w:tcW w:type="dxa" w:w="39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Data access restrictions</w:t>
            </w:r>
          </w:p>
        </w:tc>
        <w:tc>
          <w:tcPr>
            <w:tcW w:type="dxa" w:w="5800"/>
            <w:tcMar>
              <w:top w:type="dxa" w:w="60"/>
              <w:left w:type="dxa" w:w="100"/>
              <w:bottom w:type="dxa" w:w="60"/>
              <w:right w:type="dxa" w:w="100"/>
            </w:tcMar>
          </w:tcPr>
          <w:p>
            <w:pPr>
              <w:spacing w:after="40" w:before="0"/>
            </w:pPr>
            <w:r>
              <w:rPr>
                <w:rFonts w:ascii="Arial" w:cs="Arial" w:eastAsia="Arial" w:hAnsi="Arial"/>
                <w:sz w:val="18"/>
                <w:szCs w:val="18"/>
              </w:rPr>
              <w:t xml:space="preserve">The object reads material documents, production orders and reservations only. It displays no personal data beyond the SAP user names held in its own log tables.</w:t>
            </w:r>
          </w:p>
        </w:tc>
      </w:tr>
      <w:tr>
        <w:tc>
          <w:tcPr>
            <w:tcW w:type="dxa" w:w="39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Segregation of Duties</w:t>
            </w:r>
          </w:p>
        </w:tc>
        <w:tc>
          <w:tcPr>
            <w:tcW w:type="dxa" w:w="5800"/>
            <w:tcMar>
              <w:top w:type="dxa" w:w="60"/>
              <w:left w:type="dxa" w:w="100"/>
              <w:bottom w:type="dxa" w:w="60"/>
              <w:right w:type="dxa" w:w="100"/>
            </w:tcMar>
          </w:tcPr>
          <w:p>
            <w:pPr>
              <w:spacing w:after="40" w:before="0"/>
            </w:pPr>
            <w:r>
              <w:rPr>
                <w:rFonts w:ascii="Arial" w:cs="Arial" w:eastAsia="Arial" w:hAnsi="Arial"/>
                <w:sz w:val="18"/>
                <w:szCs w:val="18"/>
              </w:rPr>
              <w:t xml:space="preserve">The object posts stock movements automatically, in the user context confirmed under open item M7, which is the point to review: the transfer is a consequence of a goods receipt the user is already authorised to post, and it can only move stock between the two plants named in the control table, with a movement type fixed by configuration. No segregation-of-duties conflict has been identified on that basis; to be confirmed with the security team.</w:t>
            </w:r>
          </w:p>
        </w:tc>
      </w:tr>
    </w:tbl>
    <w:p>
      <w:r>
        <w:br w:type="page"/>
      </w:r>
    </w:p>
    <w:p>
      <w:pPr>
        <w:pStyle w:val="Heading1"/>
        <w:spacing w:after="120" w:before="360"/>
      </w:pPr>
      <w:r>
        <w:rPr>
          <w:rFonts w:ascii="Arial" w:cs="Arial" w:eastAsia="Arial" w:hAnsi="Arial"/>
          <w:b/>
          <w:bCs/>
          <w:color w:val="0B1F3A"/>
          <w:sz w:val="28"/>
          <w:szCs w:val="28"/>
        </w:rPr>
        <w:t xml:space="preserve">5. Technical Design</w:t>
      </w:r>
    </w:p>
    <w:p>
      <w:pPr>
        <w:pStyle w:val="Heading2"/>
        <w:spacing w:after="120" w:before="240"/>
      </w:pPr>
      <w:r>
        <w:rPr>
          <w:rFonts w:ascii="Arial" w:cs="Arial" w:eastAsia="Arial" w:hAnsi="Arial"/>
          <w:b/>
          <w:bCs/>
          <w:color w:val="005B9A"/>
          <w:sz w:val="24"/>
          <w:szCs w:val="24"/>
        </w:rPr>
        <w:t xml:space="preserve">5.1 Overview</w:t>
      </w:r>
    </w:p>
    <w:p>
      <w:pPr>
        <w:spacing w:after="100" w:before="0"/>
      </w:pPr>
      <w:r>
        <w:rPr>
          <w:rFonts w:ascii="Arial" w:cs="Arial" w:eastAsia="Arial" w:hAnsi="Arial"/>
          <w:sz w:val="18"/>
          <w:szCs w:val="18"/>
        </w:rPr>
        <w:t xml:space="preserve">The solution is deliberately split into a </w:t>
      </w:r>
      <w:r>
        <w:rPr>
          <w:rFonts w:ascii="Arial" w:cs="Arial" w:eastAsia="Arial" w:hAnsi="Arial"/>
          <w:sz w:val="18"/>
          <w:szCs w:val="18"/>
          <w:b/>
          <w:bCs/>
        </w:rPr>
        <w:t xml:space="preserve">trigger</w:t>
      </w:r>
      <w:r>
        <w:rPr>
          <w:rFonts w:ascii="Arial" w:cs="Arial" w:eastAsia="Arial" w:hAnsi="Arial"/>
          <w:sz w:val="18"/>
          <w:szCs w:val="18"/>
        </w:rPr>
        <w:t xml:space="preserve"> and a </w:t>
      </w:r>
      <w:r>
        <w:rPr>
          <w:rFonts w:ascii="Arial" w:cs="Arial" w:eastAsia="Arial" w:hAnsi="Arial"/>
          <w:sz w:val="18"/>
          <w:szCs w:val="18"/>
          <w:b/>
          <w:bCs/>
        </w:rPr>
        <w:t xml:space="preserve">posting function</w:t>
      </w:r>
      <w:r>
        <w:rPr>
          <w:rFonts w:ascii="Arial" w:cs="Arial" w:eastAsia="Arial" w:hAnsi="Arial"/>
          <w:sz w:val="18"/>
          <w:szCs w:val="18"/>
        </w:rPr>
        <w:t xml:space="preserve">, because the two have opposite requirements. The trigger runs inside the goods receipt’s posting LUW, immediately before the update task is triggered, where it must be fast and must not post anything. The posting function runs afterwards, in its own logical unit of work, where it may take its time and must own its commit.</w:t>
      </w:r>
    </w:p>
    <w:p>
      <w:pPr>
        <w:spacing w:after="100" w:before="0"/>
      </w:pPr>
      <w:r>
        <w:rPr>
          <w:rFonts w:ascii="Arial" w:cs="Arial" w:eastAsia="Arial" w:hAnsi="Arial"/>
          <w:sz w:val="18"/>
          <w:szCs w:val="18"/>
          <w:b/>
          <w:bCs/>
        </w:rPr>
        <w:t xml:space="preserve">Trigger.</w:t>
      </w:r>
      <w:r>
        <w:rPr>
          <w:rFonts w:ascii="Arial" w:cs="Arial" w:eastAsia="Arial" w:hAnsi="Arial"/>
          <w:sz w:val="18"/>
          <w:szCs w:val="18"/>
        </w:rPr>
        <w:t xml:space="preserve"> The BAdI implementation class receives the material document being posted, classifies each item with two cheap reads (the buffered control table and an order header-material check), and for a qualifying item registers the posting function to run in the background. Registering in this way schedules the call at the next commit – the goods receipt’s own – so the function executes after the material document is persisted, in a separate unit of work. That is precisely what makes it impossible for a transfer failure to roll back the receipt.</w:t>
      </w:r>
    </w:p>
    <w:p>
      <w:pPr>
        <w:spacing w:after="100" w:before="0"/>
      </w:pPr>
      <w:r>
        <w:rPr>
          <w:rFonts w:ascii="Arial" w:cs="Arial" w:eastAsia="Arial" w:hAnsi="Arial"/>
          <w:sz w:val="18"/>
          <w:szCs w:val="18"/>
          <w:b/>
          <w:bCs/>
        </w:rPr>
        <w:t xml:space="preserve">Posting function.</w:t>
      </w:r>
      <w:r>
        <w:rPr>
          <w:rFonts w:ascii="Arial" w:cs="Arial" w:eastAsia="Arial" w:hAnsi="Arial"/>
          <w:sz w:val="18"/>
          <w:szCs w:val="18"/>
        </w:rPr>
        <w:t xml:space="preserve"> </w:t>
      </w:r>
      <w:r>
        <w:rPr>
          <w:rFonts w:ascii="Consolas" w:cs="Consolas" w:eastAsia="Consolas" w:hAnsi="Consolas"/>
          <w:sz w:val="18"/>
          <w:szCs w:val="18"/>
        </w:rPr>
        <w:t xml:space="preserve">Z_MM_301_POST_TRANSFER</w:t>
      </w:r>
      <w:r>
        <w:rPr>
          <w:rFonts w:ascii="Arial" w:cs="Arial" w:eastAsia="Arial" w:hAnsi="Arial"/>
          <w:sz w:val="18"/>
          <w:szCs w:val="18"/>
        </w:rPr>
        <w:t xml:space="preserve"> takes the source document keys and a reversal flag, and performs the whole of section 4.3 steps 3 to 11. It is remote-enabled so it can be registered as a queued unit, and it is written so that it can equally be called synchronously from the monitor’s own dialog unit. Every path into the transfer – real time, repost, catch-up – goes through this one function, which is why the idempotency check at its head is sufficient to guarantee that no receipt is ever transferred twice.</w:t>
      </w:r>
    </w:p>
    <w:p>
      <w:pPr>
        <w:spacing w:after="100" w:before="0"/>
      </w:pPr>
      <w:r>
        <w:rPr>
          <w:rFonts w:ascii="Arial" w:cs="Arial" w:eastAsia="Arial" w:hAnsi="Arial"/>
          <w:sz w:val="18"/>
          <w:szCs w:val="18"/>
          <w:b/>
          <w:bCs/>
        </w:rPr>
        <w:t xml:space="preserve">Monitor.</w:t>
      </w:r>
      <w:r>
        <w:rPr>
          <w:rFonts w:ascii="Arial" w:cs="Arial" w:eastAsia="Arial" w:hAnsi="Arial"/>
          <w:sz w:val="18"/>
          <w:szCs w:val="18"/>
        </w:rPr>
        <w:t xml:space="preserve"> The monitor report reads the movement log for a goods-receipt posting-date window (joined to the material document, never filtered on the log date) and displays it; in repost mode it calls the posting function for the entries in error or warning that have no 301 document yet, and in catch-up mode it finds receipts that have no movement-log row at all and posts them. Each run writes a header to the run log.</w:t>
      </w:r>
    </w:p>
    <w:p>
      <w:pPr>
        <w:spacing w:after="100" w:before="0"/>
      </w:pPr>
      <w:r>
        <w:rPr>
          <w:rFonts w:ascii="Arial" w:cs="Arial" w:eastAsia="Arial" w:hAnsi="Arial"/>
          <w:sz w:val="18"/>
          <w:szCs w:val="18"/>
          <w:b/>
          <w:bCs/>
        </w:rPr>
        <w:t xml:space="preserve">Serialisation.</w:t>
      </w:r>
      <w:r>
        <w:rPr>
          <w:rFonts w:ascii="Arial" w:cs="Arial" w:eastAsia="Arial" w:hAnsi="Arial"/>
          <w:sz w:val="18"/>
          <w:szCs w:val="18"/>
        </w:rPr>
        <w:t xml:space="preserve"> Registering the unit in the background task gives isolation but not ordering. Where strict per-material and per-plant serialisation is wanted, the registration is switched to a queued inbound destination keyed by material and plant; the posting function is unchanged either way. This is a build option, recorded under open items M1 and M8.</w:t>
      </w:r>
    </w:p>
    <w:p>
      <w:pPr>
        <w:pStyle w:val="Heading3"/>
        <w:spacing w:after="120" w:before="240"/>
      </w:pPr>
      <w:r>
        <w:rPr>
          <w:rFonts w:ascii="Arial" w:cs="Arial" w:eastAsia="Arial" w:hAnsi="Arial"/>
          <w:b/>
          <w:bCs/>
          <w:color w:val="005B9A"/>
          <w:sz w:val="21"/>
          <w:szCs w:val="21"/>
        </w:rPr>
        <w:t xml:space="preserve">5.1.1 Development Objects</w:t>
      </w:r>
    </w:p>
    <w:tbl>
      <w:tblPr>
        <w:tblW w:type="dxa" w:w="9700"/>
        <w:tblBorders>
          <w:top w:val="single" w:color="AAB4BE" w:sz="4"/>
          <w:left w:val="single" w:color="AAB4BE" w:sz="4"/>
          <w:bottom w:val="single" w:color="AAB4BE" w:sz="4"/>
          <w:right w:val="single" w:color="AAB4BE" w:sz="4"/>
          <w:insideH w:val="single" w:color="AAB4BE" w:sz="4"/>
          <w:insideV w:val="single" w:color="AAB4BE" w:sz="4"/>
        </w:tblBorders>
      </w:tblPr>
      <w:tblGrid>
        <w:gridCol w:w="2400"/>
        <w:gridCol w:w="2900"/>
        <w:gridCol w:w="1400"/>
        <w:gridCol w:w="3000"/>
      </w:tblGrid>
      <w:tr>
        <w:trPr>
          <w:tblHeader/>
        </w:trPr>
        <w:tc>
          <w:tcPr>
            <w:tcW w:type="dxa" w:w="24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Object type</w:t>
            </w:r>
          </w:p>
        </w:tc>
        <w:tc>
          <w:tcPr>
            <w:tcW w:type="dxa" w:w="29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Technical name</w:t>
            </w:r>
          </w:p>
        </w:tc>
        <w:tc>
          <w:tcPr>
            <w:tcW w:type="dxa" w:w="14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New / Change</w:t>
            </w:r>
          </w:p>
        </w:tc>
        <w:tc>
          <w:tcPr>
            <w:tcW w:type="dxa" w:w="30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Description</w:t>
            </w:r>
          </w:p>
        </w:tc>
      </w:tr>
      <w:tr>
        <w:trPr>
          <w:tblHeader w:val="false"/>
        </w:trPr>
        <w:tc>
          <w:tcPr>
            <w:tcW w:type="dxa" w:w="24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Class (CLAS)</w:t>
            </w:r>
          </w:p>
        </w:tc>
        <w:tc>
          <w:tcPr>
            <w:tcW w:type="dxa" w:w="2900"/>
            <w:tcMar>
              <w:top w:type="dxa" w:w="60"/>
              <w:left w:type="dxa" w:w="100"/>
              <w:bottom w:type="dxa" w:w="60"/>
              <w:right w:type="dxa" w:w="100"/>
            </w:tcMar>
          </w:tcPr>
          <w:p>
            <w:pPr>
              <w:spacing w:after="40" w:before="0"/>
            </w:pPr>
            <w:r>
              <w:rPr>
                <w:rFonts w:ascii="Consolas" w:cs="Consolas" w:eastAsia="Consolas" w:hAnsi="Consolas"/>
                <w:b w:val="false"/>
                <w:bCs w:val="false"/>
                <w:sz w:val="18"/>
                <w:szCs w:val="18"/>
              </w:rPr>
              <w:t xml:space="preserve">ZCL_MM_301_GR_TRIGGER</w:t>
            </w:r>
          </w:p>
        </w:tc>
        <w:tc>
          <w:tcPr>
            <w:tcW w:type="dxa" w:w="14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New</w:t>
            </w:r>
          </w:p>
        </w:tc>
        <w:tc>
          <w:tcPr>
            <w:tcW w:type="dxa" w:w="30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Implements </w:t>
            </w:r>
            <w:r>
              <w:rPr>
                <w:rFonts w:ascii="Consolas" w:cs="Consolas" w:eastAsia="Consolas" w:hAnsi="Consolas"/>
                <w:b w:val="false"/>
                <w:bCs w:val="false"/>
                <w:sz w:val="18"/>
                <w:szCs w:val="18"/>
              </w:rPr>
              <w:t xml:space="preserve">IF_EX_MB_DOCUMENT_BADI</w:t>
            </w:r>
            <w:r>
              <w:rPr>
                <w:rFonts w:ascii="Arial" w:cs="Arial" w:eastAsia="Arial" w:hAnsi="Arial"/>
                <w:b w:val="false"/>
                <w:bCs w:val="false"/>
                <w:sz w:val="18"/>
                <w:szCs w:val="18"/>
              </w:rPr>
              <w:t xml:space="preserve">; classifies the posted document items and registers the posting unit</w:t>
            </w:r>
          </w:p>
        </w:tc>
      </w:tr>
      <w:tr>
        <w:trPr>
          <w:tblHeader w:val="false"/>
        </w:trPr>
        <w:tc>
          <w:tcPr>
            <w:tcW w:type="dxa" w:w="24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BAdI implementation (SXCI)</w:t>
            </w:r>
          </w:p>
        </w:tc>
        <w:tc>
          <w:tcPr>
            <w:tcW w:type="dxa" w:w="2900"/>
            <w:tcMar>
              <w:top w:type="dxa" w:w="60"/>
              <w:left w:type="dxa" w:w="100"/>
              <w:bottom w:type="dxa" w:w="60"/>
              <w:right w:type="dxa" w:w="100"/>
            </w:tcMar>
          </w:tcPr>
          <w:p>
            <w:pPr>
              <w:spacing w:after="40" w:before="0"/>
            </w:pPr>
            <w:r>
              <w:rPr>
                <w:rFonts w:ascii="Consolas" w:cs="Consolas" w:eastAsia="Consolas" w:hAnsi="Consolas"/>
                <w:b w:val="false"/>
                <w:bCs w:val="false"/>
                <w:sz w:val="18"/>
                <w:szCs w:val="18"/>
              </w:rPr>
              <w:t xml:space="preserve">ZMM_301_GR_TRIGGER</w:t>
            </w:r>
          </w:p>
        </w:tc>
        <w:tc>
          <w:tcPr>
            <w:tcW w:type="dxa" w:w="14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New</w:t>
            </w:r>
          </w:p>
        </w:tc>
        <w:tc>
          <w:tcPr>
            <w:tcW w:type="dxa" w:w="30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Implementation of standard BAdI </w:t>
            </w:r>
            <w:r>
              <w:rPr>
                <w:rFonts w:ascii="Consolas" w:cs="Consolas" w:eastAsia="Consolas" w:hAnsi="Consolas"/>
                <w:b w:val="false"/>
                <w:bCs w:val="false"/>
                <w:sz w:val="18"/>
                <w:szCs w:val="18"/>
              </w:rPr>
              <w:t xml:space="preserve">MB_DOCUMENT_BADI</w:t>
            </w:r>
          </w:p>
        </w:tc>
      </w:tr>
      <w:tr>
        <w:trPr>
          <w:tblHeader w:val="false"/>
        </w:trPr>
        <w:tc>
          <w:tcPr>
            <w:tcW w:type="dxa" w:w="24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Function group (FUGR)</w:t>
            </w:r>
          </w:p>
        </w:tc>
        <w:tc>
          <w:tcPr>
            <w:tcW w:type="dxa" w:w="2900"/>
            <w:tcMar>
              <w:top w:type="dxa" w:w="60"/>
              <w:left w:type="dxa" w:w="100"/>
              <w:bottom w:type="dxa" w:w="60"/>
              <w:right w:type="dxa" w:w="100"/>
            </w:tcMar>
          </w:tcPr>
          <w:p>
            <w:pPr>
              <w:spacing w:after="40" w:before="0"/>
            </w:pPr>
            <w:r>
              <w:rPr>
                <w:rFonts w:ascii="Consolas" w:cs="Consolas" w:eastAsia="Consolas" w:hAnsi="Consolas"/>
                <w:b w:val="false"/>
                <w:bCs w:val="false"/>
                <w:sz w:val="18"/>
                <w:szCs w:val="18"/>
              </w:rPr>
              <w:t xml:space="preserve">ZMM_301_MOV</w:t>
            </w:r>
          </w:p>
        </w:tc>
        <w:tc>
          <w:tcPr>
            <w:tcW w:type="dxa" w:w="14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New</w:t>
            </w:r>
          </w:p>
        </w:tc>
        <w:tc>
          <w:tcPr>
            <w:tcW w:type="dxa" w:w="30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Container for the posting function</w:t>
            </w:r>
          </w:p>
        </w:tc>
      </w:tr>
      <w:tr>
        <w:trPr>
          <w:tblHeader w:val="false"/>
        </w:trPr>
        <w:tc>
          <w:tcPr>
            <w:tcW w:type="dxa" w:w="24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Function module (FUNC)</w:t>
            </w:r>
          </w:p>
        </w:tc>
        <w:tc>
          <w:tcPr>
            <w:tcW w:type="dxa" w:w="2900"/>
            <w:tcMar>
              <w:top w:type="dxa" w:w="60"/>
              <w:left w:type="dxa" w:w="100"/>
              <w:bottom w:type="dxa" w:w="60"/>
              <w:right w:type="dxa" w:w="100"/>
            </w:tcMar>
          </w:tcPr>
          <w:p>
            <w:pPr>
              <w:spacing w:after="40" w:before="0"/>
            </w:pPr>
            <w:r>
              <w:rPr>
                <w:rFonts w:ascii="Consolas" w:cs="Consolas" w:eastAsia="Consolas" w:hAnsi="Consolas"/>
                <w:b w:val="false"/>
                <w:bCs w:val="false"/>
                <w:sz w:val="18"/>
                <w:szCs w:val="18"/>
              </w:rPr>
              <w:t xml:space="preserve">Z_MM_301_POST_TRANSFER</w:t>
            </w:r>
          </w:p>
        </w:tc>
        <w:tc>
          <w:tcPr>
            <w:tcW w:type="dxa" w:w="14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New</w:t>
            </w:r>
          </w:p>
        </w:tc>
        <w:tc>
          <w:tcPr>
            <w:tcW w:type="dxa" w:w="30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Remote-enabled; posts the 301 or the 302 reversal in its own logical unit of work</w:t>
            </w:r>
          </w:p>
        </w:tc>
      </w:tr>
      <w:tr>
        <w:trPr>
          <w:tblHeader w:val="false"/>
        </w:trPr>
        <w:tc>
          <w:tcPr>
            <w:tcW w:type="dxa" w:w="24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Report (PROG)</w:t>
            </w:r>
          </w:p>
        </w:tc>
        <w:tc>
          <w:tcPr>
            <w:tcW w:type="dxa" w:w="2900"/>
            <w:tcMar>
              <w:top w:type="dxa" w:w="60"/>
              <w:left w:type="dxa" w:w="100"/>
              <w:bottom w:type="dxa" w:w="60"/>
              <w:right w:type="dxa" w:w="100"/>
            </w:tcMar>
          </w:tcPr>
          <w:p>
            <w:pPr>
              <w:spacing w:after="40" w:before="0"/>
            </w:pPr>
            <w:r>
              <w:rPr>
                <w:rFonts w:ascii="Consolas" w:cs="Consolas" w:eastAsia="Consolas" w:hAnsi="Consolas"/>
                <w:b w:val="false"/>
                <w:bCs w:val="false"/>
                <w:sz w:val="18"/>
                <w:szCs w:val="18"/>
              </w:rPr>
              <w:t xml:space="preserve">ZMM_R_301_MOV_MONITOR</w:t>
            </w:r>
          </w:p>
        </w:tc>
        <w:tc>
          <w:tcPr>
            <w:tcW w:type="dxa" w:w="14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New</w:t>
            </w:r>
          </w:p>
        </w:tc>
        <w:tc>
          <w:tcPr>
            <w:tcW w:type="dxa" w:w="30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Monitor, repost and catch-up; local class </w:t>
            </w:r>
            <w:r>
              <w:rPr>
                <w:rFonts w:ascii="Consolas" w:cs="Consolas" w:eastAsia="Consolas" w:hAnsi="Consolas"/>
                <w:b w:val="false"/>
                <w:bCs w:val="false"/>
                <w:sz w:val="18"/>
                <w:szCs w:val="18"/>
              </w:rPr>
              <w:t xml:space="preserve">LCL_MON</w:t>
            </w:r>
          </w:p>
        </w:tc>
      </w:tr>
      <w:tr>
        <w:trPr>
          <w:tblHeader w:val="false"/>
        </w:trPr>
        <w:tc>
          <w:tcPr>
            <w:tcW w:type="dxa" w:w="24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Transaction (TRAN)</w:t>
            </w:r>
          </w:p>
        </w:tc>
        <w:tc>
          <w:tcPr>
            <w:tcW w:type="dxa" w:w="2900"/>
            <w:tcMar>
              <w:top w:type="dxa" w:w="60"/>
              <w:left w:type="dxa" w:w="100"/>
              <w:bottom w:type="dxa" w:w="60"/>
              <w:right w:type="dxa" w:w="100"/>
            </w:tcMar>
          </w:tcPr>
          <w:p>
            <w:pPr>
              <w:spacing w:after="40" w:before="0"/>
            </w:pPr>
            <w:r>
              <w:rPr>
                <w:rFonts w:ascii="Consolas" w:cs="Consolas" w:eastAsia="Consolas" w:hAnsi="Consolas"/>
                <w:b w:val="false"/>
                <w:bCs w:val="false"/>
                <w:sz w:val="18"/>
                <w:szCs w:val="18"/>
              </w:rPr>
              <w:t xml:space="preserve">ZMM301M</w:t>
            </w:r>
          </w:p>
        </w:tc>
        <w:tc>
          <w:tcPr>
            <w:tcW w:type="dxa" w:w="14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New</w:t>
            </w:r>
          </w:p>
        </w:tc>
        <w:tc>
          <w:tcPr>
            <w:tcW w:type="dxa" w:w="30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Start transaction for the monitor</w:t>
            </w:r>
          </w:p>
        </w:tc>
      </w:tr>
      <w:tr>
        <w:trPr>
          <w:tblHeader w:val="false"/>
        </w:trPr>
        <w:tc>
          <w:tcPr>
            <w:tcW w:type="dxa" w:w="24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Table (TABL)</w:t>
            </w:r>
          </w:p>
        </w:tc>
        <w:tc>
          <w:tcPr>
            <w:tcW w:type="dxa" w:w="2900"/>
            <w:tcMar>
              <w:top w:type="dxa" w:w="60"/>
              <w:left w:type="dxa" w:w="100"/>
              <w:bottom w:type="dxa" w:w="60"/>
              <w:right w:type="dxa" w:w="100"/>
            </w:tcMar>
          </w:tcPr>
          <w:p>
            <w:pPr>
              <w:spacing w:after="40" w:before="0"/>
            </w:pPr>
            <w:r>
              <w:rPr>
                <w:rFonts w:ascii="Consolas" w:cs="Consolas" w:eastAsia="Consolas" w:hAnsi="Consolas"/>
                <w:b w:val="false"/>
                <w:bCs w:val="false"/>
                <w:sz w:val="18"/>
                <w:szCs w:val="18"/>
              </w:rPr>
              <w:t xml:space="preserve">ZMM_301_CTRL</w:t>
            </w:r>
          </w:p>
        </w:tc>
        <w:tc>
          <w:tcPr>
            <w:tcW w:type="dxa" w:w="14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New – shared with the companion object, which reads the ACTIVE flag</w:t>
            </w:r>
          </w:p>
        </w:tc>
        <w:tc>
          <w:tcPr>
            <w:tcW w:type="dxa" w:w="30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Control and configuration, with an SM30 maintenance view; fully buffered</w:t>
            </w:r>
          </w:p>
        </w:tc>
      </w:tr>
      <w:tr>
        <w:trPr>
          <w:tblHeader w:val="false"/>
        </w:trPr>
        <w:tc>
          <w:tcPr>
            <w:tcW w:type="dxa" w:w="24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Table (TABL)</w:t>
            </w:r>
          </w:p>
        </w:tc>
        <w:tc>
          <w:tcPr>
            <w:tcW w:type="dxa" w:w="2900"/>
            <w:tcMar>
              <w:top w:type="dxa" w:w="60"/>
              <w:left w:type="dxa" w:w="100"/>
              <w:bottom w:type="dxa" w:w="60"/>
              <w:right w:type="dxa" w:w="100"/>
            </w:tcMar>
          </w:tcPr>
          <w:p>
            <w:pPr>
              <w:spacing w:after="40" w:before="0"/>
            </w:pPr>
            <w:r>
              <w:rPr>
                <w:rFonts w:ascii="Consolas" w:cs="Consolas" w:eastAsia="Consolas" w:hAnsi="Consolas"/>
                <w:b w:val="false"/>
                <w:bCs w:val="false"/>
                <w:sz w:val="18"/>
                <w:szCs w:val="18"/>
              </w:rPr>
              <w:t xml:space="preserve">ZMM_301_MOV_LOG</w:t>
            </w:r>
          </w:p>
        </w:tc>
        <w:tc>
          <w:tcPr>
            <w:tcW w:type="dxa" w:w="14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New</w:t>
            </w:r>
          </w:p>
        </w:tc>
        <w:tc>
          <w:tcPr>
            <w:tcW w:type="dxa" w:w="30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One row per source goods-receipt item; the idempotency record</w:t>
            </w:r>
          </w:p>
        </w:tc>
      </w:tr>
      <w:tr>
        <w:trPr>
          <w:tblHeader w:val="false"/>
        </w:trPr>
        <w:tc>
          <w:tcPr>
            <w:tcW w:type="dxa" w:w="24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Table (TABL)</w:t>
            </w:r>
          </w:p>
        </w:tc>
        <w:tc>
          <w:tcPr>
            <w:tcW w:type="dxa" w:w="2900"/>
            <w:tcMar>
              <w:top w:type="dxa" w:w="60"/>
              <w:left w:type="dxa" w:w="100"/>
              <w:bottom w:type="dxa" w:w="60"/>
              <w:right w:type="dxa" w:w="100"/>
            </w:tcMar>
          </w:tcPr>
          <w:p>
            <w:pPr>
              <w:spacing w:after="40" w:before="0"/>
            </w:pPr>
            <w:r>
              <w:rPr>
                <w:rFonts w:ascii="Consolas" w:cs="Consolas" w:eastAsia="Consolas" w:hAnsi="Consolas"/>
                <w:b w:val="false"/>
                <w:bCs w:val="false"/>
                <w:sz w:val="18"/>
                <w:szCs w:val="18"/>
              </w:rPr>
              <w:t xml:space="preserve">ZMM_301_MOV_RUN_LOG</w:t>
            </w:r>
          </w:p>
        </w:tc>
        <w:tc>
          <w:tcPr>
            <w:tcW w:type="dxa" w:w="14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New</w:t>
            </w:r>
          </w:p>
        </w:tc>
        <w:tc>
          <w:tcPr>
            <w:tcW w:type="dxa" w:w="30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One row per monitor, repost or catch-up run</w:t>
            </w:r>
          </w:p>
        </w:tc>
      </w:tr>
      <w:tr>
        <w:trPr>
          <w:tblHeader w:val="false"/>
        </w:trPr>
        <w:tc>
          <w:tcPr>
            <w:tcW w:type="dxa" w:w="24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Table (TABL)</w:t>
            </w:r>
          </w:p>
        </w:tc>
        <w:tc>
          <w:tcPr>
            <w:tcW w:type="dxa" w:w="2900"/>
            <w:tcMar>
              <w:top w:type="dxa" w:w="60"/>
              <w:left w:type="dxa" w:w="100"/>
              <w:bottom w:type="dxa" w:w="60"/>
              <w:right w:type="dxa" w:w="100"/>
            </w:tcMar>
          </w:tcPr>
          <w:p>
            <w:pPr>
              <w:spacing w:after="40" w:before="0"/>
            </w:pPr>
            <w:r>
              <w:rPr>
                <w:rFonts w:ascii="Consolas" w:cs="Consolas" w:eastAsia="Consolas" w:hAnsi="Consolas"/>
                <w:b w:val="false"/>
                <w:bCs w:val="false"/>
                <w:sz w:val="18"/>
                <w:szCs w:val="18"/>
              </w:rPr>
              <w:t xml:space="preserve">ZMM_301_VALTYPE</w:t>
            </w:r>
          </w:p>
        </w:tc>
        <w:tc>
          <w:tcPr>
            <w:tcW w:type="dxa" w:w="14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New</w:t>
            </w:r>
          </w:p>
        </w:tc>
        <w:tc>
          <w:tcPr>
            <w:tcW w:type="dxa" w:w="30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Fiscal year → destination valuation type, with an SM30 maintenance view</w:t>
            </w:r>
          </w:p>
        </w:tc>
      </w:tr>
      <w:tr>
        <w:trPr>
          <w:tblHeader w:val="false"/>
        </w:trPr>
        <w:tc>
          <w:tcPr>
            <w:tcW w:type="dxa" w:w="24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Table (read)</w:t>
            </w:r>
          </w:p>
        </w:tc>
        <w:tc>
          <w:tcPr>
            <w:tcW w:type="dxa" w:w="2900"/>
            <w:tcMar>
              <w:top w:type="dxa" w:w="60"/>
              <w:left w:type="dxa" w:w="100"/>
              <w:bottom w:type="dxa" w:w="60"/>
              <w:right w:type="dxa" w:w="100"/>
            </w:tcMar>
          </w:tcPr>
          <w:p>
            <w:pPr>
              <w:spacing w:after="40" w:before="0"/>
            </w:pPr>
            <w:r>
              <w:rPr>
                <w:rFonts w:ascii="Consolas" w:cs="Consolas" w:eastAsia="Consolas" w:hAnsi="Consolas"/>
                <w:b w:val="false"/>
                <w:bCs w:val="false"/>
                <w:sz w:val="18"/>
                <w:szCs w:val="18"/>
              </w:rPr>
              <w:t xml:space="preserve">ZMM_301_RESV_LOG</w:t>
            </w:r>
          </w:p>
        </w:tc>
        <w:tc>
          <w:tcPr>
            <w:tcW w:type="dxa" w:w="14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Read only – created by the companion object R-xxx-SEG</w:t>
            </w:r>
          </w:p>
        </w:tc>
        <w:tc>
          <w:tcPr>
            <w:tcW w:type="dxa" w:w="30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Production order → reservation link</w:t>
            </w:r>
          </w:p>
        </w:tc>
      </w:tr>
      <w:tr>
        <w:trPr>
          <w:tblHeader w:val="false"/>
        </w:trPr>
        <w:tc>
          <w:tcPr>
            <w:tcW w:type="dxa" w:w="24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Message class (MSAG)</w:t>
            </w:r>
          </w:p>
        </w:tc>
        <w:tc>
          <w:tcPr>
            <w:tcW w:type="dxa" w:w="2900"/>
            <w:tcMar>
              <w:top w:type="dxa" w:w="60"/>
              <w:left w:type="dxa" w:w="100"/>
              <w:bottom w:type="dxa" w:w="60"/>
              <w:right w:type="dxa" w:w="100"/>
            </w:tcMar>
          </w:tcPr>
          <w:p>
            <w:pPr>
              <w:spacing w:after="40" w:before="0"/>
            </w:pPr>
            <w:r>
              <w:rPr>
                <w:rFonts w:ascii="Consolas" w:cs="Consolas" w:eastAsia="Consolas" w:hAnsi="Consolas"/>
                <w:b w:val="false"/>
                <w:bCs w:val="false"/>
                <w:sz w:val="18"/>
                <w:szCs w:val="18"/>
              </w:rPr>
              <w:t xml:space="preserve">ZMM301</w:t>
            </w:r>
          </w:p>
        </w:tc>
        <w:tc>
          <w:tcPr>
            <w:tcW w:type="dxa" w:w="14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New – shared with the companion object</w:t>
            </w:r>
          </w:p>
        </w:tc>
        <w:tc>
          <w:tcPr>
            <w:tcW w:type="dxa" w:w="30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All messages of the migration solution</w:t>
            </w:r>
          </w:p>
        </w:tc>
      </w:tr>
      <w:tr>
        <w:trPr>
          <w:tblHeader w:val="false"/>
        </w:trPr>
        <w:tc>
          <w:tcPr>
            <w:tcW w:type="dxa" w:w="24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Application log (SLG0)</w:t>
            </w:r>
          </w:p>
        </w:tc>
        <w:tc>
          <w:tcPr>
            <w:tcW w:type="dxa" w:w="29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Object </w:t>
            </w:r>
            <w:r>
              <w:rPr>
                <w:rFonts w:ascii="Consolas" w:cs="Consolas" w:eastAsia="Consolas" w:hAnsi="Consolas"/>
                <w:b w:val="false"/>
                <w:bCs w:val="false"/>
                <w:sz w:val="18"/>
                <w:szCs w:val="18"/>
              </w:rPr>
              <w:t xml:space="preserve">ZMM</w:t>
            </w:r>
            <w:r>
              <w:rPr>
                <w:rFonts w:ascii="Arial" w:cs="Arial" w:eastAsia="Arial" w:hAnsi="Arial"/>
                <w:b w:val="false"/>
                <w:bCs w:val="false"/>
                <w:sz w:val="18"/>
                <w:szCs w:val="18"/>
              </w:rPr>
              <w:t xml:space="preserve">, subobject </w:t>
            </w:r>
            <w:r>
              <w:rPr>
                <w:rFonts w:ascii="Consolas" w:cs="Consolas" w:eastAsia="Consolas" w:hAnsi="Consolas"/>
                <w:b w:val="false"/>
                <w:bCs w:val="false"/>
                <w:sz w:val="18"/>
                <w:szCs w:val="18"/>
              </w:rPr>
              <w:t xml:space="preserve">Z301MOV</w:t>
            </w:r>
          </w:p>
        </w:tc>
        <w:tc>
          <w:tcPr>
            <w:tcW w:type="dxa" w:w="14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New</w:t>
            </w:r>
          </w:p>
        </w:tc>
        <w:tc>
          <w:tcPr>
            <w:tcW w:type="dxa" w:w="30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Logging for the transfers and the monitor runs</w:t>
            </w:r>
          </w:p>
        </w:tc>
      </w:tr>
    </w:tbl>
    <w:p>
      <w:pPr>
        <w:pStyle w:val="Heading3"/>
        <w:spacing w:after="120" w:before="240"/>
      </w:pPr>
      <w:r>
        <w:rPr>
          <w:rFonts w:ascii="Arial" w:cs="Arial" w:eastAsia="Arial" w:hAnsi="Arial"/>
          <w:b/>
          <w:bCs/>
          <w:color w:val="005B9A"/>
          <w:sz w:val="21"/>
          <w:szCs w:val="21"/>
        </w:rPr>
        <w:t xml:space="preserve">5.1.2 Programs / Reports</w:t>
      </w:r>
    </w:p>
    <w:tbl>
      <w:tblPr>
        <w:tblW w:type="dxa" w:w="9700"/>
        <w:tblBorders>
          <w:top w:val="single" w:color="AAB4BE" w:sz="4"/>
          <w:left w:val="single" w:color="AAB4BE" w:sz="4"/>
          <w:bottom w:val="single" w:color="AAB4BE" w:sz="4"/>
          <w:right w:val="single" w:color="AAB4BE" w:sz="4"/>
          <w:insideH w:val="single" w:color="AAB4BE" w:sz="4"/>
          <w:insideV w:val="single" w:color="AAB4BE" w:sz="4"/>
        </w:tblBorders>
      </w:tblPr>
      <w:tblGrid>
        <w:gridCol w:w="2400"/>
        <w:gridCol w:w="7300"/>
      </w:tblGrid>
      <w:tr>
        <w:trPr>
          <w:tblHeader/>
        </w:trPr>
        <w:tc>
          <w:tcPr>
            <w:tcW w:type="dxa" w:w="24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Program</w:t>
            </w:r>
          </w:p>
        </w:tc>
        <w:tc>
          <w:tcPr>
            <w:tcW w:type="dxa" w:w="73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Description, screens, includes, logic</w:t>
            </w:r>
          </w:p>
        </w:tc>
      </w:tr>
      <w:tr>
        <w:trPr>
          <w:tblHeader w:val="false"/>
        </w:trPr>
        <w:tc>
          <w:tcPr>
            <w:tcW w:type="dxa" w:w="2400"/>
            <w:tcMar>
              <w:top w:type="dxa" w:w="60"/>
              <w:left w:type="dxa" w:w="100"/>
              <w:bottom w:type="dxa" w:w="60"/>
              <w:right w:type="dxa" w:w="100"/>
            </w:tcMar>
          </w:tcPr>
          <w:p>
            <w:pPr>
              <w:spacing w:after="40" w:before="0"/>
            </w:pPr>
            <w:r>
              <w:rPr>
                <w:rFonts w:ascii="Consolas" w:cs="Consolas" w:eastAsia="Consolas" w:hAnsi="Consolas"/>
                <w:b w:val="false"/>
                <w:bCs w:val="false"/>
                <w:sz w:val="18"/>
                <w:szCs w:val="18"/>
              </w:rPr>
              <w:t xml:space="preserve">ZMM_R_301_MOV_MONITOR</w:t>
            </w:r>
          </w:p>
        </w:tc>
        <w:tc>
          <w:tcPr>
            <w:tcW w:type="dxa" w:w="7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Monitor, repost and catch-up report behind transaction ZMM301M, built on local class </w:t>
            </w:r>
            <w:r>
              <w:rPr>
                <w:rFonts w:ascii="Consolas" w:cs="Consolas" w:eastAsia="Consolas" w:hAnsi="Consolas"/>
                <w:b w:val="false"/>
                <w:bCs w:val="false"/>
                <w:sz w:val="18"/>
                <w:szCs w:val="18"/>
              </w:rPr>
              <w:t xml:space="preserve">LCL_MON</w:t>
            </w:r>
            <w:r>
              <w:rPr>
                <w:rFonts w:ascii="Arial" w:cs="Arial" w:eastAsia="Arial" w:hAnsi="Arial"/>
                <w:b w:val="false"/>
                <w:bCs w:val="false"/>
                <w:sz w:val="18"/>
                <w:szCs w:val="18"/>
              </w:rPr>
              <w:t xml:space="preserve">. Selection screen as specified in section 4.2. </w:t>
            </w:r>
            <w:r>
              <w:rPr>
                <w:rFonts w:ascii="Arial" w:cs="Arial" w:eastAsia="Arial" w:hAnsi="Arial"/>
                <w:sz w:val="18"/>
                <w:szCs w:val="18"/>
                <w:b/>
                <w:bCs/>
              </w:rPr>
              <w:t xml:space="preserve">Mode M reads ZMM_301_MOV_LOG, joined to the material document, for the plant, goods-receipt posting-date window and order selection into an ALV</w:t>
            </w:r>
            <w:r>
              <w:rPr>
                <w:rFonts w:ascii="Arial" w:cs="Arial" w:eastAsia="Arial" w:hAnsi="Arial"/>
                <w:b w:val="false"/>
                <w:bCs w:val="false"/>
                <w:sz w:val="18"/>
                <w:szCs w:val="18"/>
              </w:rPr>
              <w:t xml:space="preserve"/>
            </w:r>
            <w:r>
              <w:rPr>
                <w:rFonts w:ascii="Consolas" w:cs="Consolas" w:eastAsia="Consolas" w:hAnsi="Consolas"/>
                <w:b w:val="false"/>
                <w:bCs w:val="false"/>
                <w:sz w:val="18"/>
                <w:szCs w:val="18"/>
              </w:rPr>
              <w:t xml:space="preserve"/>
            </w:r>
            <w:r>
              <w:rPr>
                <w:rFonts w:ascii="Arial" w:cs="Arial" w:eastAsia="Arial" w:hAnsi="Arial"/>
                <w:b w:val="false"/>
                <w:bCs w:val="false"/>
                <w:sz w:val="18"/>
                <w:szCs w:val="18"/>
              </w:rPr>
              <w:t xml:space="preserve"> and rolls up the counts. </w:t>
            </w:r>
            <w:r>
              <w:rPr>
                <w:rFonts w:ascii="Arial" w:cs="Arial" w:eastAsia="Arial" w:hAnsi="Arial"/>
                <w:sz w:val="18"/>
                <w:szCs w:val="18"/>
                <w:b/>
                <w:bCs/>
              </w:rPr>
              <w:t xml:space="preserve">Mode P reprocesses the rows in status E or W that have no 301 material document by calling</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Z_MM_301_POST_TRANSFER</w:t>
            </w:r>
            <w:r>
              <w:rPr>
                <w:rFonts w:ascii="Arial" w:cs="Arial" w:eastAsia="Arial" w:hAnsi="Arial"/>
                <w:b w:val="false"/>
                <w:bCs w:val="false"/>
                <w:sz w:val="18"/>
                <w:szCs w:val="18"/>
              </w:rPr>
              <w:t xml:space="preserve"> once per row and re-reading the outcome. </w:t>
            </w:r>
            <w:r>
              <w:rPr>
                <w:rFonts w:ascii="Arial" w:cs="Arial" w:eastAsia="Arial" w:hAnsi="Arial"/>
                <w:sz w:val="18"/>
                <w:szCs w:val="18"/>
                <w:b/>
                <w:bCs/>
              </w:rPr>
              <w:t xml:space="preserve">Mode C</w:t>
            </w:r>
            <w:r>
              <w:rPr>
                <w:rFonts w:ascii="Arial" w:cs="Arial" w:eastAsia="Arial" w:hAnsi="Arial"/>
                <w:b w:val="false"/>
                <w:bCs w:val="false"/>
                <w:sz w:val="18"/>
                <w:szCs w:val="18"/>
              </w:rPr>
              <w:t xml:space="preserve"> joins the material document header and items for movement type 101 in the plant, order and posting-date window, skips the rows already recorded as successful, and posts the remainder. Every run writes a </w:t>
            </w:r>
            <w:r>
              <w:rPr>
                <w:rFonts w:ascii="Consolas" w:cs="Consolas" w:eastAsia="Consolas" w:hAnsi="Consolas"/>
                <w:b w:val="false"/>
                <w:bCs w:val="false"/>
                <w:sz w:val="18"/>
                <w:szCs w:val="18"/>
              </w:rPr>
              <w:t xml:space="preserve">ZMM_301_MOV_RUN_LOG</w:t>
            </w:r>
            <w:r>
              <w:rPr>
                <w:rFonts w:ascii="Arial" w:cs="Arial" w:eastAsia="Arial" w:hAnsi="Arial"/>
                <w:b w:val="false"/>
                <w:bCs w:val="false"/>
                <w:sz w:val="18"/>
                <w:szCs w:val="18"/>
              </w:rPr>
              <w:t xml:space="preserve"> header at the start and completes it with the counts, duration and final status. In catch-up mode the report can reschedule its own next run, using the same pattern as the companion object: the successor is scheduled only after the current run finishes, and the chain stops when </w:t>
            </w:r>
            <w:r>
              <w:rPr>
                <w:rFonts w:ascii="Consolas" w:cs="Consolas" w:eastAsia="Consolas" w:hAnsi="Consolas"/>
                <w:b w:val="false"/>
                <w:bCs w:val="false"/>
                <w:sz w:val="18"/>
                <w:szCs w:val="18"/>
              </w:rPr>
              <w:t xml:space="preserve">ZMM_301_CTRL-ACTIVE</w:t>
            </w:r>
            <w:r>
              <w:rPr>
                <w:rFonts w:ascii="Arial" w:cs="Arial" w:eastAsia="Arial" w:hAnsi="Arial"/>
                <w:b w:val="false"/>
                <w:bCs w:val="false"/>
                <w:sz w:val="18"/>
                <w:szCs w:val="18"/>
              </w:rPr>
              <w:t xml:space="preserve"> is unset.</w:t>
            </w:r>
          </w:p>
        </w:tc>
      </w:tr>
    </w:tbl>
    <w:p>
      <w:pPr>
        <w:pStyle w:val="Heading3"/>
        <w:spacing w:after="120" w:before="240"/>
      </w:pPr>
      <w:r>
        <w:rPr>
          <w:rFonts w:ascii="Arial" w:cs="Arial" w:eastAsia="Arial" w:hAnsi="Arial"/>
          <w:b/>
          <w:bCs/>
          <w:color w:val="005B9A"/>
          <w:sz w:val="21"/>
          <w:szCs w:val="21"/>
        </w:rPr>
        <w:t xml:space="preserve">5.1.3 Classes and Methods</w:t>
      </w:r>
    </w:p>
    <w:tbl>
      <w:tblPr>
        <w:tblW w:type="dxa" w:w="9700"/>
        <w:tblBorders>
          <w:top w:val="single" w:color="AAB4BE" w:sz="4"/>
          <w:left w:val="single" w:color="AAB4BE" w:sz="4"/>
          <w:bottom w:val="single" w:color="AAB4BE" w:sz="4"/>
          <w:right w:val="single" w:color="AAB4BE" w:sz="4"/>
          <w:insideH w:val="single" w:color="AAB4BE" w:sz="4"/>
          <w:insideV w:val="single" w:color="AAB4BE" w:sz="4"/>
        </w:tblBorders>
      </w:tblPr>
      <w:tblGrid>
        <w:gridCol w:w="2400"/>
        <w:gridCol w:w="2400"/>
        <w:gridCol w:w="4900"/>
      </w:tblGrid>
      <w:tr>
        <w:trPr>
          <w:tblHeader/>
        </w:trPr>
        <w:tc>
          <w:tcPr>
            <w:tcW w:type="dxa" w:w="24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Class</w:t>
            </w:r>
          </w:p>
        </w:tc>
        <w:tc>
          <w:tcPr>
            <w:tcW w:type="dxa" w:w="24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Method</w:t>
            </w:r>
          </w:p>
        </w:tc>
        <w:tc>
          <w:tcPr>
            <w:tcW w:type="dxa" w:w="49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Logic</w:t>
            </w:r>
          </w:p>
        </w:tc>
      </w:tr>
      <w:tr>
        <w:trPr>
          <w:tblHeader w:val="false"/>
        </w:trPr>
        <w:tc>
          <w:tcPr>
            <w:tcW w:type="dxa" w:w="2400"/>
            <w:tcMar>
              <w:top w:type="dxa" w:w="60"/>
              <w:left w:type="dxa" w:w="100"/>
              <w:bottom w:type="dxa" w:w="60"/>
              <w:right w:type="dxa" w:w="100"/>
            </w:tcMar>
          </w:tcPr>
          <w:p>
            <w:pPr>
              <w:spacing w:after="40" w:before="0"/>
            </w:pPr>
            <w:r>
              <w:rPr>
                <w:rFonts w:ascii="Consolas" w:cs="Consolas" w:eastAsia="Consolas" w:hAnsi="Consolas"/>
                <w:b w:val="false"/>
                <w:bCs w:val="false"/>
                <w:sz w:val="18"/>
                <w:szCs w:val="18"/>
              </w:rPr>
              <w:t xml:space="preserve">ZCL_MM_301_GR_TRIGGER</w:t>
            </w:r>
          </w:p>
        </w:tc>
        <w:tc>
          <w:tcPr>
            <w:tcW w:type="dxa" w:w="2400"/>
            <w:tcMar>
              <w:top w:type="dxa" w:w="60"/>
              <w:left w:type="dxa" w:w="100"/>
              <w:bottom w:type="dxa" w:w="60"/>
              <w:right w:type="dxa" w:w="100"/>
            </w:tcMar>
          </w:tcPr>
          <w:p>
            <w:pPr>
              <w:spacing w:after="40" w:before="0"/>
            </w:pPr>
            <w:r>
              <w:rPr>
                <w:rFonts w:ascii="Consolas" w:cs="Consolas" w:eastAsia="Consolas" w:hAnsi="Consolas"/>
                <w:b w:val="false"/>
                <w:bCs w:val="false"/>
                <w:sz w:val="18"/>
                <w:szCs w:val="18"/>
              </w:rPr>
              <w:t xml:space="preserve">IF_EX_MB_DOCUMENT_BADI~MB_DOCUMENT_BEFORE_UPDATE</w:t>
            </w:r>
          </w:p>
        </w:tc>
        <w:tc>
          <w:tcPr>
            <w:tcW w:type="dxa" w:w="49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Called in the goods receipt’s posting LUW, immediately before the update task is triggered, and receives the document header and item tables. For each item, continues only when the production order is populated, the movement type is 101 or 102, the issuing plant has an active control entry, the posting date is inside the activation window, and the material is the order’s header material. For a qualifying item, registers </w:t>
            </w:r>
            <w:r>
              <w:rPr>
                <w:rFonts w:ascii="Consolas" w:cs="Consolas" w:eastAsia="Consolas" w:hAnsi="Consolas"/>
                <w:b w:val="false"/>
                <w:bCs w:val="false"/>
                <w:sz w:val="18"/>
                <w:szCs w:val="18"/>
              </w:rPr>
              <w:t xml:space="preserve">Z_MM_301_POST_TRANSFER</w:t>
            </w:r>
            <w:r>
              <w:rPr>
                <w:rFonts w:ascii="Arial" w:cs="Arial" w:eastAsia="Arial" w:hAnsi="Arial"/>
                <w:b w:val="false"/>
                <w:bCs w:val="false"/>
                <w:sz w:val="18"/>
                <w:szCs w:val="18"/>
              </w:rPr>
              <w:t xml:space="preserve"> to run in the background with the source keys and the reversal flag. Performs no database write and no posting, because it runs in the critical path of the goods receipt.</w:t>
            </w:r>
          </w:p>
        </w:tc>
      </w:tr>
      <w:tr>
        <w:trPr>
          <w:tblHeader w:val="false"/>
        </w:trPr>
        <w:tc>
          <w:tcPr>
            <w:tcW w:type="dxa" w:w="2400"/>
            <w:tcMar>
              <w:top w:type="dxa" w:w="60"/>
              <w:left w:type="dxa" w:w="100"/>
              <w:bottom w:type="dxa" w:w="60"/>
              <w:right w:type="dxa" w:w="100"/>
            </w:tcMar>
          </w:tcPr>
          <w:p>
            <w:pPr>
              <w:spacing w:after="40" w:before="0"/>
            </w:pPr>
            <w:r>
              <w:rPr>
                <w:rFonts w:ascii="Consolas" w:cs="Consolas" w:eastAsia="Consolas" w:hAnsi="Consolas"/>
                <w:b w:val="false"/>
                <w:bCs w:val="false"/>
                <w:sz w:val="18"/>
                <w:szCs w:val="18"/>
              </w:rPr>
              <w:t xml:space="preserve">ZCL_MM_301_GR_TRIGGER</w:t>
            </w:r>
          </w:p>
        </w:tc>
        <w:tc>
          <w:tcPr>
            <w:tcW w:type="dxa" w:w="2400"/>
            <w:tcMar>
              <w:top w:type="dxa" w:w="60"/>
              <w:left w:type="dxa" w:w="100"/>
              <w:bottom w:type="dxa" w:w="60"/>
              <w:right w:type="dxa" w:w="100"/>
            </w:tcMar>
          </w:tcPr>
          <w:p>
            <w:pPr>
              <w:spacing w:after="40" w:before="0"/>
            </w:pPr>
            <w:r>
              <w:rPr>
                <w:rFonts w:ascii="Consolas" w:cs="Consolas" w:eastAsia="Consolas" w:hAnsi="Consolas"/>
                <w:b w:val="false"/>
                <w:bCs w:val="false"/>
                <w:sz w:val="18"/>
                <w:szCs w:val="18"/>
              </w:rPr>
              <w:t xml:space="preserve">get_control</w:t>
            </w:r>
            <w:r>
              <w:rPr>
                <w:rFonts w:ascii="Arial" w:cs="Arial" w:eastAsia="Arial" w:hAnsi="Arial"/>
                <w:b w:val="false"/>
                <w:bCs w:val="false"/>
                <w:sz w:val="18"/>
                <w:szCs w:val="18"/>
              </w:rPr>
              <w:t xml:space="preserve"> (private)</w:t>
            </w:r>
          </w:p>
        </w:tc>
        <w:tc>
          <w:tcPr>
            <w:tcW w:type="dxa" w:w="49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Returns the active </w:t>
            </w:r>
            <w:r>
              <w:rPr>
                <w:rFonts w:ascii="Consolas" w:cs="Consolas" w:eastAsia="Consolas" w:hAnsi="Consolas"/>
                <w:b w:val="false"/>
                <w:bCs w:val="false"/>
                <w:sz w:val="18"/>
                <w:szCs w:val="18"/>
              </w:rPr>
              <w:t xml:space="preserve">ZMM_301_CTRL</w:t>
            </w:r>
            <w:r>
              <w:rPr>
                <w:rFonts w:ascii="Arial" w:cs="Arial" w:eastAsia="Arial" w:hAnsi="Arial"/>
                <w:b w:val="false"/>
                <w:bCs w:val="false"/>
                <w:sz w:val="18"/>
                <w:szCs w:val="18"/>
              </w:rPr>
              <w:t xml:space="preserve"> row for the issuing plant. The table is fully buffered, so this costs no database access in normal operation.</w:t>
            </w:r>
          </w:p>
        </w:tc>
      </w:tr>
      <w:tr>
        <w:trPr>
          <w:tblHeader w:val="false"/>
        </w:trPr>
        <w:tc>
          <w:tcPr>
            <w:tcW w:type="dxa" w:w="2400"/>
            <w:tcMar>
              <w:top w:type="dxa" w:w="60"/>
              <w:left w:type="dxa" w:w="100"/>
              <w:bottom w:type="dxa" w:w="60"/>
              <w:right w:type="dxa" w:w="100"/>
            </w:tcMar>
          </w:tcPr>
          <w:p>
            <w:pPr>
              <w:spacing w:after="40" w:before="0"/>
            </w:pPr>
            <w:r>
              <w:rPr>
                <w:rFonts w:ascii="Consolas" w:cs="Consolas" w:eastAsia="Consolas" w:hAnsi="Consolas"/>
                <w:b w:val="false"/>
                <w:bCs w:val="false"/>
                <w:sz w:val="18"/>
                <w:szCs w:val="18"/>
              </w:rPr>
              <w:t xml:space="preserve">ZCL_MM_301_GR_TRIGGER</w:t>
            </w:r>
          </w:p>
        </w:tc>
        <w:tc>
          <w:tcPr>
            <w:tcW w:type="dxa" w:w="2400"/>
            <w:tcMar>
              <w:top w:type="dxa" w:w="60"/>
              <w:left w:type="dxa" w:w="100"/>
              <w:bottom w:type="dxa" w:w="60"/>
              <w:right w:type="dxa" w:w="100"/>
            </w:tcMar>
          </w:tcPr>
          <w:p>
            <w:pPr>
              <w:spacing w:after="40" w:before="0"/>
            </w:pPr>
            <w:r>
              <w:rPr>
                <w:rFonts w:ascii="Consolas" w:cs="Consolas" w:eastAsia="Consolas" w:hAnsi="Consolas"/>
                <w:b w:val="false"/>
                <w:bCs w:val="false"/>
                <w:sz w:val="18"/>
                <w:szCs w:val="18"/>
              </w:rPr>
              <w:t xml:space="preserve">is_header_material</w:t>
            </w:r>
            <w:r>
              <w:rPr>
                <w:rFonts w:ascii="Arial" w:cs="Arial" w:eastAsia="Arial" w:hAnsi="Arial"/>
                <w:b w:val="false"/>
                <w:bCs w:val="false"/>
                <w:sz w:val="18"/>
                <w:szCs w:val="18"/>
              </w:rPr>
              <w:t xml:space="preserve"> (private)</w:t>
            </w:r>
          </w:p>
        </w:tc>
        <w:tc>
          <w:tcPr>
            <w:tcW w:type="dxa" w:w="49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Confirms against AFPO that the material of the document item is the production order’s header material, so that components, by-products and co-products are not transferred.</w:t>
            </w:r>
          </w:p>
        </w:tc>
      </w:tr>
      <w:tr>
        <w:trPr>
          <w:tblHeader w:val="false"/>
        </w:trPr>
        <w:tc>
          <w:tcPr>
            <w:tcW w:type="dxa" w:w="2400"/>
            <w:tcMar>
              <w:top w:type="dxa" w:w="60"/>
              <w:left w:type="dxa" w:w="100"/>
              <w:bottom w:type="dxa" w:w="60"/>
              <w:right w:type="dxa" w:w="100"/>
            </w:tcMar>
          </w:tcPr>
          <w:p>
            <w:pPr>
              <w:spacing w:after="40" w:before="0"/>
            </w:pPr>
            <w:r>
              <w:rPr>
                <w:rFonts w:ascii="Consolas" w:cs="Consolas" w:eastAsia="Consolas" w:hAnsi="Consolas"/>
                <w:b w:val="false"/>
                <w:bCs w:val="false"/>
                <w:sz w:val="18"/>
                <w:szCs w:val="18"/>
              </w:rPr>
              <w:t xml:space="preserve">LCL_MON</w:t>
            </w:r>
          </w:p>
        </w:tc>
        <w:tc>
          <w:tcPr>
            <w:tcW w:type="dxa" w:w="2400"/>
            <w:tcMar>
              <w:top w:type="dxa" w:w="60"/>
              <w:left w:type="dxa" w:w="100"/>
              <w:bottom w:type="dxa" w:w="60"/>
              <w:right w:type="dxa" w:w="100"/>
            </w:tcMar>
          </w:tcPr>
          <w:p>
            <w:pPr>
              <w:spacing w:after="40" w:before="0"/>
            </w:pPr>
            <w:r>
              <w:rPr>
                <w:rFonts w:ascii="Consolas" w:cs="Consolas" w:eastAsia="Consolas" w:hAnsi="Consolas"/>
                <w:b w:val="false"/>
                <w:bCs w:val="false"/>
                <w:sz w:val="18"/>
                <w:szCs w:val="18"/>
              </w:rPr>
              <w:t xml:space="preserve">run</w:t>
            </w:r>
          </w:p>
        </w:tc>
        <w:tc>
          <w:tcPr>
            <w:tcW w:type="dxa" w:w="49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Orchestrates the monitor run: opens the run log, dispatches on the mode, displays the ALV or posts, then closes the run log and, in catch-up mode, schedules the next sweep.</w:t>
            </w:r>
          </w:p>
        </w:tc>
      </w:tr>
      <w:tr>
        <w:trPr>
          <w:tblHeader w:val="false"/>
        </w:trPr>
        <w:tc>
          <w:tcPr>
            <w:tcW w:type="dxa" w:w="2400"/>
            <w:tcMar>
              <w:top w:type="dxa" w:w="60"/>
              <w:left w:type="dxa" w:w="100"/>
              <w:bottom w:type="dxa" w:w="60"/>
              <w:right w:type="dxa" w:w="100"/>
            </w:tcMar>
          </w:tcPr>
          <w:p>
            <w:pPr>
              <w:spacing w:after="40" w:before="0"/>
            </w:pPr>
            <w:r>
              <w:rPr>
                <w:rFonts w:ascii="Consolas" w:cs="Consolas" w:eastAsia="Consolas" w:hAnsi="Consolas"/>
                <w:b w:val="false"/>
                <w:bCs w:val="false"/>
                <w:sz w:val="18"/>
                <w:szCs w:val="18"/>
              </w:rPr>
              <w:t xml:space="preserve">LCL_MON</w:t>
            </w:r>
          </w:p>
        </w:tc>
        <w:tc>
          <w:tcPr>
            <w:tcW w:type="dxa" w:w="2400"/>
            <w:tcMar>
              <w:top w:type="dxa" w:w="60"/>
              <w:left w:type="dxa" w:w="100"/>
              <w:bottom w:type="dxa" w:w="60"/>
              <w:right w:type="dxa" w:w="100"/>
            </w:tcMar>
          </w:tcPr>
          <w:p>
            <w:pPr>
              <w:spacing w:after="40" w:before="0"/>
            </w:pPr>
            <w:r>
              <w:rPr>
                <w:rFonts w:ascii="Consolas" w:cs="Consolas" w:eastAsia="Consolas" w:hAnsi="Consolas"/>
                <w:b w:val="false"/>
                <w:bCs w:val="false"/>
                <w:sz w:val="18"/>
                <w:szCs w:val="18"/>
              </w:rPr>
              <w:t xml:space="preserve">select_log</w:t>
            </w:r>
            <w:r>
              <w:rPr>
                <w:rFonts w:ascii="Arial" w:cs="Arial" w:eastAsia="Arial" w:hAnsi="Arial"/>
                <w:b w:val="false"/>
                <w:bCs w:val="false"/>
                <w:sz w:val="18"/>
                <w:szCs w:val="18"/>
              </w:rPr>
              <w:t xml:space="preserve"> / </w:t>
            </w:r>
            <w:r>
              <w:rPr>
                <w:rFonts w:ascii="Consolas" w:cs="Consolas" w:eastAsia="Consolas" w:hAnsi="Consolas"/>
                <w:b w:val="false"/>
                <w:bCs w:val="false"/>
                <w:sz w:val="18"/>
                <w:szCs w:val="18"/>
              </w:rPr>
              <w:t xml:space="preserve">select_catchup</w:t>
            </w:r>
          </w:p>
        </w:tc>
        <w:tc>
          <w:tcPr>
            <w:tcW w:type="dxa" w:w="49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Mode M and P read ZMM_301_MOV_LOG joined to the material document header and item, filtered on the plant and the goods-receipt posting date (MKPF-BUDAT) and the order selection – never on the log date; mode P keeps only the rows in status E or W without a 301 material document. Mode C joins the material document tables for movement type 101 in the window and removes the items already transferred (movement-log row with a 301 material document).</w:t>
            </w:r>
            <w:r>
              <w:rPr>
                <w:rFonts w:ascii="Consolas" w:cs="Consolas" w:eastAsia="Consolas" w:hAnsi="Consolas"/>
                <w:b w:val="false"/>
                <w:bCs w:val="false"/>
                <w:sz w:val="18"/>
                <w:szCs w:val="18"/>
              </w:rPr>
              <w:t xml:space="preserve"/>
            </w:r>
            <w:r>
              <w:rPr>
                <w:rFonts w:ascii="Arial" w:cs="Arial" w:eastAsia="Arial" w:hAnsi="Arial"/>
                <w:b w:val="false"/>
                <w:bCs w:val="false"/>
                <w:sz w:val="18"/>
                <w:szCs w:val="18"/>
              </w:rPr>
              <w:t xml:space="preserve"/>
            </w:r>
          </w:p>
        </w:tc>
      </w:tr>
      <w:tr>
        <w:trPr>
          <w:tblHeader w:val="false"/>
        </w:trPr>
        <w:tc>
          <w:tcPr>
            <w:tcW w:type="dxa" w:w="2400"/>
            <w:tcMar>
              <w:top w:type="dxa" w:w="60"/>
              <w:left w:type="dxa" w:w="100"/>
              <w:bottom w:type="dxa" w:w="60"/>
              <w:right w:type="dxa" w:w="100"/>
            </w:tcMar>
          </w:tcPr>
          <w:p>
            <w:pPr>
              <w:spacing w:after="40" w:before="0"/>
            </w:pPr>
            <w:r>
              <w:rPr>
                <w:rFonts w:ascii="Consolas" w:cs="Consolas" w:eastAsia="Consolas" w:hAnsi="Consolas"/>
                <w:b w:val="false"/>
                <w:bCs w:val="false"/>
                <w:sz w:val="18"/>
                <w:szCs w:val="18"/>
              </w:rPr>
              <w:t xml:space="preserve">LCL_MON</w:t>
            </w:r>
          </w:p>
        </w:tc>
        <w:tc>
          <w:tcPr>
            <w:tcW w:type="dxa" w:w="2400"/>
            <w:tcMar>
              <w:top w:type="dxa" w:w="60"/>
              <w:left w:type="dxa" w:w="100"/>
              <w:bottom w:type="dxa" w:w="60"/>
              <w:right w:type="dxa" w:w="100"/>
            </w:tcMar>
          </w:tcPr>
          <w:p>
            <w:pPr>
              <w:spacing w:after="40" w:before="0"/>
            </w:pPr>
            <w:r>
              <w:rPr>
                <w:rFonts w:ascii="Consolas" w:cs="Consolas" w:eastAsia="Consolas" w:hAnsi="Consolas"/>
                <w:b w:val="false"/>
                <w:bCs w:val="false"/>
                <w:sz w:val="18"/>
                <w:szCs w:val="18"/>
              </w:rPr>
              <w:t xml:space="preserve">repost</w:t>
            </w:r>
          </w:p>
        </w:tc>
        <w:tc>
          <w:tcPr>
            <w:tcW w:type="dxa" w:w="49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Calls </w:t>
            </w:r>
            <w:r>
              <w:rPr>
                <w:rFonts w:ascii="Consolas" w:cs="Consolas" w:eastAsia="Consolas" w:hAnsi="Consolas"/>
                <w:b w:val="false"/>
                <w:bCs w:val="false"/>
                <w:sz w:val="18"/>
                <w:szCs w:val="18"/>
              </w:rPr>
              <w:t xml:space="preserve">Z_MM_301_POST_TRANSFER</w:t>
            </w:r>
            <w:r>
              <w:rPr>
                <w:rFonts w:ascii="Arial" w:cs="Arial" w:eastAsia="Arial" w:hAnsi="Arial"/>
                <w:b w:val="false"/>
                <w:bCs w:val="false"/>
                <w:sz w:val="18"/>
                <w:szCs w:val="18"/>
              </w:rPr>
              <w:t xml:space="preserve"> per selected row and re-reads the resulting log row. Relies entirely on the function’s own idempotency check rather than repeating it.</w:t>
            </w:r>
          </w:p>
        </w:tc>
      </w:tr>
      <w:tr>
        <w:trPr>
          <w:tblHeader w:val="false"/>
        </w:trPr>
        <w:tc>
          <w:tcPr>
            <w:tcW w:type="dxa" w:w="2400"/>
            <w:tcMar>
              <w:top w:type="dxa" w:w="60"/>
              <w:left w:type="dxa" w:w="100"/>
              <w:bottom w:type="dxa" w:w="60"/>
              <w:right w:type="dxa" w:w="100"/>
            </w:tcMar>
          </w:tcPr>
          <w:p>
            <w:pPr>
              <w:spacing w:after="40" w:before="0"/>
            </w:pPr>
            <w:r>
              <w:rPr>
                <w:rFonts w:ascii="Consolas" w:cs="Consolas" w:eastAsia="Consolas" w:hAnsi="Consolas"/>
                <w:b w:val="false"/>
                <w:bCs w:val="false"/>
                <w:sz w:val="18"/>
                <w:szCs w:val="18"/>
              </w:rPr>
              <w:t xml:space="preserve">LCL_MON</w:t>
            </w:r>
          </w:p>
        </w:tc>
        <w:tc>
          <w:tcPr>
            <w:tcW w:type="dxa" w:w="2400"/>
            <w:tcMar>
              <w:top w:type="dxa" w:w="60"/>
              <w:left w:type="dxa" w:w="100"/>
              <w:bottom w:type="dxa" w:w="60"/>
              <w:right w:type="dxa" w:w="100"/>
            </w:tcMar>
          </w:tcPr>
          <w:p>
            <w:pPr>
              <w:spacing w:after="40" w:before="0"/>
            </w:pPr>
            <w:r>
              <w:rPr>
                <w:rFonts w:ascii="Consolas" w:cs="Consolas" w:eastAsia="Consolas" w:hAnsi="Consolas"/>
                <w:b w:val="false"/>
                <w:bCs w:val="false"/>
                <w:sz w:val="18"/>
                <w:szCs w:val="18"/>
              </w:rPr>
              <w:t xml:space="preserve">start_log</w:t>
            </w:r>
            <w:r>
              <w:rPr>
                <w:rFonts w:ascii="Arial" w:cs="Arial" w:eastAsia="Arial" w:hAnsi="Arial"/>
                <w:b w:val="false"/>
                <w:bCs w:val="false"/>
                <w:sz w:val="18"/>
                <w:szCs w:val="18"/>
              </w:rPr>
              <w:t xml:space="preserve"> / </w:t>
            </w:r>
            <w:r>
              <w:rPr>
                <w:rFonts w:ascii="Consolas" w:cs="Consolas" w:eastAsia="Consolas" w:hAnsi="Consolas"/>
                <w:b w:val="false"/>
                <w:bCs w:val="false"/>
                <w:sz w:val="18"/>
                <w:szCs w:val="18"/>
              </w:rPr>
              <w:t xml:space="preserve">finish_log</w:t>
            </w:r>
          </w:p>
        </w:tc>
        <w:tc>
          <w:tcPr>
            <w:tcW w:type="dxa" w:w="49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Writes and completes the ZMM_301_MOV_RUN_LOG header, including the job name, the duration and the roll-up counters; in background creates and saves the application log ZMM / Z301MOV and stores its number in BALLOGNR. The run identifier is stamped onto the movement-log rows the run touched through the posting function.</w:t>
            </w:r>
            <w:r>
              <w:rPr>
                <w:rFonts w:ascii="Consolas" w:cs="Consolas" w:eastAsia="Consolas" w:hAnsi="Consolas"/>
                <w:b w:val="false"/>
                <w:bCs w:val="false"/>
                <w:sz w:val="18"/>
                <w:szCs w:val="18"/>
              </w:rPr>
              <w:t xml:space="preserve"/>
            </w:r>
            <w:r>
              <w:rPr>
                <w:rFonts w:ascii="Arial" w:cs="Arial" w:eastAsia="Arial" w:hAnsi="Arial"/>
                <w:b w:val="false"/>
                <w:bCs w:val="false"/>
                <w:sz w:val="18"/>
                <w:szCs w:val="18"/>
              </w:rPr>
              <w:t xml:space="preserve"/>
            </w:r>
          </w:p>
        </w:tc>
      </w:tr>
    </w:tbl>
    <w:p>
      <w:pPr>
        <w:pStyle w:val="Heading3"/>
        <w:spacing w:after="120" w:before="240"/>
      </w:pPr>
      <w:r>
        <w:rPr>
          <w:rFonts w:ascii="Arial" w:cs="Arial" w:eastAsia="Arial" w:hAnsi="Arial"/>
          <w:b/>
          <w:bCs/>
          <w:color w:val="005B9A"/>
          <w:sz w:val="21"/>
          <w:szCs w:val="21"/>
        </w:rPr>
        <w:t xml:space="preserve">5.1.4 Function Modules</w:t>
      </w:r>
    </w:p>
    <w:tbl>
      <w:tblPr>
        <w:tblW w:type="dxa" w:w="9700"/>
        <w:tblBorders>
          <w:top w:val="single" w:color="AAB4BE" w:sz="4"/>
          <w:left w:val="single" w:color="AAB4BE" w:sz="4"/>
          <w:bottom w:val="single" w:color="AAB4BE" w:sz="4"/>
          <w:right w:val="single" w:color="AAB4BE" w:sz="4"/>
          <w:insideH w:val="single" w:color="AAB4BE" w:sz="4"/>
          <w:insideV w:val="single" w:color="AAB4BE" w:sz="4"/>
        </w:tblBorders>
      </w:tblPr>
      <w:tblGrid>
        <w:gridCol w:w="2400"/>
        <w:gridCol w:w="2400"/>
        <w:gridCol w:w="4900"/>
      </w:tblGrid>
      <w:tr>
        <w:trPr>
          <w:tblHeader/>
        </w:trPr>
        <w:tc>
          <w:tcPr>
            <w:tcW w:type="dxa" w:w="24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Function group</w:t>
            </w:r>
          </w:p>
        </w:tc>
        <w:tc>
          <w:tcPr>
            <w:tcW w:type="dxa" w:w="24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Function module</w:t>
            </w:r>
          </w:p>
        </w:tc>
        <w:tc>
          <w:tcPr>
            <w:tcW w:type="dxa" w:w="49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Logic</w:t>
            </w:r>
          </w:p>
        </w:tc>
      </w:tr>
      <w:tr>
        <w:trPr>
          <w:tblHeader w:val="false"/>
        </w:trPr>
        <w:tc>
          <w:tcPr>
            <w:tcW w:type="dxa" w:w="2400"/>
            <w:tcMar>
              <w:top w:type="dxa" w:w="60"/>
              <w:left w:type="dxa" w:w="100"/>
              <w:bottom w:type="dxa" w:w="60"/>
              <w:right w:type="dxa" w:w="100"/>
            </w:tcMar>
          </w:tcPr>
          <w:p>
            <w:pPr>
              <w:spacing w:after="40" w:before="0"/>
            </w:pPr>
            <w:r>
              <w:rPr>
                <w:rFonts w:ascii="Consolas" w:cs="Consolas" w:eastAsia="Consolas" w:hAnsi="Consolas"/>
                <w:b w:val="false"/>
                <w:bCs w:val="false"/>
                <w:sz w:val="18"/>
                <w:szCs w:val="18"/>
              </w:rPr>
              <w:t xml:space="preserve">ZMM_301_MOV</w:t>
            </w:r>
          </w:p>
        </w:tc>
        <w:tc>
          <w:tcPr>
            <w:tcW w:type="dxa" w:w="2400"/>
            <w:tcMar>
              <w:top w:type="dxa" w:w="60"/>
              <w:left w:type="dxa" w:w="100"/>
              <w:bottom w:type="dxa" w:w="60"/>
              <w:right w:type="dxa" w:w="100"/>
            </w:tcMar>
          </w:tcPr>
          <w:p>
            <w:pPr>
              <w:spacing w:after="40" w:before="0"/>
            </w:pPr>
            <w:r>
              <w:rPr>
                <w:rFonts w:ascii="Consolas" w:cs="Consolas" w:eastAsia="Consolas" w:hAnsi="Consolas"/>
                <w:b w:val="false"/>
                <w:bCs w:val="false"/>
                <w:sz w:val="18"/>
                <w:szCs w:val="18"/>
              </w:rPr>
              <w:t xml:space="preserve">Z_MM_301_POST_TRANSFER</w:t>
            </w:r>
          </w:p>
        </w:tc>
        <w:tc>
          <w:tcPr>
            <w:tcW w:type="dxa" w:w="4900"/>
            <w:tcMar>
              <w:top w:type="dxa" w:w="60"/>
              <w:left w:type="dxa" w:w="100"/>
              <w:bottom w:type="dxa" w:w="60"/>
              <w:right w:type="dxa" w:w="100"/>
            </w:tcMar>
          </w:tcPr>
          <w:p>
            <w:pPr>
              <w:spacing w:after="40" w:before="0"/>
            </w:pPr>
            <w:r>
              <w:rPr>
                <w:rFonts w:ascii="Arial" w:cs="Arial" w:eastAsia="Arial" w:hAnsi="Arial"/>
                <w:sz w:val="18"/>
                <w:szCs w:val="18"/>
                <w:b/>
                <w:bCs/>
              </w:rPr>
              <w:t xml:space="preserve">Remote-enabled.</w:t>
            </w:r>
            <w:r>
              <w:rPr>
                <w:rFonts w:ascii="Arial" w:cs="Arial" w:eastAsia="Arial" w:hAnsi="Arial"/>
                <w:b w:val="false"/>
                <w:bCs w:val="false"/>
                <w:sz w:val="18"/>
                <w:szCs w:val="18"/>
              </w:rPr>
              <w:t xml:space="preserve"> Importing: source material document, year and item, a reversal flag and an optional run identifier. Implements section 4.3 steps 3 to 11: (1) idempotency – read </w:t>
            </w:r>
            <w:r>
              <w:rPr>
                <w:rFonts w:ascii="Consolas" w:cs="Consolas" w:eastAsia="Consolas" w:hAnsi="Consolas"/>
                <w:b w:val="false"/>
                <w:bCs w:val="false"/>
                <w:sz w:val="18"/>
                <w:szCs w:val="18"/>
              </w:rPr>
              <w:t xml:space="preserve">ZMM_301_MOV_LOG</w:t>
            </w:r>
            <w:r>
              <w:rPr>
                <w:rFonts w:ascii="Arial" w:cs="Arial" w:eastAsia="Arial" w:hAnsi="Arial"/>
                <w:b w:val="false"/>
                <w:bCs w:val="false"/>
                <w:sz w:val="18"/>
                <w:szCs w:val="18"/>
              </w:rPr>
              <w:t xml:space="preserve"> for the source item and return immediately if a 301 material document is already recorded for it and this is not a reversal (and, on the reversal path, if the reversal is already recorded); (2) re-read the source document line and header, which is safe because the unit runs after the receipt has committed; (3) read the active control entry, returning if the automation is off, and take the movement type, destination plant and storage locations from it; (4) reversal path – find the original 301 in the movement log and cancel it, logging the result; (5) reservation – read </w:t>
            </w:r>
            <w:r>
              <w:rPr>
                <w:rFonts w:ascii="Consolas" w:cs="Consolas" w:eastAsia="Consolas" w:hAnsi="Consolas"/>
                <w:b w:val="false"/>
                <w:bCs w:val="false"/>
                <w:sz w:val="18"/>
                <w:szCs w:val="18"/>
              </w:rPr>
              <w:t xml:space="preserve">ZMM_301_RESV_LOG</w:t>
            </w:r>
            <w:r>
              <w:rPr>
                <w:rFonts w:ascii="Arial" w:cs="Arial" w:eastAsia="Arial" w:hAnsi="Arial"/>
                <w:b w:val="false"/>
                <w:bCs w:val="false"/>
                <w:sz w:val="18"/>
                <w:szCs w:val="18"/>
              </w:rPr>
              <w:t xml:space="preserve"> for the order and check the RESB item is open, then apply </w:t>
            </w:r>
            <w:r>
              <w:rPr>
                <w:rFonts w:ascii="Consolas" w:cs="Consolas" w:eastAsia="Consolas" w:hAnsi="Consolas"/>
                <w:b w:val="false"/>
                <w:bCs w:val="false"/>
                <w:sz w:val="18"/>
                <w:szCs w:val="18"/>
              </w:rPr>
              <w:t xml:space="preserve">NO_RESV_ACTION</w:t>
            </w:r>
            <w:r>
              <w:rPr>
                <w:rFonts w:ascii="Arial" w:cs="Arial" w:eastAsia="Arial" w:hAnsi="Arial"/>
                <w:b w:val="false"/>
                <w:bCs w:val="false"/>
                <w:sz w:val="18"/>
                <w:szCs w:val="18"/>
              </w:rPr>
              <w:t xml:space="preserve">; (6) fiscal year – resolve the company code from the issuing plant through the valuation area, take its fiscal-year variant and derive the fiscal year from the posting date, then read </w:t>
            </w:r>
            <w:r>
              <w:rPr>
                <w:rFonts w:ascii="Consolas" w:cs="Consolas" w:eastAsia="Consolas" w:hAnsi="Consolas"/>
                <w:b w:val="false"/>
                <w:bCs w:val="false"/>
                <w:sz w:val="18"/>
                <w:szCs w:val="18"/>
              </w:rPr>
              <w:t xml:space="preserve">ZMM_301_VALTYPE</w:t>
            </w:r>
            <w:r>
              <w:rPr>
                <w:rFonts w:ascii="Arial" w:cs="Arial" w:eastAsia="Arial" w:hAnsi="Arial"/>
                <w:b w:val="false"/>
                <w:bCs w:val="false"/>
                <w:sz w:val="18"/>
                <w:szCs w:val="18"/>
              </w:rPr>
              <w:t xml:space="preserve">, erroring out if there is no entry; (7) post with </w:t>
            </w:r>
            <w:r>
              <w:rPr>
                <w:rFonts w:ascii="Consolas" w:cs="Consolas" w:eastAsia="Consolas" w:hAnsi="Consolas"/>
                <w:b w:val="false"/>
                <w:bCs w:val="false"/>
                <w:sz w:val="18"/>
                <w:szCs w:val="18"/>
              </w:rPr>
              <w:t xml:space="preserve">BAPI_GOODS_MOVEMENT_CREATE</w:t>
            </w:r>
            <w:r>
              <w:rPr>
                <w:rFonts w:ascii="Arial" w:cs="Arial" w:eastAsia="Arial" w:hAnsi="Arial"/>
                <w:b w:val="false"/>
                <w:bCs w:val="false"/>
                <w:sz w:val="18"/>
                <w:szCs w:val="18"/>
              </w:rPr>
              <w:t xml:space="preserve"> for a transfer posting: movement type 301, the goods-receipt material, quantity, unit and batch, issuing plant and storage location, receiving plant, storage location and batch, </w:t>
            </w:r>
            <w:r>
              <w:rPr>
                <w:rFonts w:ascii="Arial" w:cs="Arial" w:eastAsia="Arial" w:hAnsi="Arial"/>
                <w:sz w:val="18"/>
                <w:szCs w:val="18"/>
                <w:b/>
                <w:bCs/>
              </w:rPr>
              <w:t xml:space="preserve">no</w:t>
            </w:r>
            <w:r>
              <w:rPr>
                <w:rFonts w:ascii="Arial" w:cs="Arial" w:eastAsia="Arial" w:hAnsi="Arial"/>
                <w:b w:val="false"/>
                <w:bCs w:val="false"/>
                <w:sz w:val="18"/>
                <w:szCs w:val="18"/>
              </w:rPr>
              <w:t xml:space="preserve"> valuation type on the issuing side and the resolved fiscal-year valuation type on the receiving side, and the reservation number, item and type where one was found; (8) commit or roll back on the returned messages, capture the material document created, and write the movement log and the application log. </w:t>
            </w:r>
            <w:r>
              <w:rPr>
                <w:rFonts w:ascii="Arial" w:cs="Arial" w:eastAsia="Arial" w:hAnsi="Arial"/>
                <w:sz w:val="18"/>
                <w:szCs w:val="18"/>
                <w:b/>
                <w:bCs/>
              </w:rPr>
              <w:t xml:space="preserve">The function owns its logical unit of work</w:t>
            </w:r>
            <w:r>
              <w:rPr>
                <w:rFonts w:ascii="Arial" w:cs="Arial" w:eastAsia="Arial" w:hAnsi="Arial"/>
                <w:b w:val="false"/>
                <w:bCs w:val="false"/>
                <w:sz w:val="18"/>
                <w:szCs w:val="18"/>
              </w:rPr>
              <w:t xml:space="preserve">: it issues its own commit or rollback, so it must only ever be called as a registered background unit or from the monitor’s own dialog unit – never synchronously inside another posting’s unit of work.</w:t>
            </w:r>
          </w:p>
        </w:tc>
      </w:tr>
      <w:tr>
        <w:trPr>
          <w:tblHeader w:val="false"/>
        </w:trPr>
        <w:tc>
          <w:tcPr>
            <w:tcW w:type="dxa" w:w="24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 (standard)</w:t>
            </w:r>
          </w:p>
        </w:tc>
        <w:tc>
          <w:tcPr>
            <w:tcW w:type="dxa" w:w="2400"/>
            <w:tcMar>
              <w:top w:type="dxa" w:w="60"/>
              <w:left w:type="dxa" w:w="100"/>
              <w:bottom w:type="dxa" w:w="60"/>
              <w:right w:type="dxa" w:w="100"/>
            </w:tcMar>
          </w:tcPr>
          <w:p>
            <w:pPr>
              <w:spacing w:after="40" w:before="0"/>
            </w:pPr>
            <w:r>
              <w:rPr>
                <w:rFonts w:ascii="Consolas" w:cs="Consolas" w:eastAsia="Consolas" w:hAnsi="Consolas"/>
                <w:b w:val="false"/>
                <w:bCs w:val="false"/>
                <w:sz w:val="18"/>
                <w:szCs w:val="18"/>
              </w:rPr>
              <w:t xml:space="preserve">BAPI_GOODS_MOVEMENT_CREATE</w:t>
            </w:r>
            <w:r>
              <w:rPr>
                <w:rFonts w:ascii="Arial" w:cs="Arial" w:eastAsia="Arial" w:hAnsi="Arial"/>
                <w:b w:val="false"/>
                <w:bCs w:val="false"/>
                <w:sz w:val="18"/>
                <w:szCs w:val="18"/>
              </w:rPr>
              <w:t xml:space="preserve"> / the standard goods-movement cancellation BAPI</w:t>
            </w:r>
          </w:p>
        </w:tc>
        <w:tc>
          <w:tcPr>
            <w:tcW w:type="dxa" w:w="49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Post the 301 transfer and the 302 reversal. Consumed, not developed. The exact name of the receiving valuation-type field on the item structure is confirmed during the build (open item M9).</w:t>
            </w:r>
          </w:p>
        </w:tc>
      </w:tr>
      <w:tr>
        <w:trPr>
          <w:tblHeader w:val="false"/>
        </w:trPr>
        <w:tc>
          <w:tcPr>
            <w:tcW w:type="dxa" w:w="24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 (standard)</w:t>
            </w:r>
          </w:p>
        </w:tc>
        <w:tc>
          <w:tcPr>
            <w:tcW w:type="dxa" w:w="24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Fiscal-period determination function</w:t>
            </w:r>
          </w:p>
        </w:tc>
        <w:tc>
          <w:tcPr>
            <w:tcW w:type="dxa" w:w="49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Derives the fiscal year from the posting date and the company code’s fiscal-year variant. Consumed, not developed.</w:t>
            </w:r>
          </w:p>
        </w:tc>
      </w:tr>
      <w:tr>
        <w:trPr>
          <w:tblHeader w:val="false"/>
        </w:trPr>
        <w:tc>
          <w:tcPr>
            <w:tcW w:type="dxa" w:w="24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 (standard)</w:t>
            </w:r>
          </w:p>
        </w:tc>
        <w:tc>
          <w:tcPr>
            <w:tcW w:type="dxa" w:w="2400"/>
            <w:tcMar>
              <w:top w:type="dxa" w:w="60"/>
              <w:left w:type="dxa" w:w="100"/>
              <w:bottom w:type="dxa" w:w="60"/>
              <w:right w:type="dxa" w:w="100"/>
            </w:tcMar>
          </w:tcPr>
          <w:p>
            <w:pPr>
              <w:spacing w:after="40" w:before="0"/>
            </w:pPr>
            <w:r>
              <w:rPr>
                <w:rFonts w:ascii="Consolas" w:cs="Consolas" w:eastAsia="Consolas" w:hAnsi="Consolas"/>
                <w:b w:val="false"/>
                <w:bCs w:val="false"/>
                <w:sz w:val="18"/>
                <w:szCs w:val="18"/>
              </w:rPr>
              <w:t xml:space="preserve">JOB_OPEN</w:t>
            </w:r>
            <w:r>
              <w:rPr>
                <w:rFonts w:ascii="Arial" w:cs="Arial" w:eastAsia="Arial" w:hAnsi="Arial"/>
                <w:b w:val="false"/>
                <w:bCs w:val="false"/>
                <w:sz w:val="18"/>
                <w:szCs w:val="18"/>
              </w:rPr>
              <w:t xml:space="preserve"> / </w:t>
            </w:r>
            <w:r>
              <w:rPr>
                <w:rFonts w:ascii="Consolas" w:cs="Consolas" w:eastAsia="Consolas" w:hAnsi="Consolas"/>
                <w:b w:val="false"/>
                <w:bCs w:val="false"/>
                <w:sz w:val="18"/>
                <w:szCs w:val="18"/>
              </w:rPr>
              <w:t xml:space="preserve">JOB_CLOSE</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VRM_SET_VALUES</w:t>
            </w:r>
          </w:p>
        </w:tc>
        <w:tc>
          <w:tcPr>
            <w:tcW w:type="dxa" w:w="49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Self-rescheduling of the catch-up sweep; mode listbox on the monitor selection screen.</w:t>
            </w:r>
          </w:p>
        </w:tc>
      </w:tr>
    </w:tbl>
    <w:p>
      <w:pPr>
        <w:pStyle w:val="Heading3"/>
        <w:spacing w:after="120" w:before="240"/>
      </w:pPr>
      <w:r>
        <w:rPr>
          <w:rFonts w:ascii="Arial" w:cs="Arial" w:eastAsia="Arial" w:hAnsi="Arial"/>
          <w:b/>
          <w:bCs/>
          <w:color w:val="005B9A"/>
          <w:sz w:val="21"/>
          <w:szCs w:val="21"/>
        </w:rPr>
        <w:t xml:space="preserve">5.1.5 Forms (Adobe / SmartForm)</w:t>
      </w:r>
    </w:p>
    <w:tbl>
      <w:tblPr>
        <w:tblW w:type="dxa" w:w="9700"/>
        <w:tblBorders>
          <w:top w:val="single" w:color="AAB4BE" w:sz="4"/>
          <w:left w:val="single" w:color="AAB4BE" w:sz="4"/>
          <w:bottom w:val="single" w:color="AAB4BE" w:sz="4"/>
          <w:right w:val="single" w:color="AAB4BE" w:sz="4"/>
          <w:insideH w:val="single" w:color="AAB4BE" w:sz="4"/>
          <w:insideV w:val="single" w:color="AAB4BE" w:sz="4"/>
        </w:tblBorders>
      </w:tblPr>
      <w:tblGrid>
        <w:gridCol w:w="2600"/>
        <w:gridCol w:w="2600"/>
        <w:gridCol w:w="4500"/>
      </w:tblGrid>
      <w:tr>
        <w:trPr>
          <w:tblHeader/>
        </w:trPr>
        <w:tc>
          <w:tcPr>
            <w:tcW w:type="dxa" w:w="26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Object</w:t>
            </w:r>
          </w:p>
        </w:tc>
        <w:tc>
          <w:tcPr>
            <w:tcW w:type="dxa" w:w="26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Technical name</w:t>
            </w:r>
          </w:p>
        </w:tc>
        <w:tc>
          <w:tcPr>
            <w:tcW w:type="dxa" w:w="45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Description</w:t>
            </w:r>
          </w:p>
        </w:tc>
      </w:tr>
      <w:tr>
        <w:trPr>
          <w:tblHeader w:val="false"/>
        </w:trPr>
        <w:tc>
          <w:tcPr>
            <w:tcW w:type="dxa" w:w="26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Form interface</w:t>
            </w:r>
          </w:p>
        </w:tc>
        <w:tc>
          <w:tcPr>
            <w:tcW w:type="dxa" w:w="26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N/A</w:t>
            </w:r>
          </w:p>
        </w:tc>
        <w:tc>
          <w:tcPr>
            <w:tcW w:type="dxa" w:w="45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No form is produced by this object.</w:t>
            </w:r>
          </w:p>
        </w:tc>
      </w:tr>
      <w:tr>
        <w:trPr>
          <w:tblHeader w:val="false"/>
        </w:trPr>
        <w:tc>
          <w:tcPr>
            <w:tcW w:type="dxa" w:w="26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Form</w:t>
            </w:r>
          </w:p>
        </w:tc>
        <w:tc>
          <w:tcPr>
            <w:tcW w:type="dxa" w:w="26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N/A</w:t>
            </w:r>
          </w:p>
        </w:tc>
        <w:tc>
          <w:tcPr>
            <w:tcW w:type="dxa" w:w="45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No form is produced by this object.</w:t>
            </w:r>
          </w:p>
        </w:tc>
      </w:tr>
      <w:tr>
        <w:trPr>
          <w:tblHeader w:val="false"/>
        </w:trPr>
        <w:tc>
          <w:tcPr>
            <w:tcW w:type="dxa" w:w="26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Output type / NACE</w:t>
            </w:r>
          </w:p>
        </w:tc>
        <w:tc>
          <w:tcPr>
            <w:tcW w:type="dxa" w:w="26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N/A</w:t>
            </w:r>
          </w:p>
        </w:tc>
        <w:tc>
          <w:tcPr>
            <w:tcW w:type="dxa" w:w="45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No output determination is used. Output determination was evaluated as a trigger mechanism and rejected – see section 3.6.</w:t>
            </w:r>
          </w:p>
        </w:tc>
      </w:tr>
    </w:tbl>
    <w:p>
      <w:pPr>
        <w:pStyle w:val="Heading3"/>
        <w:spacing w:after="120" w:before="240"/>
      </w:pPr>
      <w:r>
        <w:rPr>
          <w:rFonts w:ascii="Arial" w:cs="Arial" w:eastAsia="Arial" w:hAnsi="Arial"/>
          <w:b/>
          <w:bCs/>
          <w:color w:val="005B9A"/>
          <w:sz w:val="21"/>
          <w:szCs w:val="21"/>
        </w:rPr>
        <w:t xml:space="preserve">5.1.6 Dictionary Objects</w:t>
      </w:r>
    </w:p>
    <w:tbl>
      <w:tblPr>
        <w:tblW w:type="dxa" w:w="9700"/>
        <w:tblBorders>
          <w:top w:val="single" w:color="AAB4BE" w:sz="4"/>
          <w:left w:val="single" w:color="AAB4BE" w:sz="4"/>
          <w:bottom w:val="single" w:color="AAB4BE" w:sz="4"/>
          <w:right w:val="single" w:color="AAB4BE" w:sz="4"/>
          <w:insideH w:val="single" w:color="AAB4BE" w:sz="4"/>
          <w:insideV w:val="single" w:color="AAB4BE" w:sz="4"/>
        </w:tblBorders>
      </w:tblPr>
      <w:tblGrid>
        <w:gridCol w:w="2200"/>
        <w:gridCol w:w="2200"/>
        <w:gridCol w:w="1600"/>
        <w:gridCol w:w="1500"/>
        <w:gridCol w:w="2200"/>
      </w:tblGrid>
      <w:tr>
        <w:trPr>
          <w:tblHeader/>
        </w:trPr>
        <w:tc>
          <w:tcPr>
            <w:tcW w:type="dxa" w:w="22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Object</w:t>
            </w:r>
          </w:p>
        </w:tc>
        <w:tc>
          <w:tcPr>
            <w:tcW w:type="dxa" w:w="22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Technical name</w:t>
            </w:r>
          </w:p>
        </w:tc>
        <w:tc>
          <w:tcPr>
            <w:tcW w:type="dxa" w:w="16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Type</w:t>
            </w:r>
          </w:p>
        </w:tc>
        <w:tc>
          <w:tcPr>
            <w:tcW w:type="dxa" w:w="15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Length</w:t>
            </w:r>
          </w:p>
        </w:tc>
        <w:tc>
          <w:tcPr>
            <w:tcW w:type="dxa" w:w="22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Description</w:t>
            </w:r>
          </w:p>
        </w:tc>
      </w:tr>
      <w:tr>
        <w:trPr>
          <w:tblHeader w:val="false"/>
        </w:trPr>
        <w:tc>
          <w:tcPr>
            <w:tcW w:type="dxa" w:w="2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Transparent table</w:t>
            </w:r>
          </w:p>
        </w:tc>
        <w:tc>
          <w:tcPr>
            <w:tcW w:type="dxa" w:w="2200"/>
            <w:tcMar>
              <w:top w:type="dxa" w:w="60"/>
              <w:left w:type="dxa" w:w="100"/>
              <w:bottom w:type="dxa" w:w="60"/>
              <w:right w:type="dxa" w:w="100"/>
            </w:tcMar>
          </w:tcPr>
          <w:p>
            <w:pPr>
              <w:spacing w:after="40" w:before="0"/>
            </w:pPr>
            <w:r>
              <w:rPr>
                <w:rFonts w:ascii="Consolas" w:cs="Consolas" w:eastAsia="Consolas" w:hAnsi="Consolas"/>
                <w:b w:val="false"/>
                <w:bCs w:val="false"/>
                <w:sz w:val="18"/>
                <w:szCs w:val="18"/>
              </w:rPr>
              <w:t xml:space="preserve">ZMM_301_CTRL</w:t>
            </w:r>
          </w:p>
        </w:tc>
        <w:tc>
          <w:tcPr>
            <w:tcW w:type="dxa" w:w="16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TABL</w:t>
            </w:r>
          </w:p>
        </w:tc>
        <w:tc>
          <w:tcPr>
            <w:tcW w:type="dxa" w:w="15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10 fields</w:t>
            </w:r>
          </w:p>
        </w:tc>
        <w:tc>
          <w:tcPr>
            <w:tcW w:type="dxa" w:w="2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Control and configuration for the plant pair. Primary key MANDT, WERKS_FR, WERKS_TO. </w:t>
            </w:r>
            <w:r>
              <w:rPr>
                <w:rFonts w:ascii="Arial" w:cs="Arial" w:eastAsia="Arial" w:hAnsi="Arial"/>
                <w:sz w:val="18"/>
                <w:szCs w:val="18"/>
                <w:b/>
                <w:bCs/>
              </w:rPr>
              <w:t xml:space="preserve">Fully buffered</w:t>
            </w:r>
            <w:r>
              <w:rPr>
                <w:rFonts w:ascii="Arial" w:cs="Arial" w:eastAsia="Arial" w:hAnsi="Arial"/>
                <w:b w:val="false"/>
                <w:bCs w:val="false"/>
                <w:sz w:val="18"/>
                <w:szCs w:val="18"/>
              </w:rPr>
              <w:t xml:space="preserve">, because it is read inside the goods receipt’s posting path. SM30 maintenance view. Fields in section 5.1.14.</w:t>
            </w:r>
          </w:p>
        </w:tc>
      </w:tr>
      <w:tr>
        <w:trPr>
          <w:tblHeader w:val="false"/>
        </w:trPr>
        <w:tc>
          <w:tcPr>
            <w:tcW w:type="dxa" w:w="2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Transparent table</w:t>
            </w:r>
          </w:p>
        </w:tc>
        <w:tc>
          <w:tcPr>
            <w:tcW w:type="dxa" w:w="2200"/>
            <w:tcMar>
              <w:top w:type="dxa" w:w="60"/>
              <w:left w:type="dxa" w:w="100"/>
              <w:bottom w:type="dxa" w:w="60"/>
              <w:right w:type="dxa" w:w="100"/>
            </w:tcMar>
          </w:tcPr>
          <w:p>
            <w:pPr>
              <w:spacing w:after="40" w:before="0"/>
            </w:pPr>
            <w:r>
              <w:rPr>
                <w:rFonts w:ascii="Consolas" w:cs="Consolas" w:eastAsia="Consolas" w:hAnsi="Consolas"/>
                <w:b w:val="false"/>
                <w:bCs w:val="false"/>
                <w:sz w:val="18"/>
                <w:szCs w:val="18"/>
              </w:rPr>
              <w:t xml:space="preserve">ZMM_301_MOV_LOG</w:t>
            </w:r>
          </w:p>
        </w:tc>
        <w:tc>
          <w:tcPr>
            <w:tcW w:type="dxa" w:w="16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TABL</w:t>
            </w:r>
          </w:p>
        </w:tc>
        <w:tc>
          <w:tcPr>
            <w:tcW w:type="dxa" w:w="15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21 fields</w:t>
            </w:r>
          </w:p>
        </w:tc>
        <w:tc>
          <w:tcPr>
            <w:tcW w:type="dxa" w:w="2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One row per source goods-receipt item. Primary key MANDT, SRC_MBLNR, SRC_MJAHR, SRC_ZEILE – this key </w:t>
            </w:r>
            <w:r>
              <w:rPr>
                <w:rFonts w:ascii="Arial" w:cs="Arial" w:eastAsia="Arial" w:hAnsi="Arial"/>
                <w:sz w:val="18"/>
                <w:szCs w:val="18"/>
                <w:b/>
                <w:bCs/>
              </w:rPr>
              <w:t xml:space="preserve">is</w:t>
            </w:r>
            <w:r>
              <w:rPr>
                <w:rFonts w:ascii="Arial" w:cs="Arial" w:eastAsia="Arial" w:hAnsi="Arial"/>
                <w:b w:val="false"/>
                <w:bCs w:val="false"/>
                <w:sz w:val="18"/>
                <w:szCs w:val="18"/>
              </w:rPr>
              <w:t xml:space="preserve"> the idempotency guarantee. Secondary indexes on AUFNR and on STATUS with ERDAT support the repost and catch-up scans. Fields in section 5.1.14.</w:t>
            </w:r>
          </w:p>
        </w:tc>
      </w:tr>
      <w:tr>
        <w:trPr>
          <w:tblHeader w:val="false"/>
        </w:trPr>
        <w:tc>
          <w:tcPr>
            <w:tcW w:type="dxa" w:w="2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Transparent table</w:t>
            </w:r>
          </w:p>
        </w:tc>
        <w:tc>
          <w:tcPr>
            <w:tcW w:type="dxa" w:w="2200"/>
            <w:tcMar>
              <w:top w:type="dxa" w:w="60"/>
              <w:left w:type="dxa" w:w="100"/>
              <w:bottom w:type="dxa" w:w="60"/>
              <w:right w:type="dxa" w:w="100"/>
            </w:tcMar>
          </w:tcPr>
          <w:p>
            <w:pPr>
              <w:spacing w:after="40" w:before="0"/>
            </w:pPr>
            <w:r>
              <w:rPr>
                <w:rFonts w:ascii="Consolas" w:cs="Consolas" w:eastAsia="Consolas" w:hAnsi="Consolas"/>
                <w:b w:val="false"/>
                <w:bCs w:val="false"/>
                <w:sz w:val="18"/>
                <w:szCs w:val="18"/>
              </w:rPr>
              <w:t xml:space="preserve">ZMM_301_MOV_RUN_LOG</w:t>
            </w:r>
          </w:p>
        </w:tc>
        <w:tc>
          <w:tcPr>
            <w:tcW w:type="dxa" w:w="16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TABL</w:t>
            </w:r>
          </w:p>
        </w:tc>
        <w:tc>
          <w:tcPr>
            <w:tcW w:type="dxa" w:w="15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21 fields</w:t>
            </w:r>
          </w:p>
        </w:tc>
        <w:tc>
          <w:tcPr>
            <w:tcW w:type="dxa" w:w="2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One row per monitor, repost or catch-up run. Primary key MANDT, RUN_ID. Real-time postings are deliberately not recorded here. Fields in section 5.1.14.</w:t>
            </w:r>
          </w:p>
        </w:tc>
      </w:tr>
      <w:tr>
        <w:trPr>
          <w:tblHeader w:val="false"/>
        </w:trPr>
        <w:tc>
          <w:tcPr>
            <w:tcW w:type="dxa" w:w="2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Transparent table</w:t>
            </w:r>
          </w:p>
        </w:tc>
        <w:tc>
          <w:tcPr>
            <w:tcW w:type="dxa" w:w="2200"/>
            <w:tcMar>
              <w:top w:type="dxa" w:w="60"/>
              <w:left w:type="dxa" w:w="100"/>
              <w:bottom w:type="dxa" w:w="60"/>
              <w:right w:type="dxa" w:w="100"/>
            </w:tcMar>
          </w:tcPr>
          <w:p>
            <w:pPr>
              <w:spacing w:after="40" w:before="0"/>
            </w:pPr>
            <w:r>
              <w:rPr>
                <w:rFonts w:ascii="Consolas" w:cs="Consolas" w:eastAsia="Consolas" w:hAnsi="Consolas"/>
                <w:b w:val="false"/>
                <w:bCs w:val="false"/>
                <w:sz w:val="18"/>
                <w:szCs w:val="18"/>
              </w:rPr>
              <w:t xml:space="preserve">ZMM_301_VALTYPE</w:t>
            </w:r>
          </w:p>
        </w:tc>
        <w:tc>
          <w:tcPr>
            <w:tcW w:type="dxa" w:w="16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TABL</w:t>
            </w:r>
          </w:p>
        </w:tc>
        <w:tc>
          <w:tcPr>
            <w:tcW w:type="dxa" w:w="15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6 fields</w:t>
            </w:r>
          </w:p>
        </w:tc>
        <w:tc>
          <w:tcPr>
            <w:tcW w:type="dxa" w:w="2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Fiscal year → destination valuation type. Primary key MANDT, BUKRS, GJAHR, where BUKRS may be blank for a global entry. Read into a keyed internal table at the start of a run. SM30 maintenance view. Fields in section 5.1.14.</w:t>
            </w:r>
          </w:p>
        </w:tc>
      </w:tr>
      <w:tr>
        <w:trPr>
          <w:tblHeader w:val="false"/>
        </w:trPr>
        <w:tc>
          <w:tcPr>
            <w:tcW w:type="dxa" w:w="2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Message class</w:t>
            </w:r>
          </w:p>
        </w:tc>
        <w:tc>
          <w:tcPr>
            <w:tcW w:type="dxa" w:w="2200"/>
            <w:tcMar>
              <w:top w:type="dxa" w:w="60"/>
              <w:left w:type="dxa" w:w="100"/>
              <w:bottom w:type="dxa" w:w="60"/>
              <w:right w:type="dxa" w:w="100"/>
            </w:tcMar>
          </w:tcPr>
          <w:p>
            <w:pPr>
              <w:spacing w:after="40" w:before="0"/>
            </w:pPr>
            <w:r>
              <w:rPr>
                <w:rFonts w:ascii="Consolas" w:cs="Consolas" w:eastAsia="Consolas" w:hAnsi="Consolas"/>
                <w:b w:val="false"/>
                <w:bCs w:val="false"/>
                <w:sz w:val="18"/>
                <w:szCs w:val="18"/>
              </w:rPr>
              <w:t xml:space="preserve">ZMM301</w:t>
            </w:r>
          </w:p>
        </w:tc>
        <w:tc>
          <w:tcPr>
            <w:tcW w:type="dxa" w:w="16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MSAG</w:t>
            </w:r>
          </w:p>
        </w:tc>
        <w:tc>
          <w:tcPr>
            <w:tcW w:type="dxa" w:w="15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w:t>
            </w:r>
          </w:p>
        </w:tc>
        <w:tc>
          <w:tcPr>
            <w:tcW w:type="dxa" w:w="2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Shared with the companion object; messages listed in sections 4.10 and 5.4.</w:t>
            </w:r>
          </w:p>
        </w:tc>
      </w:tr>
    </w:tbl>
    <w:p>
      <w:pPr>
        <w:pStyle w:val="Heading3"/>
        <w:spacing w:after="120" w:before="240"/>
      </w:pPr>
      <w:r>
        <w:rPr>
          <w:rFonts w:ascii="Arial" w:cs="Arial" w:eastAsia="Arial" w:hAnsi="Arial"/>
          <w:b/>
          <w:bCs/>
          <w:color w:val="005B9A"/>
          <w:sz w:val="21"/>
          <w:szCs w:val="21"/>
        </w:rPr>
        <w:t xml:space="preserve">5.1.7 CDS Views / OData Services</w:t>
      </w:r>
    </w:p>
    <w:tbl>
      <w:tblPr>
        <w:tblW w:type="dxa" w:w="9700"/>
        <w:tblBorders>
          <w:top w:val="single" w:color="AAB4BE" w:sz="4"/>
          <w:left w:val="single" w:color="AAB4BE" w:sz="4"/>
          <w:bottom w:val="single" w:color="AAB4BE" w:sz="4"/>
          <w:right w:val="single" w:color="AAB4BE" w:sz="4"/>
          <w:insideH w:val="single" w:color="AAB4BE" w:sz="4"/>
          <w:insideV w:val="single" w:color="AAB4BE" w:sz="4"/>
        </w:tblBorders>
      </w:tblPr>
      <w:tblGrid>
        <w:gridCol w:w="2600"/>
        <w:gridCol w:w="2600"/>
        <w:gridCol w:w="4500"/>
      </w:tblGrid>
      <w:tr>
        <w:trPr>
          <w:tblHeader/>
        </w:trPr>
        <w:tc>
          <w:tcPr>
            <w:tcW w:type="dxa" w:w="26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Object</w:t>
            </w:r>
          </w:p>
        </w:tc>
        <w:tc>
          <w:tcPr>
            <w:tcW w:type="dxa" w:w="26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Technical name</w:t>
            </w:r>
          </w:p>
        </w:tc>
        <w:tc>
          <w:tcPr>
            <w:tcW w:type="dxa" w:w="45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Description</w:t>
            </w:r>
          </w:p>
        </w:tc>
      </w:tr>
      <w:tr>
        <w:trPr>
          <w:tblHeader w:val="false"/>
        </w:trPr>
        <w:tc>
          <w:tcPr>
            <w:tcW w:type="dxa" w:w="26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N/A</w:t>
            </w:r>
          </w:p>
        </w:tc>
        <w:tc>
          <w:tcPr>
            <w:tcW w:type="dxa" w:w="26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N/A</w:t>
            </w:r>
          </w:p>
        </w:tc>
        <w:tc>
          <w:tcPr>
            <w:tcW w:type="dxa" w:w="45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No CDS view or OData service is created. The monitor reads the custom log tables and the standard material document tables directly.</w:t>
            </w:r>
          </w:p>
        </w:tc>
      </w:tr>
    </w:tbl>
    <w:p>
      <w:pPr>
        <w:pStyle w:val="Heading3"/>
        <w:spacing w:after="120" w:before="240"/>
      </w:pPr>
      <w:r>
        <w:rPr>
          <w:rFonts w:ascii="Arial" w:cs="Arial" w:eastAsia="Arial" w:hAnsi="Arial"/>
          <w:b/>
          <w:bCs/>
          <w:color w:val="005B9A"/>
          <w:sz w:val="21"/>
          <w:szCs w:val="21"/>
        </w:rPr>
        <w:t xml:space="preserve">5.1.8 BAdI</w:t>
      </w:r>
    </w:p>
    <w:tbl>
      <w:tblPr>
        <w:tblW w:type="dxa" w:w="9700"/>
        <w:tblBorders>
          <w:top w:val="single" w:color="AAB4BE" w:sz="4"/>
          <w:left w:val="single" w:color="AAB4BE" w:sz="4"/>
          <w:bottom w:val="single" w:color="AAB4BE" w:sz="4"/>
          <w:right w:val="single" w:color="AAB4BE" w:sz="4"/>
          <w:insideH w:val="single" w:color="AAB4BE" w:sz="4"/>
          <w:insideV w:val="single" w:color="AAB4BE" w:sz="4"/>
        </w:tblBorders>
      </w:tblPr>
      <w:tblGrid>
        <w:gridCol w:w="3200"/>
        <w:gridCol w:w="3200"/>
        <w:gridCol w:w="3300"/>
      </w:tblGrid>
      <w:tr>
        <w:trPr>
          <w:tblHeader/>
        </w:trPr>
        <w:tc>
          <w:tcPr>
            <w:tcW w:type="dxa" w:w="32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BAdI name</w:t>
            </w:r>
          </w:p>
        </w:tc>
        <w:tc>
          <w:tcPr>
            <w:tcW w:type="dxa" w:w="32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Implementation</w:t>
            </w:r>
          </w:p>
        </w:tc>
        <w:tc>
          <w:tcPr>
            <w:tcW w:type="dxa" w:w="33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Methods</w:t>
            </w:r>
          </w:p>
        </w:tc>
      </w:tr>
      <w:tr>
        <w:trPr>
          <w:tblHeader w:val="false"/>
        </w:trPr>
        <w:tc>
          <w:tcPr>
            <w:tcW w:type="dxa" w:w="3200"/>
            <w:tcMar>
              <w:top w:type="dxa" w:w="60"/>
              <w:left w:type="dxa" w:w="100"/>
              <w:bottom w:type="dxa" w:w="60"/>
              <w:right w:type="dxa" w:w="100"/>
            </w:tcMar>
          </w:tcPr>
          <w:p>
            <w:pPr>
              <w:spacing w:after="40" w:before="0"/>
            </w:pPr>
            <w:r>
              <w:rPr>
                <w:rFonts w:ascii="Consolas" w:cs="Consolas" w:eastAsia="Consolas" w:hAnsi="Consolas"/>
                <w:b w:val="false"/>
                <w:bCs w:val="false"/>
                <w:sz w:val="18"/>
                <w:szCs w:val="18"/>
              </w:rPr>
              <w:t xml:space="preserve">MB_DOCUMENT_BADI</w:t>
            </w:r>
            <w:r>
              <w:rPr>
                <w:rFonts w:ascii="Arial" w:cs="Arial" w:eastAsia="Arial" w:hAnsi="Arial"/>
                <w:b w:val="false"/>
                <w:bCs w:val="false"/>
                <w:sz w:val="18"/>
                <w:szCs w:val="18"/>
              </w:rPr>
              <w:t xml:space="preserve"> (standard, interface </w:t>
            </w:r>
            <w:r>
              <w:rPr>
                <w:rFonts w:ascii="Consolas" w:cs="Consolas" w:eastAsia="Consolas" w:hAnsi="Consolas"/>
                <w:b w:val="false"/>
                <w:bCs w:val="false"/>
                <w:sz w:val="18"/>
                <w:szCs w:val="18"/>
              </w:rPr>
              <w:t xml:space="preserve">IF_EX_MB_DOCUMENT_BADI</w:t>
            </w:r>
            <w:r>
              <w:rPr>
                <w:rFonts w:ascii="Arial" w:cs="Arial" w:eastAsia="Arial" w:hAnsi="Arial"/>
                <w:b w:val="false"/>
                <w:bCs w:val="false"/>
                <w:sz w:val="18"/>
                <w:szCs w:val="18"/>
              </w:rPr>
              <w:t xml:space="preserve">)</w:t>
            </w:r>
          </w:p>
        </w:tc>
        <w:tc>
          <w:tcPr>
            <w:tcW w:type="dxa" w:w="3200"/>
            <w:tcMar>
              <w:top w:type="dxa" w:w="60"/>
              <w:left w:type="dxa" w:w="100"/>
              <w:bottom w:type="dxa" w:w="60"/>
              <w:right w:type="dxa" w:w="100"/>
            </w:tcMar>
          </w:tcPr>
          <w:p>
            <w:pPr>
              <w:spacing w:after="40" w:before="0"/>
            </w:pPr>
            <w:r>
              <w:rPr>
                <w:rFonts w:ascii="Consolas" w:cs="Consolas" w:eastAsia="Consolas" w:hAnsi="Consolas"/>
                <w:b w:val="false"/>
                <w:bCs w:val="false"/>
                <w:sz w:val="18"/>
                <w:szCs w:val="18"/>
              </w:rPr>
              <w:t xml:space="preserve">ZMM_301_GR_TRIGGER</w:t>
            </w:r>
            <w:r>
              <w:rPr>
                <w:rFonts w:ascii="Arial" w:cs="Arial" w:eastAsia="Arial" w:hAnsi="Arial"/>
                <w:b w:val="false"/>
                <w:bCs w:val="false"/>
                <w:sz w:val="18"/>
                <w:szCs w:val="18"/>
              </w:rPr>
              <w:t xml:space="preserve">, class </w:t>
            </w:r>
            <w:r>
              <w:rPr>
                <w:rFonts w:ascii="Consolas" w:cs="Consolas" w:eastAsia="Consolas" w:hAnsi="Consolas"/>
                <w:b w:val="false"/>
                <w:bCs w:val="false"/>
                <w:sz w:val="18"/>
                <w:szCs w:val="18"/>
              </w:rPr>
              <w:t xml:space="preserve">ZCL_MM_301_GR_TRIGGER</w:t>
            </w:r>
          </w:p>
        </w:tc>
        <w:tc>
          <w:tcPr>
            <w:tcW w:type="dxa" w:w="3300"/>
            <w:tcMar>
              <w:top w:type="dxa" w:w="60"/>
              <w:left w:type="dxa" w:w="100"/>
              <w:bottom w:type="dxa" w:w="60"/>
              <w:right w:type="dxa" w:w="100"/>
            </w:tcMar>
          </w:tcPr>
          <w:p>
            <w:pPr>
              <w:spacing w:after="40" w:before="0"/>
            </w:pPr>
            <w:r>
              <w:rPr>
                <w:rFonts w:ascii="Consolas" w:cs="Consolas" w:eastAsia="Consolas" w:hAnsi="Consolas"/>
                <w:b w:val="false"/>
                <w:bCs w:val="false"/>
                <w:sz w:val="18"/>
                <w:szCs w:val="18"/>
              </w:rPr>
              <w:t xml:space="preserve">MB_DOCUMENT_BEFORE_UPDATE</w:t>
            </w:r>
            <w:r>
              <w:rPr>
                <w:rFonts w:ascii="Arial" w:cs="Arial" w:eastAsia="Arial" w:hAnsi="Arial"/>
                <w:b w:val="false"/>
                <w:bCs w:val="false"/>
                <w:sz w:val="18"/>
                <w:szCs w:val="18"/>
              </w:rPr>
              <w:t xml:space="preserve"> – classifies the posted document items and registers the posting unit. See section 4.4.1 for the enhancement point and section 5.1.3 for the method design. Its availability and its coverage of every goods-receipt channel in the target release are confirmed during the build (open item M1); the legacy exit </w:t>
            </w:r>
            <w:r>
              <w:rPr>
                <w:rFonts w:ascii="Consolas" w:cs="Consolas" w:eastAsia="Consolas" w:hAnsi="Consolas"/>
                <w:b w:val="false"/>
                <w:bCs w:val="false"/>
                <w:sz w:val="18"/>
                <w:szCs w:val="18"/>
              </w:rPr>
              <w:t xml:space="preserve">MB_CF001</w:t>
            </w:r>
            <w:r>
              <w:rPr>
                <w:rFonts w:ascii="Arial" w:cs="Arial" w:eastAsia="Arial" w:hAnsi="Arial"/>
                <w:b w:val="false"/>
                <w:bCs w:val="false"/>
                <w:sz w:val="18"/>
                <w:szCs w:val="18"/>
              </w:rPr>
              <w:t xml:space="preserve"> is the fallback and would carry the same logic.</w:t>
            </w:r>
          </w:p>
        </w:tc>
      </w:tr>
    </w:tbl>
    <w:p>
      <w:pPr>
        <w:pStyle w:val="Heading3"/>
        <w:spacing w:after="120" w:before="240"/>
      </w:pPr>
      <w:r>
        <w:rPr>
          <w:rFonts w:ascii="Arial" w:cs="Arial" w:eastAsia="Arial" w:hAnsi="Arial"/>
          <w:b/>
          <w:bCs/>
          <w:color w:val="005B9A"/>
          <w:sz w:val="21"/>
          <w:szCs w:val="21"/>
        </w:rPr>
        <w:t xml:space="preserve">5.1.9 User Exit</w:t>
      </w:r>
    </w:p>
    <w:tbl>
      <w:tblPr>
        <w:tblW w:type="dxa" w:w="9700"/>
        <w:tblBorders>
          <w:top w:val="single" w:color="AAB4BE" w:sz="4"/>
          <w:left w:val="single" w:color="AAB4BE" w:sz="4"/>
          <w:bottom w:val="single" w:color="AAB4BE" w:sz="4"/>
          <w:right w:val="single" w:color="AAB4BE" w:sz="4"/>
          <w:insideH w:val="single" w:color="AAB4BE" w:sz="4"/>
          <w:insideV w:val="single" w:color="AAB4BE" w:sz="4"/>
        </w:tblBorders>
      </w:tblPr>
      <w:tblGrid>
        <w:gridCol w:w="2600"/>
        <w:gridCol w:w="2400"/>
        <w:gridCol w:w="2300"/>
        <w:gridCol w:w="2400"/>
      </w:tblGrid>
      <w:tr>
        <w:trPr>
          <w:tblHeader/>
        </w:trPr>
        <w:tc>
          <w:tcPr>
            <w:tcW w:type="dxa" w:w="26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Enhancement</w:t>
            </w:r>
          </w:p>
        </w:tc>
        <w:tc>
          <w:tcPr>
            <w:tcW w:type="dxa" w:w="24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Main program</w:t>
            </w:r>
          </w:p>
        </w:tc>
        <w:tc>
          <w:tcPr>
            <w:tcW w:type="dxa" w:w="23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Includes</w:t>
            </w:r>
          </w:p>
        </w:tc>
        <w:tc>
          <w:tcPr>
            <w:tcW w:type="dxa" w:w="24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Form routines</w:t>
            </w:r>
          </w:p>
        </w:tc>
      </w:tr>
      <w:tr>
        <w:trPr>
          <w:tblHeader w:val="false"/>
        </w:trPr>
        <w:tc>
          <w:tcPr>
            <w:tcW w:type="dxa" w:w="2600"/>
            <w:tcMar>
              <w:top w:type="dxa" w:w="60"/>
              <w:left w:type="dxa" w:w="100"/>
              <w:bottom w:type="dxa" w:w="60"/>
              <w:right w:type="dxa" w:w="100"/>
            </w:tcMar>
          </w:tcPr>
          <w:p>
            <w:pPr>
              <w:spacing w:after="40" w:before="0"/>
            </w:pPr>
            <w:r>
              <w:rPr>
                <w:rFonts w:ascii="Consolas" w:cs="Consolas" w:eastAsia="Consolas" w:hAnsi="Consolas"/>
                <w:b w:val="false"/>
                <w:bCs w:val="false"/>
                <w:sz w:val="18"/>
                <w:szCs w:val="18"/>
              </w:rPr>
              <w:t xml:space="preserve">MB_CF001</w:t>
            </w:r>
            <w:r>
              <w:rPr>
                <w:rFonts w:ascii="Arial" w:cs="Arial" w:eastAsia="Arial" w:hAnsi="Arial"/>
                <w:b w:val="false"/>
                <w:bCs w:val="false"/>
                <w:sz w:val="18"/>
                <w:szCs w:val="18"/>
              </w:rPr>
              <w:t xml:space="preserve"> (fallback only)</w:t>
            </w:r>
          </w:p>
        </w:tc>
        <w:tc>
          <w:tcPr>
            <w:tcW w:type="dxa" w:w="24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Standard material-document posting</w:t>
            </w:r>
          </w:p>
        </w:tc>
        <w:tc>
          <w:tcPr>
            <w:tcW w:type="dxa" w:w="2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w:t>
            </w:r>
          </w:p>
        </w:tc>
        <w:tc>
          <w:tcPr>
            <w:tcW w:type="dxa" w:w="24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Used only if </w:t>
            </w:r>
            <w:r>
              <w:rPr>
                <w:rFonts w:ascii="Consolas" w:cs="Consolas" w:eastAsia="Consolas" w:hAnsi="Consolas"/>
                <w:b w:val="false"/>
                <w:bCs w:val="false"/>
                <w:sz w:val="18"/>
                <w:szCs w:val="18"/>
              </w:rPr>
              <w:t xml:space="preserve">MB_DOCUMENT_BADI</w:t>
            </w:r>
            <w:r>
              <w:rPr>
                <w:rFonts w:ascii="Arial" w:cs="Arial" w:eastAsia="Arial" w:hAnsi="Arial"/>
                <w:b w:val="false"/>
                <w:bCs w:val="false"/>
                <w:sz w:val="18"/>
                <w:szCs w:val="18"/>
              </w:rPr>
              <w:t xml:space="preserve"> proves unsuitable in the target release (open item M1). It would carry the same classify-and-register logic; the posting function would be unchanged.</w:t>
            </w:r>
          </w:p>
        </w:tc>
      </w:tr>
    </w:tbl>
    <w:p>
      <w:pPr>
        <w:pStyle w:val="Heading3"/>
        <w:spacing w:after="120" w:before="240"/>
      </w:pPr>
      <w:r>
        <w:rPr>
          <w:rFonts w:ascii="Arial" w:cs="Arial" w:eastAsia="Arial" w:hAnsi="Arial"/>
          <w:b/>
          <w:bCs/>
          <w:color w:val="005B9A"/>
          <w:sz w:val="21"/>
          <w:szCs w:val="21"/>
        </w:rPr>
        <w:t xml:space="preserve">5.1.10 Function Exit</w:t>
      </w:r>
    </w:p>
    <w:tbl>
      <w:tblPr>
        <w:tblW w:type="dxa" w:w="9700"/>
        <w:tblBorders>
          <w:top w:val="single" w:color="AAB4BE" w:sz="4"/>
          <w:left w:val="single" w:color="AAB4BE" w:sz="4"/>
          <w:bottom w:val="single" w:color="AAB4BE" w:sz="4"/>
          <w:right w:val="single" w:color="AAB4BE" w:sz="4"/>
          <w:insideH w:val="single" w:color="AAB4BE" w:sz="4"/>
          <w:insideV w:val="single" w:color="AAB4BE" w:sz="4"/>
        </w:tblBorders>
      </w:tblPr>
      <w:tblGrid>
        <w:gridCol w:w="2400"/>
        <w:gridCol w:w="2400"/>
        <w:gridCol w:w="2500"/>
        <w:gridCol w:w="2400"/>
      </w:tblGrid>
      <w:tr>
        <w:trPr>
          <w:tblHeader/>
        </w:trPr>
        <w:tc>
          <w:tcPr>
            <w:tcW w:type="dxa" w:w="24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Enhancement</w:t>
            </w:r>
          </w:p>
        </w:tc>
        <w:tc>
          <w:tcPr>
            <w:tcW w:type="dxa" w:w="24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Logical trigger point</w:t>
            </w:r>
          </w:p>
        </w:tc>
        <w:tc>
          <w:tcPr>
            <w:tcW w:type="dxa" w:w="25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Function module</w:t>
            </w:r>
          </w:p>
        </w:tc>
        <w:tc>
          <w:tcPr>
            <w:tcW w:type="dxa" w:w="24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Includes</w:t>
            </w:r>
          </w:p>
        </w:tc>
      </w:tr>
      <w:tr>
        <w:trPr>
          <w:tblHeader w:val="false"/>
        </w:trPr>
        <w:tc>
          <w:tcPr>
            <w:tcW w:type="dxa" w:w="24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N/A</w:t>
            </w:r>
          </w:p>
        </w:tc>
        <w:tc>
          <w:tcPr>
            <w:tcW w:type="dxa" w:w="24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N/A</w:t>
            </w:r>
          </w:p>
        </w:tc>
        <w:tc>
          <w:tcPr>
            <w:tcW w:type="dxa" w:w="25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N/A</w:t>
            </w:r>
          </w:p>
        </w:tc>
        <w:tc>
          <w:tcPr>
            <w:tcW w:type="dxa" w:w="24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N/A</w:t>
            </w:r>
          </w:p>
        </w:tc>
      </w:tr>
    </w:tbl>
    <w:p>
      <w:pPr>
        <w:pStyle w:val="Heading3"/>
        <w:spacing w:after="120" w:before="240"/>
      </w:pPr>
      <w:r>
        <w:rPr>
          <w:rFonts w:ascii="Arial" w:cs="Arial" w:eastAsia="Arial" w:hAnsi="Arial"/>
          <w:b/>
          <w:bCs/>
          <w:color w:val="005B9A"/>
          <w:sz w:val="21"/>
          <w:szCs w:val="21"/>
        </w:rPr>
        <w:t xml:space="preserve">5.1.11 Field Exit</w:t>
      </w:r>
    </w:p>
    <w:tbl>
      <w:tblPr>
        <w:tblW w:type="dxa" w:w="9700"/>
        <w:tblBorders>
          <w:top w:val="single" w:color="AAB4BE" w:sz="4"/>
          <w:left w:val="single" w:color="AAB4BE" w:sz="4"/>
          <w:bottom w:val="single" w:color="AAB4BE" w:sz="4"/>
          <w:right w:val="single" w:color="AAB4BE" w:sz="4"/>
          <w:insideH w:val="single" w:color="AAB4BE" w:sz="4"/>
          <w:insideV w:val="single" w:color="AAB4BE" w:sz="4"/>
        </w:tblBorders>
      </w:tblPr>
      <w:tblGrid>
        <w:gridCol w:w="1600"/>
        <w:gridCol w:w="1600"/>
        <w:gridCol w:w="1800"/>
        <w:gridCol w:w="1300"/>
        <w:gridCol w:w="1400"/>
        <w:gridCol w:w="2000"/>
      </w:tblGrid>
      <w:tr>
        <w:trPr>
          <w:tblHeader/>
        </w:trPr>
        <w:tc>
          <w:tcPr>
            <w:tcW w:type="dxa" w:w="16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Enhancement</w:t>
            </w:r>
          </w:p>
        </w:tc>
        <w:tc>
          <w:tcPr>
            <w:tcW w:type="dxa" w:w="16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Main program</w:t>
            </w:r>
          </w:p>
        </w:tc>
        <w:tc>
          <w:tcPr>
            <w:tcW w:type="dxa" w:w="18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Function module</w:t>
            </w:r>
          </w:p>
        </w:tc>
        <w:tc>
          <w:tcPr>
            <w:tcW w:type="dxa" w:w="13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Screen no.</w:t>
            </w:r>
          </w:p>
        </w:tc>
        <w:tc>
          <w:tcPr>
            <w:tcW w:type="dxa" w:w="14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Screen field</w:t>
            </w:r>
          </w:p>
        </w:tc>
        <w:tc>
          <w:tcPr>
            <w:tcW w:type="dxa" w:w="20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Condition</w:t>
            </w:r>
          </w:p>
        </w:tc>
      </w:tr>
      <w:tr>
        <w:trPr>
          <w:tblHeader w:val="false"/>
        </w:trPr>
        <w:tc>
          <w:tcPr>
            <w:tcW w:type="dxa" w:w="16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N/A</w:t>
            </w:r>
          </w:p>
        </w:tc>
        <w:tc>
          <w:tcPr>
            <w:tcW w:type="dxa" w:w="16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N/A</w:t>
            </w:r>
          </w:p>
        </w:tc>
        <w:tc>
          <w:tcPr>
            <w:tcW w:type="dxa" w:w="18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N/A</w:t>
            </w:r>
          </w:p>
        </w:tc>
        <w:tc>
          <w:tcPr>
            <w:tcW w:type="dxa" w:w="1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N/A</w:t>
            </w:r>
          </w:p>
        </w:tc>
        <w:tc>
          <w:tcPr>
            <w:tcW w:type="dxa" w:w="14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N/A</w:t>
            </w:r>
          </w:p>
        </w:tc>
        <w:tc>
          <w:tcPr>
            <w:tcW w:type="dxa" w:w="20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N/A</w:t>
            </w:r>
          </w:p>
        </w:tc>
      </w:tr>
    </w:tbl>
    <w:p>
      <w:pPr>
        <w:pStyle w:val="Heading3"/>
        <w:spacing w:after="120" w:before="240"/>
      </w:pPr>
      <w:r>
        <w:rPr>
          <w:rFonts w:ascii="Arial" w:cs="Arial" w:eastAsia="Arial" w:hAnsi="Arial"/>
          <w:b/>
          <w:bCs/>
          <w:color w:val="005B9A"/>
          <w:sz w:val="21"/>
          <w:szCs w:val="21"/>
        </w:rPr>
        <w:t xml:space="preserve">5.1.12 Validation</w:t>
      </w:r>
    </w:p>
    <w:tbl>
      <w:tblPr>
        <w:tblW w:type="dxa" w:w="9700"/>
        <w:tblBorders>
          <w:top w:val="single" w:color="AAB4BE" w:sz="4"/>
          <w:left w:val="single" w:color="AAB4BE" w:sz="4"/>
          <w:bottom w:val="single" w:color="AAB4BE" w:sz="4"/>
          <w:right w:val="single" w:color="AAB4BE" w:sz="4"/>
          <w:insideH w:val="single" w:color="AAB4BE" w:sz="4"/>
          <w:insideV w:val="single" w:color="AAB4BE" w:sz="4"/>
        </w:tblBorders>
      </w:tblPr>
      <w:tblGrid>
        <w:gridCol w:w="2400"/>
        <w:gridCol w:w="2100"/>
        <w:gridCol w:w="1700"/>
        <w:gridCol w:w="1700"/>
        <w:gridCol w:w="1800"/>
      </w:tblGrid>
      <w:tr>
        <w:trPr>
          <w:tblHeader/>
        </w:trPr>
        <w:tc>
          <w:tcPr>
            <w:tcW w:type="dxa" w:w="24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Validation description</w:t>
            </w:r>
          </w:p>
        </w:tc>
        <w:tc>
          <w:tcPr>
            <w:tcW w:type="dxa" w:w="21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Fields required</w:t>
            </w:r>
          </w:p>
        </w:tc>
        <w:tc>
          <w:tcPr>
            <w:tcW w:type="dxa" w:w="17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Point of validation</w:t>
            </w:r>
          </w:p>
        </w:tc>
        <w:tc>
          <w:tcPr>
            <w:tcW w:type="dxa" w:w="17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Table used</w:t>
            </w:r>
          </w:p>
        </w:tc>
        <w:tc>
          <w:tcPr>
            <w:tcW w:type="dxa" w:w="18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Business rule</w:t>
            </w:r>
          </w:p>
        </w:tc>
      </w:tr>
      <w:tr>
        <w:trPr>
          <w:tblHeader w:val="false"/>
        </w:trPr>
        <w:tc>
          <w:tcPr>
            <w:tcW w:type="dxa" w:w="24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N/A</w:t>
            </w:r>
          </w:p>
        </w:tc>
        <w:tc>
          <w:tcPr>
            <w:tcW w:type="dxa" w:w="21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N/A</w:t>
            </w:r>
          </w:p>
        </w:tc>
        <w:tc>
          <w:tcPr>
            <w:tcW w:type="dxa" w:w="17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N/A</w:t>
            </w:r>
          </w:p>
        </w:tc>
        <w:tc>
          <w:tcPr>
            <w:tcW w:type="dxa" w:w="17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N/A</w:t>
            </w:r>
          </w:p>
        </w:tc>
        <w:tc>
          <w:tcPr>
            <w:tcW w:type="dxa" w:w="18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No FI/CO validation is used. The functional checks are implemented in the trigger class and the posting function (section 5.1.3 and 5.1.4).</w:t>
            </w:r>
          </w:p>
        </w:tc>
      </w:tr>
    </w:tbl>
    <w:p>
      <w:pPr>
        <w:pStyle w:val="Heading3"/>
        <w:spacing w:after="120" w:before="240"/>
      </w:pPr>
      <w:r>
        <w:rPr>
          <w:rFonts w:ascii="Arial" w:cs="Arial" w:eastAsia="Arial" w:hAnsi="Arial"/>
          <w:b/>
          <w:bCs/>
          <w:color w:val="005B9A"/>
          <w:sz w:val="21"/>
          <w:szCs w:val="21"/>
        </w:rPr>
        <w:t xml:space="preserve">5.1.13 Substitution</w:t>
      </w:r>
    </w:p>
    <w:tbl>
      <w:tblPr>
        <w:tblW w:type="dxa" w:w="9700"/>
        <w:tblBorders>
          <w:top w:val="single" w:color="AAB4BE" w:sz="4"/>
          <w:left w:val="single" w:color="AAB4BE" w:sz="4"/>
          <w:bottom w:val="single" w:color="AAB4BE" w:sz="4"/>
          <w:right w:val="single" w:color="AAB4BE" w:sz="4"/>
          <w:insideH w:val="single" w:color="AAB4BE" w:sz="4"/>
          <w:insideV w:val="single" w:color="AAB4BE" w:sz="4"/>
        </w:tblBorders>
      </w:tblPr>
      <w:tblGrid>
        <w:gridCol w:w="2400"/>
        <w:gridCol w:w="2400"/>
        <w:gridCol w:w="2400"/>
        <w:gridCol w:w="2500"/>
      </w:tblGrid>
      <w:tr>
        <w:trPr>
          <w:tblHeader/>
        </w:trPr>
        <w:tc>
          <w:tcPr>
            <w:tcW w:type="dxa" w:w="24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Substituted field</w:t>
            </w:r>
          </w:p>
        </w:tc>
        <w:tc>
          <w:tcPr>
            <w:tcW w:type="dxa" w:w="24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Derived from field</w:t>
            </w:r>
          </w:p>
        </w:tc>
        <w:tc>
          <w:tcPr>
            <w:tcW w:type="dxa" w:w="24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Table used</w:t>
            </w:r>
          </w:p>
        </w:tc>
        <w:tc>
          <w:tcPr>
            <w:tcW w:type="dxa" w:w="25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Business rule</w:t>
            </w:r>
          </w:p>
        </w:tc>
      </w:tr>
      <w:tr>
        <w:trPr>
          <w:tblHeader w:val="false"/>
        </w:trPr>
        <w:tc>
          <w:tcPr>
            <w:tcW w:type="dxa" w:w="24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N/A</w:t>
            </w:r>
          </w:p>
        </w:tc>
        <w:tc>
          <w:tcPr>
            <w:tcW w:type="dxa" w:w="24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N/A</w:t>
            </w:r>
          </w:p>
        </w:tc>
        <w:tc>
          <w:tcPr>
            <w:tcW w:type="dxa" w:w="24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N/A</w:t>
            </w:r>
          </w:p>
        </w:tc>
        <w:tc>
          <w:tcPr>
            <w:tcW w:type="dxa" w:w="25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N/A</w:t>
            </w:r>
          </w:p>
        </w:tc>
      </w:tr>
    </w:tbl>
    <w:p>
      <w:pPr>
        <w:pStyle w:val="Heading3"/>
        <w:spacing w:after="120" w:before="240"/>
      </w:pPr>
      <w:r>
        <w:rPr>
          <w:rFonts w:ascii="Arial" w:cs="Arial" w:eastAsia="Arial" w:hAnsi="Arial"/>
          <w:b/>
          <w:bCs/>
          <w:color w:val="005B9A"/>
          <w:sz w:val="21"/>
          <w:szCs w:val="21"/>
        </w:rPr>
        <w:t xml:space="preserve">5.1.14 Custom Table</w:t>
      </w:r>
    </w:p>
    <w:p>
      <w:pPr>
        <w:spacing w:after="100" w:before="0"/>
      </w:pPr>
      <w:r>
        <w:rPr>
          <w:rFonts w:ascii="Arial" w:cs="Arial" w:eastAsia="Arial" w:hAnsi="Arial"/>
          <w:sz w:val="18"/>
          <w:szCs w:val="18"/>
          <w:b/>
          <w:bCs/>
        </w:rPr>
        <w:t xml:space="preserve">Table ZMM_301_CTRL – control and configuration (primary key: MANDT, WERKS_FR, WERKS_TO; fully buffered; SM30 view)</w:t>
      </w:r>
    </w:p>
    <w:tbl>
      <w:tblPr>
        <w:tblW w:type="dxa" w:w="9700"/>
        <w:tblBorders>
          <w:top w:val="single" w:color="AAB4BE" w:sz="4"/>
          <w:left w:val="single" w:color="AAB4BE" w:sz="4"/>
          <w:bottom w:val="single" w:color="AAB4BE" w:sz="4"/>
          <w:right w:val="single" w:color="AAB4BE" w:sz="4"/>
          <w:insideH w:val="single" w:color="AAB4BE" w:sz="4"/>
          <w:insideV w:val="single" w:color="AAB4BE" w:sz="4"/>
        </w:tblBorders>
      </w:tblPr>
      <w:tblGrid>
        <w:gridCol w:w="1500"/>
        <w:gridCol w:w="1600"/>
        <w:gridCol w:w="1200"/>
        <w:gridCol w:w="1000"/>
        <w:gridCol w:w="900"/>
        <w:gridCol w:w="1300"/>
        <w:gridCol w:w="900"/>
        <w:gridCol w:w="1300"/>
      </w:tblGrid>
      <w:tr>
        <w:trPr>
          <w:tblHeader/>
        </w:trPr>
        <w:tc>
          <w:tcPr>
            <w:tcW w:type="dxa" w:w="15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Field name</w:t>
            </w:r>
          </w:p>
        </w:tc>
        <w:tc>
          <w:tcPr>
            <w:tcW w:type="dxa" w:w="16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Data element</w:t>
            </w:r>
          </w:p>
        </w:tc>
        <w:tc>
          <w:tcPr>
            <w:tcW w:type="dxa" w:w="12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Domain</w:t>
            </w:r>
          </w:p>
        </w:tc>
        <w:tc>
          <w:tcPr>
            <w:tcW w:type="dxa" w:w="10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Type</w:t>
            </w:r>
          </w:p>
        </w:tc>
        <w:tc>
          <w:tcPr>
            <w:tcW w:type="dxa" w:w="9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Length</w:t>
            </w:r>
          </w:p>
        </w:tc>
        <w:tc>
          <w:tcPr>
            <w:tcW w:type="dxa" w:w="13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Check table</w:t>
            </w:r>
          </w:p>
        </w:tc>
        <w:tc>
          <w:tcPr>
            <w:tcW w:type="dxa" w:w="9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Key</w:t>
            </w:r>
          </w:p>
        </w:tc>
        <w:tc>
          <w:tcPr>
            <w:tcW w:type="dxa" w:w="13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Description</w:t>
            </w:r>
          </w:p>
        </w:tc>
      </w:tr>
      <w:tr>
        <w:trPr>
          <w:tblHeader w:val="false"/>
        </w:trPr>
        <w:tc>
          <w:tcPr>
            <w:tcW w:type="dxa" w:w="15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MANDT</w:t>
            </w:r>
          </w:p>
        </w:tc>
        <w:tc>
          <w:tcPr>
            <w:tcW w:type="dxa" w:w="16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MANDT</w:t>
            </w:r>
          </w:p>
        </w:tc>
        <w:tc>
          <w:tcPr>
            <w:tcW w:type="dxa" w:w="1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MANDT</w:t>
            </w:r>
          </w:p>
        </w:tc>
        <w:tc>
          <w:tcPr>
            <w:tcW w:type="dxa" w:w="10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CLNT</w:t>
            </w:r>
          </w:p>
        </w:tc>
        <w:tc>
          <w:tcPr>
            <w:tcW w:type="dxa" w:w="9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3</w:t>
            </w:r>
          </w:p>
        </w:tc>
        <w:tc>
          <w:tcPr>
            <w:tcW w:type="dxa" w:w="1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T000</w:t>
            </w:r>
          </w:p>
        </w:tc>
        <w:tc>
          <w:tcPr>
            <w:tcW w:type="dxa" w:w="9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X</w:t>
            </w:r>
          </w:p>
        </w:tc>
        <w:tc>
          <w:tcPr>
            <w:tcW w:type="dxa" w:w="1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Client</w:t>
            </w:r>
          </w:p>
        </w:tc>
      </w:tr>
      <w:tr>
        <w:trPr>
          <w:tblHeader w:val="false"/>
        </w:trPr>
        <w:tc>
          <w:tcPr>
            <w:tcW w:type="dxa" w:w="15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WERKS_FR</w:t>
            </w:r>
          </w:p>
        </w:tc>
        <w:tc>
          <w:tcPr>
            <w:tcW w:type="dxa" w:w="16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WERKS_D</w:t>
            </w:r>
          </w:p>
        </w:tc>
        <w:tc>
          <w:tcPr>
            <w:tcW w:type="dxa" w:w="1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WERKS</w:t>
            </w:r>
          </w:p>
        </w:tc>
        <w:tc>
          <w:tcPr>
            <w:tcW w:type="dxa" w:w="10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CHAR</w:t>
            </w:r>
          </w:p>
        </w:tc>
        <w:tc>
          <w:tcPr>
            <w:tcW w:type="dxa" w:w="9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4</w:t>
            </w:r>
          </w:p>
        </w:tc>
        <w:tc>
          <w:tcPr>
            <w:tcW w:type="dxa" w:w="1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T001W</w:t>
            </w:r>
          </w:p>
        </w:tc>
        <w:tc>
          <w:tcPr>
            <w:tcW w:type="dxa" w:w="9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X</w:t>
            </w:r>
          </w:p>
        </w:tc>
        <w:tc>
          <w:tcPr>
            <w:tcW w:type="dxa" w:w="1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Issuing plant (8P01)</w:t>
            </w:r>
          </w:p>
        </w:tc>
      </w:tr>
      <w:tr>
        <w:trPr>
          <w:tblHeader w:val="false"/>
        </w:trPr>
        <w:tc>
          <w:tcPr>
            <w:tcW w:type="dxa" w:w="15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WERKS_TO</w:t>
            </w:r>
          </w:p>
        </w:tc>
        <w:tc>
          <w:tcPr>
            <w:tcW w:type="dxa" w:w="16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WERKS_D</w:t>
            </w:r>
          </w:p>
        </w:tc>
        <w:tc>
          <w:tcPr>
            <w:tcW w:type="dxa" w:w="1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WERKS</w:t>
            </w:r>
          </w:p>
        </w:tc>
        <w:tc>
          <w:tcPr>
            <w:tcW w:type="dxa" w:w="10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CHAR</w:t>
            </w:r>
          </w:p>
        </w:tc>
        <w:tc>
          <w:tcPr>
            <w:tcW w:type="dxa" w:w="9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4</w:t>
            </w:r>
          </w:p>
        </w:tc>
        <w:tc>
          <w:tcPr>
            <w:tcW w:type="dxa" w:w="1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T001W</w:t>
            </w:r>
          </w:p>
        </w:tc>
        <w:tc>
          <w:tcPr>
            <w:tcW w:type="dxa" w:w="9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X</w:t>
            </w:r>
          </w:p>
        </w:tc>
        <w:tc>
          <w:tcPr>
            <w:tcW w:type="dxa" w:w="1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Receiving plant (8Q01)</w:t>
            </w:r>
          </w:p>
        </w:tc>
      </w:tr>
      <w:tr>
        <w:trPr>
          <w:tblHeader w:val="false"/>
        </w:trPr>
        <w:tc>
          <w:tcPr>
            <w:tcW w:type="dxa" w:w="15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LGORT_FR</w:t>
            </w:r>
          </w:p>
        </w:tc>
        <w:tc>
          <w:tcPr>
            <w:tcW w:type="dxa" w:w="16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LGORT_D</w:t>
            </w:r>
          </w:p>
        </w:tc>
        <w:tc>
          <w:tcPr>
            <w:tcW w:type="dxa" w:w="1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LGORT</w:t>
            </w:r>
          </w:p>
        </w:tc>
        <w:tc>
          <w:tcPr>
            <w:tcW w:type="dxa" w:w="10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CHAR</w:t>
            </w:r>
          </w:p>
        </w:tc>
        <w:tc>
          <w:tcPr>
            <w:tcW w:type="dxa" w:w="9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4</w:t>
            </w:r>
          </w:p>
        </w:tc>
        <w:tc>
          <w:tcPr>
            <w:tcW w:type="dxa" w:w="1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T001L</w:t>
            </w:r>
          </w:p>
        </w:tc>
        <w:tc>
          <w:tcPr>
            <w:tcW w:type="dxa" w:w="9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w:t>
            </w:r>
          </w:p>
        </w:tc>
        <w:tc>
          <w:tcPr>
            <w:tcW w:type="dxa" w:w="1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Default issuing storage location, used when the goods receipt carries none</w:t>
            </w:r>
          </w:p>
        </w:tc>
      </w:tr>
      <w:tr>
        <w:trPr>
          <w:tblHeader w:val="false"/>
        </w:trPr>
        <w:tc>
          <w:tcPr>
            <w:tcW w:type="dxa" w:w="15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LGORT_TO</w:t>
            </w:r>
          </w:p>
        </w:tc>
        <w:tc>
          <w:tcPr>
            <w:tcW w:type="dxa" w:w="16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LGORT_D</w:t>
            </w:r>
          </w:p>
        </w:tc>
        <w:tc>
          <w:tcPr>
            <w:tcW w:type="dxa" w:w="1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LGORT</w:t>
            </w:r>
          </w:p>
        </w:tc>
        <w:tc>
          <w:tcPr>
            <w:tcW w:type="dxa" w:w="10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CHAR</w:t>
            </w:r>
          </w:p>
        </w:tc>
        <w:tc>
          <w:tcPr>
            <w:tcW w:type="dxa" w:w="9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4</w:t>
            </w:r>
          </w:p>
        </w:tc>
        <w:tc>
          <w:tcPr>
            <w:tcW w:type="dxa" w:w="1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T001L</w:t>
            </w:r>
          </w:p>
        </w:tc>
        <w:tc>
          <w:tcPr>
            <w:tcW w:type="dxa" w:w="9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w:t>
            </w:r>
          </w:p>
        </w:tc>
        <w:tc>
          <w:tcPr>
            <w:tcW w:type="dxa" w:w="1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Receiving storage location</w:t>
            </w:r>
          </w:p>
        </w:tc>
      </w:tr>
      <w:tr>
        <w:trPr>
          <w:tblHeader w:val="false"/>
        </w:trPr>
        <w:tc>
          <w:tcPr>
            <w:tcW w:type="dxa" w:w="15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MOVE_TYPE</w:t>
            </w:r>
          </w:p>
        </w:tc>
        <w:tc>
          <w:tcPr>
            <w:tcW w:type="dxa" w:w="16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BWART</w:t>
            </w:r>
          </w:p>
        </w:tc>
        <w:tc>
          <w:tcPr>
            <w:tcW w:type="dxa" w:w="1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BWART</w:t>
            </w:r>
          </w:p>
        </w:tc>
        <w:tc>
          <w:tcPr>
            <w:tcW w:type="dxa" w:w="10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CHAR</w:t>
            </w:r>
          </w:p>
        </w:tc>
        <w:tc>
          <w:tcPr>
            <w:tcW w:type="dxa" w:w="9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3</w:t>
            </w:r>
          </w:p>
        </w:tc>
        <w:tc>
          <w:tcPr>
            <w:tcW w:type="dxa" w:w="1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T156</w:t>
            </w:r>
          </w:p>
        </w:tc>
        <w:tc>
          <w:tcPr>
            <w:tcW w:type="dxa" w:w="9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w:t>
            </w:r>
          </w:p>
        </w:tc>
        <w:tc>
          <w:tcPr>
            <w:tcW w:type="dxa" w:w="1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Transfer movement type, 301 by default</w:t>
            </w:r>
          </w:p>
        </w:tc>
      </w:tr>
      <w:tr>
        <w:trPr>
          <w:tblHeader w:val="false"/>
        </w:trPr>
        <w:tc>
          <w:tcPr>
            <w:tcW w:type="dxa" w:w="15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NO_RESV_ACTION</w:t>
            </w:r>
          </w:p>
        </w:tc>
        <w:tc>
          <w:tcPr>
            <w:tcW w:type="dxa" w:w="16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CHAR1</w:t>
            </w:r>
          </w:p>
        </w:tc>
        <w:tc>
          <w:tcPr>
            <w:tcW w:type="dxa" w:w="1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CHAR1</w:t>
            </w:r>
          </w:p>
        </w:tc>
        <w:tc>
          <w:tcPr>
            <w:tcW w:type="dxa" w:w="10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CHAR</w:t>
            </w:r>
          </w:p>
        </w:tc>
        <w:tc>
          <w:tcPr>
            <w:tcW w:type="dxa" w:w="9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1</w:t>
            </w:r>
          </w:p>
        </w:tc>
        <w:tc>
          <w:tcPr>
            <w:tcW w:type="dxa" w:w="1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w:t>
            </w:r>
          </w:p>
        </w:tc>
        <w:tc>
          <w:tcPr>
            <w:tcW w:type="dxa" w:w="9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w:t>
            </w:r>
          </w:p>
        </w:tc>
        <w:tc>
          <w:tcPr>
            <w:tcW w:type="dxa" w:w="1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Behaviour when no reservation exists: P = post without reference, S = skip</w:t>
            </w:r>
          </w:p>
        </w:tc>
      </w:tr>
      <w:tr>
        <w:trPr>
          <w:tblHeader w:val="false"/>
        </w:trPr>
        <w:tc>
          <w:tcPr>
            <w:tcW w:type="dxa" w:w="15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ACTIVE</w:t>
            </w:r>
          </w:p>
        </w:tc>
        <w:tc>
          <w:tcPr>
            <w:tcW w:type="dxa" w:w="16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CHAR1</w:t>
            </w:r>
          </w:p>
        </w:tc>
        <w:tc>
          <w:tcPr>
            <w:tcW w:type="dxa" w:w="1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CHAR1</w:t>
            </w:r>
          </w:p>
        </w:tc>
        <w:tc>
          <w:tcPr>
            <w:tcW w:type="dxa" w:w="10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CHAR</w:t>
            </w:r>
          </w:p>
        </w:tc>
        <w:tc>
          <w:tcPr>
            <w:tcW w:type="dxa" w:w="9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1</w:t>
            </w:r>
          </w:p>
        </w:tc>
        <w:tc>
          <w:tcPr>
            <w:tcW w:type="dxa" w:w="1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w:t>
            </w:r>
          </w:p>
        </w:tc>
        <w:tc>
          <w:tcPr>
            <w:tcW w:type="dxa" w:w="9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w:t>
            </w:r>
          </w:p>
        </w:tc>
        <w:tc>
          <w:tcPr>
            <w:tcW w:type="dxa" w:w="1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Automation on or off – the migration switch for the whole solution</w:t>
            </w:r>
          </w:p>
        </w:tc>
      </w:tr>
      <w:tr>
        <w:trPr>
          <w:tblHeader w:val="false"/>
        </w:trPr>
        <w:tc>
          <w:tcPr>
            <w:tcW w:type="dxa" w:w="15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VALID_FROM</w:t>
            </w:r>
          </w:p>
        </w:tc>
        <w:tc>
          <w:tcPr>
            <w:tcW w:type="dxa" w:w="16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DATUM</w:t>
            </w:r>
          </w:p>
        </w:tc>
        <w:tc>
          <w:tcPr>
            <w:tcW w:type="dxa" w:w="1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DATUM</w:t>
            </w:r>
          </w:p>
        </w:tc>
        <w:tc>
          <w:tcPr>
            <w:tcW w:type="dxa" w:w="10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DATS</w:t>
            </w:r>
          </w:p>
        </w:tc>
        <w:tc>
          <w:tcPr>
            <w:tcW w:type="dxa" w:w="9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8</w:t>
            </w:r>
          </w:p>
        </w:tc>
        <w:tc>
          <w:tcPr>
            <w:tcW w:type="dxa" w:w="1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w:t>
            </w:r>
          </w:p>
        </w:tc>
        <w:tc>
          <w:tcPr>
            <w:tcW w:type="dxa" w:w="9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w:t>
            </w:r>
          </w:p>
        </w:tc>
        <w:tc>
          <w:tcPr>
            <w:tcW w:type="dxa" w:w="1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Optional start of the activation window</w:t>
            </w:r>
          </w:p>
        </w:tc>
      </w:tr>
      <w:tr>
        <w:trPr>
          <w:tblHeader w:val="false"/>
        </w:trPr>
        <w:tc>
          <w:tcPr>
            <w:tcW w:type="dxa" w:w="15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VALID_TO</w:t>
            </w:r>
          </w:p>
        </w:tc>
        <w:tc>
          <w:tcPr>
            <w:tcW w:type="dxa" w:w="16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DATUM</w:t>
            </w:r>
          </w:p>
        </w:tc>
        <w:tc>
          <w:tcPr>
            <w:tcW w:type="dxa" w:w="1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DATUM</w:t>
            </w:r>
          </w:p>
        </w:tc>
        <w:tc>
          <w:tcPr>
            <w:tcW w:type="dxa" w:w="10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DATS</w:t>
            </w:r>
          </w:p>
        </w:tc>
        <w:tc>
          <w:tcPr>
            <w:tcW w:type="dxa" w:w="9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8</w:t>
            </w:r>
          </w:p>
        </w:tc>
        <w:tc>
          <w:tcPr>
            <w:tcW w:type="dxa" w:w="1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w:t>
            </w:r>
          </w:p>
        </w:tc>
        <w:tc>
          <w:tcPr>
            <w:tcW w:type="dxa" w:w="9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w:t>
            </w:r>
          </w:p>
        </w:tc>
        <w:tc>
          <w:tcPr>
            <w:tcW w:type="dxa" w:w="1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Optional end of the activation window</w:t>
            </w:r>
          </w:p>
        </w:tc>
      </w:tr>
    </w:tbl>
    <w:p>
      <w:pPr>
        <w:spacing w:after="100" w:before="0"/>
      </w:pPr>
      <w:r>
        <w:rPr>
          <w:rFonts w:ascii="Arial" w:cs="Arial" w:eastAsia="Arial" w:hAnsi="Arial"/>
          <w:sz w:val="18"/>
          <w:szCs w:val="18"/>
          <w:b/>
          <w:bCs/>
        </w:rPr>
        <w:t xml:space="preserve">Table ZMM_301_MOV_LOG – movement log, one row per source goods-receipt item (primary key: MANDT, SRC_MBLNR, SRC_MJAHR, SRC_ZEILE)</w:t>
      </w:r>
    </w:p>
    <w:tbl>
      <w:tblPr>
        <w:tblW w:type="dxa" w:w="9700"/>
        <w:tblBorders>
          <w:top w:val="single" w:color="AAB4BE" w:sz="4"/>
          <w:left w:val="single" w:color="AAB4BE" w:sz="4"/>
          <w:bottom w:val="single" w:color="AAB4BE" w:sz="4"/>
          <w:right w:val="single" w:color="AAB4BE" w:sz="4"/>
          <w:insideH w:val="single" w:color="AAB4BE" w:sz="4"/>
          <w:insideV w:val="single" w:color="AAB4BE" w:sz="4"/>
        </w:tblBorders>
      </w:tblPr>
      <w:tblGrid>
        <w:gridCol w:w="1500"/>
        <w:gridCol w:w="1600"/>
        <w:gridCol w:w="1200"/>
        <w:gridCol w:w="1000"/>
        <w:gridCol w:w="900"/>
        <w:gridCol w:w="1300"/>
        <w:gridCol w:w="900"/>
        <w:gridCol w:w="1300"/>
      </w:tblGrid>
      <w:tr>
        <w:trPr>
          <w:tblHeader/>
        </w:trPr>
        <w:tc>
          <w:tcPr>
            <w:tcW w:type="dxa" w:w="15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Field name</w:t>
            </w:r>
          </w:p>
        </w:tc>
        <w:tc>
          <w:tcPr>
            <w:tcW w:type="dxa" w:w="16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Data element</w:t>
            </w:r>
          </w:p>
        </w:tc>
        <w:tc>
          <w:tcPr>
            <w:tcW w:type="dxa" w:w="12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Domain</w:t>
            </w:r>
          </w:p>
        </w:tc>
        <w:tc>
          <w:tcPr>
            <w:tcW w:type="dxa" w:w="10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Type</w:t>
            </w:r>
          </w:p>
        </w:tc>
        <w:tc>
          <w:tcPr>
            <w:tcW w:type="dxa" w:w="9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Length</w:t>
            </w:r>
          </w:p>
        </w:tc>
        <w:tc>
          <w:tcPr>
            <w:tcW w:type="dxa" w:w="13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Check table</w:t>
            </w:r>
          </w:p>
        </w:tc>
        <w:tc>
          <w:tcPr>
            <w:tcW w:type="dxa" w:w="9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Key</w:t>
            </w:r>
          </w:p>
        </w:tc>
        <w:tc>
          <w:tcPr>
            <w:tcW w:type="dxa" w:w="13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Description</w:t>
            </w:r>
          </w:p>
        </w:tc>
      </w:tr>
      <w:tr>
        <w:trPr>
          <w:tblHeader w:val="false"/>
        </w:trPr>
        <w:tc>
          <w:tcPr>
            <w:tcW w:type="dxa" w:w="15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MANDT</w:t>
            </w:r>
          </w:p>
        </w:tc>
        <w:tc>
          <w:tcPr>
            <w:tcW w:type="dxa" w:w="16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MANDT</w:t>
            </w:r>
          </w:p>
        </w:tc>
        <w:tc>
          <w:tcPr>
            <w:tcW w:type="dxa" w:w="1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MANDT</w:t>
            </w:r>
          </w:p>
        </w:tc>
        <w:tc>
          <w:tcPr>
            <w:tcW w:type="dxa" w:w="10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CLNT</w:t>
            </w:r>
          </w:p>
        </w:tc>
        <w:tc>
          <w:tcPr>
            <w:tcW w:type="dxa" w:w="9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3</w:t>
            </w:r>
          </w:p>
        </w:tc>
        <w:tc>
          <w:tcPr>
            <w:tcW w:type="dxa" w:w="1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T000</w:t>
            </w:r>
          </w:p>
        </w:tc>
        <w:tc>
          <w:tcPr>
            <w:tcW w:type="dxa" w:w="9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X</w:t>
            </w:r>
          </w:p>
        </w:tc>
        <w:tc>
          <w:tcPr>
            <w:tcW w:type="dxa" w:w="1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Client</w:t>
            </w:r>
          </w:p>
        </w:tc>
      </w:tr>
      <w:tr>
        <w:trPr>
          <w:tblHeader w:val="false"/>
        </w:trPr>
        <w:tc>
          <w:tcPr>
            <w:tcW w:type="dxa" w:w="15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SRC_MBLNR</w:t>
            </w:r>
          </w:p>
        </w:tc>
        <w:tc>
          <w:tcPr>
            <w:tcW w:type="dxa" w:w="16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MBLNR</w:t>
            </w:r>
          </w:p>
        </w:tc>
        <w:tc>
          <w:tcPr>
            <w:tcW w:type="dxa" w:w="1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MBLNR</w:t>
            </w:r>
          </w:p>
        </w:tc>
        <w:tc>
          <w:tcPr>
            <w:tcW w:type="dxa" w:w="10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CHAR</w:t>
            </w:r>
          </w:p>
        </w:tc>
        <w:tc>
          <w:tcPr>
            <w:tcW w:type="dxa" w:w="9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10</w:t>
            </w:r>
          </w:p>
        </w:tc>
        <w:tc>
          <w:tcPr>
            <w:tcW w:type="dxa" w:w="1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MKPF</w:t>
            </w:r>
          </w:p>
        </w:tc>
        <w:tc>
          <w:tcPr>
            <w:tcW w:type="dxa" w:w="9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X</w:t>
            </w:r>
          </w:p>
        </w:tc>
        <w:tc>
          <w:tcPr>
            <w:tcW w:type="dxa" w:w="1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Source goods-receipt material document</w:t>
            </w:r>
          </w:p>
        </w:tc>
      </w:tr>
      <w:tr>
        <w:trPr>
          <w:tblHeader w:val="false"/>
        </w:trPr>
        <w:tc>
          <w:tcPr>
            <w:tcW w:type="dxa" w:w="15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SRC_MJAHR</w:t>
            </w:r>
          </w:p>
        </w:tc>
        <w:tc>
          <w:tcPr>
            <w:tcW w:type="dxa" w:w="16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MJAHR</w:t>
            </w:r>
          </w:p>
        </w:tc>
        <w:tc>
          <w:tcPr>
            <w:tcW w:type="dxa" w:w="1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MJAHR</w:t>
            </w:r>
          </w:p>
        </w:tc>
        <w:tc>
          <w:tcPr>
            <w:tcW w:type="dxa" w:w="10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NUMC</w:t>
            </w:r>
          </w:p>
        </w:tc>
        <w:tc>
          <w:tcPr>
            <w:tcW w:type="dxa" w:w="9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4</w:t>
            </w:r>
          </w:p>
        </w:tc>
        <w:tc>
          <w:tcPr>
            <w:tcW w:type="dxa" w:w="1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MKPF</w:t>
            </w:r>
          </w:p>
        </w:tc>
        <w:tc>
          <w:tcPr>
            <w:tcW w:type="dxa" w:w="9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X</w:t>
            </w:r>
          </w:p>
        </w:tc>
        <w:tc>
          <w:tcPr>
            <w:tcW w:type="dxa" w:w="1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Source document year</w:t>
            </w:r>
          </w:p>
        </w:tc>
      </w:tr>
      <w:tr>
        <w:trPr>
          <w:tblHeader w:val="false"/>
        </w:trPr>
        <w:tc>
          <w:tcPr>
            <w:tcW w:type="dxa" w:w="15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SRC_ZEILE</w:t>
            </w:r>
          </w:p>
        </w:tc>
        <w:tc>
          <w:tcPr>
            <w:tcW w:type="dxa" w:w="16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MBLPO</w:t>
            </w:r>
          </w:p>
        </w:tc>
        <w:tc>
          <w:tcPr>
            <w:tcW w:type="dxa" w:w="1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MBLPO</w:t>
            </w:r>
          </w:p>
        </w:tc>
        <w:tc>
          <w:tcPr>
            <w:tcW w:type="dxa" w:w="10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NUMC</w:t>
            </w:r>
          </w:p>
        </w:tc>
        <w:tc>
          <w:tcPr>
            <w:tcW w:type="dxa" w:w="9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4</w:t>
            </w:r>
          </w:p>
        </w:tc>
        <w:tc>
          <w:tcPr>
            <w:tcW w:type="dxa" w:w="1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MSEG</w:t>
            </w:r>
          </w:p>
        </w:tc>
        <w:tc>
          <w:tcPr>
            <w:tcW w:type="dxa" w:w="9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X</w:t>
            </w:r>
          </w:p>
        </w:tc>
        <w:tc>
          <w:tcPr>
            <w:tcW w:type="dxa" w:w="1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Source document item – together with the three keys above, the idempotency key</w:t>
            </w:r>
          </w:p>
        </w:tc>
      </w:tr>
      <w:tr>
        <w:trPr>
          <w:tblHeader w:val="false"/>
        </w:trPr>
        <w:tc>
          <w:tcPr>
            <w:tcW w:type="dxa" w:w="15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AUFNR</w:t>
            </w:r>
          </w:p>
        </w:tc>
        <w:tc>
          <w:tcPr>
            <w:tcW w:type="dxa" w:w="16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AUFNR</w:t>
            </w:r>
          </w:p>
        </w:tc>
        <w:tc>
          <w:tcPr>
            <w:tcW w:type="dxa" w:w="1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AUFNR</w:t>
            </w:r>
          </w:p>
        </w:tc>
        <w:tc>
          <w:tcPr>
            <w:tcW w:type="dxa" w:w="10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CHAR</w:t>
            </w:r>
          </w:p>
        </w:tc>
        <w:tc>
          <w:tcPr>
            <w:tcW w:type="dxa" w:w="9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12</w:t>
            </w:r>
          </w:p>
        </w:tc>
        <w:tc>
          <w:tcPr>
            <w:tcW w:type="dxa" w:w="1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AUFK</w:t>
            </w:r>
          </w:p>
        </w:tc>
        <w:tc>
          <w:tcPr>
            <w:tcW w:type="dxa" w:w="9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w:t>
            </w:r>
          </w:p>
        </w:tc>
        <w:tc>
          <w:tcPr>
            <w:tcW w:type="dxa" w:w="1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Production order</w:t>
            </w:r>
          </w:p>
        </w:tc>
      </w:tr>
      <w:tr>
        <w:trPr>
          <w:tblHeader w:val="false"/>
        </w:trPr>
        <w:tc>
          <w:tcPr>
            <w:tcW w:type="dxa" w:w="15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MATNR</w:t>
            </w:r>
          </w:p>
        </w:tc>
        <w:tc>
          <w:tcPr>
            <w:tcW w:type="dxa" w:w="16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MATNR</w:t>
            </w:r>
          </w:p>
        </w:tc>
        <w:tc>
          <w:tcPr>
            <w:tcW w:type="dxa" w:w="1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MATNR</w:t>
            </w:r>
          </w:p>
        </w:tc>
        <w:tc>
          <w:tcPr>
            <w:tcW w:type="dxa" w:w="10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CHAR</w:t>
            </w:r>
          </w:p>
        </w:tc>
        <w:tc>
          <w:tcPr>
            <w:tcW w:type="dxa" w:w="9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40</w:t>
            </w:r>
          </w:p>
        </w:tc>
        <w:tc>
          <w:tcPr>
            <w:tcW w:type="dxa" w:w="1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MARA</w:t>
            </w:r>
          </w:p>
        </w:tc>
        <w:tc>
          <w:tcPr>
            <w:tcW w:type="dxa" w:w="9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w:t>
            </w:r>
          </w:p>
        </w:tc>
        <w:tc>
          <w:tcPr>
            <w:tcW w:type="dxa" w:w="1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Header material transferred</w:t>
            </w:r>
          </w:p>
        </w:tc>
      </w:tr>
      <w:tr>
        <w:trPr>
          <w:tblHeader w:val="false"/>
        </w:trPr>
        <w:tc>
          <w:tcPr>
            <w:tcW w:type="dxa" w:w="15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MENGE</w:t>
            </w:r>
          </w:p>
        </w:tc>
        <w:tc>
          <w:tcPr>
            <w:tcW w:type="dxa" w:w="16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MENGE_D</w:t>
            </w:r>
          </w:p>
        </w:tc>
        <w:tc>
          <w:tcPr>
            <w:tcW w:type="dxa" w:w="1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MENG13</w:t>
            </w:r>
          </w:p>
        </w:tc>
        <w:tc>
          <w:tcPr>
            <w:tcW w:type="dxa" w:w="10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QUAN</w:t>
            </w:r>
          </w:p>
        </w:tc>
        <w:tc>
          <w:tcPr>
            <w:tcW w:type="dxa" w:w="9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13.3</w:t>
            </w:r>
          </w:p>
        </w:tc>
        <w:tc>
          <w:tcPr>
            <w:tcW w:type="dxa" w:w="1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w:t>
            </w:r>
          </w:p>
        </w:tc>
        <w:tc>
          <w:tcPr>
            <w:tcW w:type="dxa" w:w="9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w:t>
            </w:r>
          </w:p>
        </w:tc>
        <w:tc>
          <w:tcPr>
            <w:tcW w:type="dxa" w:w="1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Quantity transferred</w:t>
            </w:r>
          </w:p>
        </w:tc>
      </w:tr>
      <w:tr>
        <w:trPr>
          <w:tblHeader w:val="false"/>
        </w:trPr>
        <w:tc>
          <w:tcPr>
            <w:tcW w:type="dxa" w:w="15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MEINS</w:t>
            </w:r>
          </w:p>
        </w:tc>
        <w:tc>
          <w:tcPr>
            <w:tcW w:type="dxa" w:w="16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MEINS</w:t>
            </w:r>
          </w:p>
        </w:tc>
        <w:tc>
          <w:tcPr>
            <w:tcW w:type="dxa" w:w="1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MEINS</w:t>
            </w:r>
          </w:p>
        </w:tc>
        <w:tc>
          <w:tcPr>
            <w:tcW w:type="dxa" w:w="10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UNIT</w:t>
            </w:r>
          </w:p>
        </w:tc>
        <w:tc>
          <w:tcPr>
            <w:tcW w:type="dxa" w:w="9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3</w:t>
            </w:r>
          </w:p>
        </w:tc>
        <w:tc>
          <w:tcPr>
            <w:tcW w:type="dxa" w:w="1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T006</w:t>
            </w:r>
          </w:p>
        </w:tc>
        <w:tc>
          <w:tcPr>
            <w:tcW w:type="dxa" w:w="9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w:t>
            </w:r>
          </w:p>
        </w:tc>
        <w:tc>
          <w:tcPr>
            <w:tcW w:type="dxa" w:w="1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Unit of measure</w:t>
            </w:r>
          </w:p>
        </w:tc>
      </w:tr>
      <w:tr>
        <w:trPr>
          <w:tblHeader w:val="false"/>
        </w:trPr>
        <w:tc>
          <w:tcPr>
            <w:tcW w:type="dxa" w:w="15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CHARG</w:t>
            </w:r>
          </w:p>
        </w:tc>
        <w:tc>
          <w:tcPr>
            <w:tcW w:type="dxa" w:w="16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CHARG_D</w:t>
            </w:r>
          </w:p>
        </w:tc>
        <w:tc>
          <w:tcPr>
            <w:tcW w:type="dxa" w:w="1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CHARG</w:t>
            </w:r>
          </w:p>
        </w:tc>
        <w:tc>
          <w:tcPr>
            <w:tcW w:type="dxa" w:w="10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CHAR</w:t>
            </w:r>
          </w:p>
        </w:tc>
        <w:tc>
          <w:tcPr>
            <w:tcW w:type="dxa" w:w="9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10</w:t>
            </w:r>
          </w:p>
        </w:tc>
        <w:tc>
          <w:tcPr>
            <w:tcW w:type="dxa" w:w="1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MCH1</w:t>
            </w:r>
          </w:p>
        </w:tc>
        <w:tc>
          <w:tcPr>
            <w:tcW w:type="dxa" w:w="9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w:t>
            </w:r>
          </w:p>
        </w:tc>
        <w:tc>
          <w:tcPr>
            <w:tcW w:type="dxa" w:w="1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Batch, carried from the goods receipt</w:t>
            </w:r>
          </w:p>
        </w:tc>
      </w:tr>
      <w:tr>
        <w:trPr>
          <w:tblHeader w:val="false"/>
        </w:trPr>
        <w:tc>
          <w:tcPr>
            <w:tcW w:type="dxa" w:w="15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BWTAR</w:t>
            </w:r>
          </w:p>
        </w:tc>
        <w:tc>
          <w:tcPr>
            <w:tcW w:type="dxa" w:w="16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BWTAR_D</w:t>
            </w:r>
          </w:p>
        </w:tc>
        <w:tc>
          <w:tcPr>
            <w:tcW w:type="dxa" w:w="1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BWTAR</w:t>
            </w:r>
          </w:p>
        </w:tc>
        <w:tc>
          <w:tcPr>
            <w:tcW w:type="dxa" w:w="10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CHAR</w:t>
            </w:r>
          </w:p>
        </w:tc>
        <w:tc>
          <w:tcPr>
            <w:tcW w:type="dxa" w:w="9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10</w:t>
            </w:r>
          </w:p>
        </w:tc>
        <w:tc>
          <w:tcPr>
            <w:tcW w:type="dxa" w:w="1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T149D</w:t>
            </w:r>
          </w:p>
        </w:tc>
        <w:tc>
          <w:tcPr>
            <w:tcW w:type="dxa" w:w="9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w:t>
            </w:r>
          </w:p>
        </w:tc>
        <w:tc>
          <w:tcPr>
            <w:tcW w:type="dxa" w:w="1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Destination valuation type applied – the valuation type of the posting-date fiscal year</w:t>
            </w:r>
          </w:p>
        </w:tc>
      </w:tr>
      <w:tr>
        <w:trPr>
          <w:tblHeader w:val="false"/>
        </w:trPr>
        <w:tc>
          <w:tcPr>
            <w:tcW w:type="dxa" w:w="15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GJAHR</w:t>
            </w:r>
          </w:p>
        </w:tc>
        <w:tc>
          <w:tcPr>
            <w:tcW w:type="dxa" w:w="16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GJAHR</w:t>
            </w:r>
          </w:p>
        </w:tc>
        <w:tc>
          <w:tcPr>
            <w:tcW w:type="dxa" w:w="1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GJAHR</w:t>
            </w:r>
          </w:p>
        </w:tc>
        <w:tc>
          <w:tcPr>
            <w:tcW w:type="dxa" w:w="10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NUMC</w:t>
            </w:r>
          </w:p>
        </w:tc>
        <w:tc>
          <w:tcPr>
            <w:tcW w:type="dxa" w:w="9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4</w:t>
            </w:r>
          </w:p>
        </w:tc>
        <w:tc>
          <w:tcPr>
            <w:tcW w:type="dxa" w:w="1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w:t>
            </w:r>
          </w:p>
        </w:tc>
        <w:tc>
          <w:tcPr>
            <w:tcW w:type="dxa" w:w="9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w:t>
            </w:r>
          </w:p>
        </w:tc>
        <w:tc>
          <w:tcPr>
            <w:tcW w:type="dxa" w:w="1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Fiscal year resolved from the posting date</w:t>
            </w:r>
          </w:p>
        </w:tc>
      </w:tr>
      <w:tr>
        <w:trPr>
          <w:tblHeader w:val="false"/>
        </w:trPr>
        <w:tc>
          <w:tcPr>
            <w:tcW w:type="dxa" w:w="15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RSNUM</w:t>
            </w:r>
          </w:p>
        </w:tc>
        <w:tc>
          <w:tcPr>
            <w:tcW w:type="dxa" w:w="16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RSNUM</w:t>
            </w:r>
          </w:p>
        </w:tc>
        <w:tc>
          <w:tcPr>
            <w:tcW w:type="dxa" w:w="1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RSNUM</w:t>
            </w:r>
          </w:p>
        </w:tc>
        <w:tc>
          <w:tcPr>
            <w:tcW w:type="dxa" w:w="10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NUMC</w:t>
            </w:r>
          </w:p>
        </w:tc>
        <w:tc>
          <w:tcPr>
            <w:tcW w:type="dxa" w:w="9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10</w:t>
            </w:r>
          </w:p>
        </w:tc>
        <w:tc>
          <w:tcPr>
            <w:tcW w:type="dxa" w:w="1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RKPF</w:t>
            </w:r>
          </w:p>
        </w:tc>
        <w:tc>
          <w:tcPr>
            <w:tcW w:type="dxa" w:w="9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w:t>
            </w:r>
          </w:p>
        </w:tc>
        <w:tc>
          <w:tcPr>
            <w:tcW w:type="dxa" w:w="1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Reservation referenced</w:t>
            </w:r>
          </w:p>
        </w:tc>
      </w:tr>
      <w:tr>
        <w:trPr>
          <w:tblHeader w:val="false"/>
        </w:trPr>
        <w:tc>
          <w:tcPr>
            <w:tcW w:type="dxa" w:w="15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RSPOS</w:t>
            </w:r>
          </w:p>
        </w:tc>
        <w:tc>
          <w:tcPr>
            <w:tcW w:type="dxa" w:w="16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RSPOS</w:t>
            </w:r>
          </w:p>
        </w:tc>
        <w:tc>
          <w:tcPr>
            <w:tcW w:type="dxa" w:w="1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RSPOS</w:t>
            </w:r>
          </w:p>
        </w:tc>
        <w:tc>
          <w:tcPr>
            <w:tcW w:type="dxa" w:w="10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NUMC</w:t>
            </w:r>
          </w:p>
        </w:tc>
        <w:tc>
          <w:tcPr>
            <w:tcW w:type="dxa" w:w="9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4</w:t>
            </w:r>
          </w:p>
        </w:tc>
        <w:tc>
          <w:tcPr>
            <w:tcW w:type="dxa" w:w="1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RESB</w:t>
            </w:r>
          </w:p>
        </w:tc>
        <w:tc>
          <w:tcPr>
            <w:tcW w:type="dxa" w:w="9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w:t>
            </w:r>
          </w:p>
        </w:tc>
        <w:tc>
          <w:tcPr>
            <w:tcW w:type="dxa" w:w="1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Reservation item referenced</w:t>
            </w:r>
          </w:p>
        </w:tc>
      </w:tr>
      <w:tr>
        <w:trPr>
          <w:tblHeader w:val="false"/>
        </w:trPr>
        <w:tc>
          <w:tcPr>
            <w:tcW w:type="dxa" w:w="15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MOV_MBLNR</w:t>
            </w:r>
          </w:p>
        </w:tc>
        <w:tc>
          <w:tcPr>
            <w:tcW w:type="dxa" w:w="16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MBLNR</w:t>
            </w:r>
          </w:p>
        </w:tc>
        <w:tc>
          <w:tcPr>
            <w:tcW w:type="dxa" w:w="1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MBLNR</w:t>
            </w:r>
          </w:p>
        </w:tc>
        <w:tc>
          <w:tcPr>
            <w:tcW w:type="dxa" w:w="10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CHAR</w:t>
            </w:r>
          </w:p>
        </w:tc>
        <w:tc>
          <w:tcPr>
            <w:tcW w:type="dxa" w:w="9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10</w:t>
            </w:r>
          </w:p>
        </w:tc>
        <w:tc>
          <w:tcPr>
            <w:tcW w:type="dxa" w:w="1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MKPF</w:t>
            </w:r>
          </w:p>
        </w:tc>
        <w:tc>
          <w:tcPr>
            <w:tcW w:type="dxa" w:w="9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w:t>
            </w:r>
          </w:p>
        </w:tc>
        <w:tc>
          <w:tcPr>
            <w:tcW w:type="dxa" w:w="1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Material document of the 301 created</w:t>
            </w:r>
          </w:p>
        </w:tc>
      </w:tr>
      <w:tr>
        <w:trPr>
          <w:tblHeader w:val="false"/>
        </w:trPr>
        <w:tc>
          <w:tcPr>
            <w:tcW w:type="dxa" w:w="15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MOV_MJAHR</w:t>
            </w:r>
          </w:p>
        </w:tc>
        <w:tc>
          <w:tcPr>
            <w:tcW w:type="dxa" w:w="16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MJAHR</w:t>
            </w:r>
          </w:p>
        </w:tc>
        <w:tc>
          <w:tcPr>
            <w:tcW w:type="dxa" w:w="1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MJAHR</w:t>
            </w:r>
          </w:p>
        </w:tc>
        <w:tc>
          <w:tcPr>
            <w:tcW w:type="dxa" w:w="10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NUMC</w:t>
            </w:r>
          </w:p>
        </w:tc>
        <w:tc>
          <w:tcPr>
            <w:tcW w:type="dxa" w:w="9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4</w:t>
            </w:r>
          </w:p>
        </w:tc>
        <w:tc>
          <w:tcPr>
            <w:tcW w:type="dxa" w:w="1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MKPF</w:t>
            </w:r>
          </w:p>
        </w:tc>
        <w:tc>
          <w:tcPr>
            <w:tcW w:type="dxa" w:w="9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w:t>
            </w:r>
          </w:p>
        </w:tc>
        <w:tc>
          <w:tcPr>
            <w:tcW w:type="dxa" w:w="1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Year of the 301 material document</w:t>
            </w:r>
          </w:p>
        </w:tc>
      </w:tr>
      <w:tr>
        <w:trPr>
          <w:tblHeader w:val="false"/>
        </w:trPr>
        <w:tc>
          <w:tcPr>
            <w:tcW w:type="dxa" w:w="15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RUN_ID</w:t>
            </w:r>
          </w:p>
        </w:tc>
        <w:tc>
          <w:tcPr>
            <w:tcW w:type="dxa" w:w="16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SYSUUID_C32</w:t>
            </w:r>
          </w:p>
        </w:tc>
        <w:tc>
          <w:tcPr>
            <w:tcW w:type="dxa" w:w="1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SYSUUID_C32</w:t>
            </w:r>
          </w:p>
        </w:tc>
        <w:tc>
          <w:tcPr>
            <w:tcW w:type="dxa" w:w="10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CHAR</w:t>
            </w:r>
          </w:p>
        </w:tc>
        <w:tc>
          <w:tcPr>
            <w:tcW w:type="dxa" w:w="9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32</w:t>
            </w:r>
          </w:p>
        </w:tc>
        <w:tc>
          <w:tcPr>
            <w:tcW w:type="dxa" w:w="1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ZMM_301_MOV_RUN_LOG</w:t>
            </w:r>
          </w:p>
        </w:tc>
        <w:tc>
          <w:tcPr>
            <w:tcW w:type="dxa" w:w="9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w:t>
            </w:r>
          </w:p>
        </w:tc>
        <w:tc>
          <w:tcPr>
            <w:tcW w:type="dxa" w:w="1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Stamped by a repost or catch-up run; blank for a real-time posting</w:t>
            </w:r>
          </w:p>
        </w:tc>
      </w:tr>
      <w:tr>
        <w:trPr>
          <w:tblHeader w:val="false"/>
        </w:trPr>
        <w:tc>
          <w:tcPr>
            <w:tcW w:type="dxa" w:w="15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STATUS</w:t>
            </w:r>
          </w:p>
        </w:tc>
        <w:tc>
          <w:tcPr>
            <w:tcW w:type="dxa" w:w="16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CHAR1</w:t>
            </w:r>
          </w:p>
        </w:tc>
        <w:tc>
          <w:tcPr>
            <w:tcW w:type="dxa" w:w="1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CHAR1</w:t>
            </w:r>
          </w:p>
        </w:tc>
        <w:tc>
          <w:tcPr>
            <w:tcW w:type="dxa" w:w="10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CHAR</w:t>
            </w:r>
          </w:p>
        </w:tc>
        <w:tc>
          <w:tcPr>
            <w:tcW w:type="dxa" w:w="9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1</w:t>
            </w:r>
          </w:p>
        </w:tc>
        <w:tc>
          <w:tcPr>
            <w:tcW w:type="dxa" w:w="1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w:t>
            </w:r>
          </w:p>
        </w:tc>
        <w:tc>
          <w:tcPr>
            <w:tcW w:type="dxa" w:w="9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w:t>
            </w:r>
          </w:p>
        </w:tc>
        <w:tc>
          <w:tcPr>
            <w:tcW w:type="dxa" w:w="1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S = Success, E = Error, R = Reversed, W = Warning (no reservation – posted without reference when MOV_MBLNR is filled, otherwise skipped)</w:t>
            </w:r>
          </w:p>
        </w:tc>
      </w:tr>
      <w:tr>
        <w:trPr>
          <w:tblHeader w:val="false"/>
        </w:trPr>
        <w:tc>
          <w:tcPr>
            <w:tcW w:type="dxa" w:w="15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MESSAGE</w:t>
            </w:r>
          </w:p>
        </w:tc>
        <w:tc>
          <w:tcPr>
            <w:tcW w:type="dxa" w:w="16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STRING</w:t>
            </w:r>
          </w:p>
        </w:tc>
        <w:tc>
          <w:tcPr>
            <w:tcW w:type="dxa" w:w="1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w:t>
            </w:r>
          </w:p>
        </w:tc>
        <w:tc>
          <w:tcPr>
            <w:tcW w:type="dxa" w:w="10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STRG</w:t>
            </w:r>
          </w:p>
        </w:tc>
        <w:tc>
          <w:tcPr>
            <w:tcW w:type="dxa" w:w="9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w:t>
            </w:r>
          </w:p>
        </w:tc>
        <w:tc>
          <w:tcPr>
            <w:tcW w:type="dxa" w:w="1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w:t>
            </w:r>
          </w:p>
        </w:tc>
        <w:tc>
          <w:tcPr>
            <w:tcW w:type="dxa" w:w="9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w:t>
            </w:r>
          </w:p>
        </w:tc>
        <w:tc>
          <w:tcPr>
            <w:tcW w:type="dxa" w:w="1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Message returned</w:t>
            </w:r>
          </w:p>
        </w:tc>
      </w:tr>
      <w:tr>
        <w:trPr>
          <w:tblHeader w:val="false"/>
        </w:trPr>
        <w:tc>
          <w:tcPr>
            <w:tcW w:type="dxa" w:w="15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ERDAT</w:t>
            </w:r>
          </w:p>
        </w:tc>
        <w:tc>
          <w:tcPr>
            <w:tcW w:type="dxa" w:w="16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DATUM</w:t>
            </w:r>
          </w:p>
        </w:tc>
        <w:tc>
          <w:tcPr>
            <w:tcW w:type="dxa" w:w="1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DATUM</w:t>
            </w:r>
          </w:p>
        </w:tc>
        <w:tc>
          <w:tcPr>
            <w:tcW w:type="dxa" w:w="10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DATS</w:t>
            </w:r>
          </w:p>
        </w:tc>
        <w:tc>
          <w:tcPr>
            <w:tcW w:type="dxa" w:w="9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8</w:t>
            </w:r>
          </w:p>
        </w:tc>
        <w:tc>
          <w:tcPr>
            <w:tcW w:type="dxa" w:w="1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w:t>
            </w:r>
          </w:p>
        </w:tc>
        <w:tc>
          <w:tcPr>
            <w:tcW w:type="dxa" w:w="9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w:t>
            </w:r>
          </w:p>
        </w:tc>
        <w:tc>
          <w:tcPr>
            <w:tcW w:type="dxa" w:w="1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Created on</w:t>
            </w:r>
          </w:p>
        </w:tc>
      </w:tr>
      <w:tr>
        <w:trPr>
          <w:tblHeader w:val="false"/>
        </w:trPr>
        <w:tc>
          <w:tcPr>
            <w:tcW w:type="dxa" w:w="15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ERZET</w:t>
            </w:r>
          </w:p>
        </w:tc>
        <w:tc>
          <w:tcPr>
            <w:tcW w:type="dxa" w:w="16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UZEIT</w:t>
            </w:r>
          </w:p>
        </w:tc>
        <w:tc>
          <w:tcPr>
            <w:tcW w:type="dxa" w:w="1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UZEIT</w:t>
            </w:r>
          </w:p>
        </w:tc>
        <w:tc>
          <w:tcPr>
            <w:tcW w:type="dxa" w:w="10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TIMS</w:t>
            </w:r>
          </w:p>
        </w:tc>
        <w:tc>
          <w:tcPr>
            <w:tcW w:type="dxa" w:w="9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6</w:t>
            </w:r>
          </w:p>
        </w:tc>
        <w:tc>
          <w:tcPr>
            <w:tcW w:type="dxa" w:w="1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w:t>
            </w:r>
          </w:p>
        </w:tc>
        <w:tc>
          <w:tcPr>
            <w:tcW w:type="dxa" w:w="9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w:t>
            </w:r>
          </w:p>
        </w:tc>
        <w:tc>
          <w:tcPr>
            <w:tcW w:type="dxa" w:w="1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Created at</w:t>
            </w:r>
          </w:p>
        </w:tc>
      </w:tr>
      <w:tr>
        <w:trPr>
          <w:tblHeader w:val="false"/>
        </w:trPr>
        <w:tc>
          <w:tcPr>
            <w:tcW w:type="dxa" w:w="15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ERNAM</w:t>
            </w:r>
          </w:p>
        </w:tc>
        <w:tc>
          <w:tcPr>
            <w:tcW w:type="dxa" w:w="16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UNAME</w:t>
            </w:r>
          </w:p>
        </w:tc>
        <w:tc>
          <w:tcPr>
            <w:tcW w:type="dxa" w:w="1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XUBNAME</w:t>
            </w:r>
          </w:p>
        </w:tc>
        <w:tc>
          <w:tcPr>
            <w:tcW w:type="dxa" w:w="10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CHAR</w:t>
            </w:r>
          </w:p>
        </w:tc>
        <w:tc>
          <w:tcPr>
            <w:tcW w:type="dxa" w:w="9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12</w:t>
            </w:r>
          </w:p>
        </w:tc>
        <w:tc>
          <w:tcPr>
            <w:tcW w:type="dxa" w:w="1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USR02</w:t>
            </w:r>
          </w:p>
        </w:tc>
        <w:tc>
          <w:tcPr>
            <w:tcW w:type="dxa" w:w="9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w:t>
            </w:r>
          </w:p>
        </w:tc>
        <w:tc>
          <w:tcPr>
            <w:tcW w:type="dxa" w:w="1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Created by</w:t>
            </w:r>
          </w:p>
        </w:tc>
      </w:tr>
    </w:tbl>
    <w:p>
      <w:pPr>
        <w:spacing w:after="100" w:before="0"/>
      </w:pPr>
      <w:r>
        <w:rPr>
          <w:rFonts w:ascii="Arial" w:cs="Arial" w:eastAsia="Arial" w:hAnsi="Arial"/>
          <w:sz w:val="18"/>
          <w:szCs w:val="18"/>
          <w:b/>
          <w:bCs/>
        </w:rPr>
        <w:t xml:space="preserve">Table ZMM_301_MOV_RUN_LOG – monitor, repost and catch-up run log (primary key: MANDT, RUN_ID)</w:t>
      </w:r>
    </w:p>
    <w:tbl>
      <w:tblPr>
        <w:tblW w:type="dxa" w:w="9700"/>
        <w:tblBorders>
          <w:top w:val="single" w:color="AAB4BE" w:sz="4"/>
          <w:left w:val="single" w:color="AAB4BE" w:sz="4"/>
          <w:bottom w:val="single" w:color="AAB4BE" w:sz="4"/>
          <w:right w:val="single" w:color="AAB4BE" w:sz="4"/>
          <w:insideH w:val="single" w:color="AAB4BE" w:sz="4"/>
          <w:insideV w:val="single" w:color="AAB4BE" w:sz="4"/>
        </w:tblBorders>
      </w:tblPr>
      <w:tblGrid>
        <w:gridCol w:w="1500"/>
        <w:gridCol w:w="1600"/>
        <w:gridCol w:w="1200"/>
        <w:gridCol w:w="1000"/>
        <w:gridCol w:w="900"/>
        <w:gridCol w:w="1300"/>
        <w:gridCol w:w="900"/>
        <w:gridCol w:w="1300"/>
      </w:tblGrid>
      <w:tr>
        <w:trPr>
          <w:tblHeader/>
        </w:trPr>
        <w:tc>
          <w:tcPr>
            <w:tcW w:type="dxa" w:w="15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Field name</w:t>
            </w:r>
          </w:p>
        </w:tc>
        <w:tc>
          <w:tcPr>
            <w:tcW w:type="dxa" w:w="16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Data element</w:t>
            </w:r>
          </w:p>
        </w:tc>
        <w:tc>
          <w:tcPr>
            <w:tcW w:type="dxa" w:w="12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Domain</w:t>
            </w:r>
          </w:p>
        </w:tc>
        <w:tc>
          <w:tcPr>
            <w:tcW w:type="dxa" w:w="10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Type</w:t>
            </w:r>
          </w:p>
        </w:tc>
        <w:tc>
          <w:tcPr>
            <w:tcW w:type="dxa" w:w="9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Length</w:t>
            </w:r>
          </w:p>
        </w:tc>
        <w:tc>
          <w:tcPr>
            <w:tcW w:type="dxa" w:w="13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Check table</w:t>
            </w:r>
          </w:p>
        </w:tc>
        <w:tc>
          <w:tcPr>
            <w:tcW w:type="dxa" w:w="9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Key</w:t>
            </w:r>
          </w:p>
        </w:tc>
        <w:tc>
          <w:tcPr>
            <w:tcW w:type="dxa" w:w="13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Description</w:t>
            </w:r>
          </w:p>
        </w:tc>
      </w:tr>
      <w:tr>
        <w:trPr>
          <w:tblHeader w:val="false"/>
        </w:trPr>
        <w:tc>
          <w:tcPr>
            <w:tcW w:type="dxa" w:w="15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MANDT</w:t>
            </w:r>
          </w:p>
        </w:tc>
        <w:tc>
          <w:tcPr>
            <w:tcW w:type="dxa" w:w="16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MANDT</w:t>
            </w:r>
          </w:p>
        </w:tc>
        <w:tc>
          <w:tcPr>
            <w:tcW w:type="dxa" w:w="1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MANDT</w:t>
            </w:r>
          </w:p>
        </w:tc>
        <w:tc>
          <w:tcPr>
            <w:tcW w:type="dxa" w:w="10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CLNT</w:t>
            </w:r>
          </w:p>
        </w:tc>
        <w:tc>
          <w:tcPr>
            <w:tcW w:type="dxa" w:w="9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3</w:t>
            </w:r>
          </w:p>
        </w:tc>
        <w:tc>
          <w:tcPr>
            <w:tcW w:type="dxa" w:w="1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T000</w:t>
            </w:r>
          </w:p>
        </w:tc>
        <w:tc>
          <w:tcPr>
            <w:tcW w:type="dxa" w:w="9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X</w:t>
            </w:r>
          </w:p>
        </w:tc>
        <w:tc>
          <w:tcPr>
            <w:tcW w:type="dxa" w:w="1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Client</w:t>
            </w:r>
          </w:p>
        </w:tc>
      </w:tr>
      <w:tr>
        <w:trPr>
          <w:tblHeader w:val="false"/>
        </w:trPr>
        <w:tc>
          <w:tcPr>
            <w:tcW w:type="dxa" w:w="15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RUN_ID</w:t>
            </w:r>
          </w:p>
        </w:tc>
        <w:tc>
          <w:tcPr>
            <w:tcW w:type="dxa" w:w="16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SYSUUID_C32</w:t>
            </w:r>
          </w:p>
        </w:tc>
        <w:tc>
          <w:tcPr>
            <w:tcW w:type="dxa" w:w="1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SYSUUID_C32</w:t>
            </w:r>
          </w:p>
        </w:tc>
        <w:tc>
          <w:tcPr>
            <w:tcW w:type="dxa" w:w="10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CHAR</w:t>
            </w:r>
          </w:p>
        </w:tc>
        <w:tc>
          <w:tcPr>
            <w:tcW w:type="dxa" w:w="9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32</w:t>
            </w:r>
          </w:p>
        </w:tc>
        <w:tc>
          <w:tcPr>
            <w:tcW w:type="dxa" w:w="1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w:t>
            </w:r>
          </w:p>
        </w:tc>
        <w:tc>
          <w:tcPr>
            <w:tcW w:type="dxa" w:w="9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X</w:t>
            </w:r>
          </w:p>
        </w:tc>
        <w:tc>
          <w:tcPr>
            <w:tcW w:type="dxa" w:w="1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Unique run identifier</w:t>
            </w:r>
          </w:p>
        </w:tc>
      </w:tr>
      <w:tr>
        <w:trPr>
          <w:tblHeader w:val="false"/>
        </w:trPr>
        <w:tc>
          <w:tcPr>
            <w:tcW w:type="dxa" w:w="15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RUN_TYPE</w:t>
            </w:r>
          </w:p>
        </w:tc>
        <w:tc>
          <w:tcPr>
            <w:tcW w:type="dxa" w:w="16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CHAR1</w:t>
            </w:r>
          </w:p>
        </w:tc>
        <w:tc>
          <w:tcPr>
            <w:tcW w:type="dxa" w:w="1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CHAR1</w:t>
            </w:r>
          </w:p>
        </w:tc>
        <w:tc>
          <w:tcPr>
            <w:tcW w:type="dxa" w:w="10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CHAR</w:t>
            </w:r>
          </w:p>
        </w:tc>
        <w:tc>
          <w:tcPr>
            <w:tcW w:type="dxa" w:w="9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1</w:t>
            </w:r>
          </w:p>
        </w:tc>
        <w:tc>
          <w:tcPr>
            <w:tcW w:type="dxa" w:w="1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w:t>
            </w:r>
          </w:p>
        </w:tc>
        <w:tc>
          <w:tcPr>
            <w:tcW w:type="dxa" w:w="9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w:t>
            </w:r>
          </w:p>
        </w:tc>
        <w:tc>
          <w:tcPr>
            <w:tcW w:type="dxa" w:w="1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M = Monitor display, P = Repost, C = Scheduled catch-up</w:t>
            </w:r>
          </w:p>
        </w:tc>
      </w:tr>
      <w:tr>
        <w:trPr>
          <w:tblHeader w:val="false"/>
        </w:trPr>
        <w:tc>
          <w:tcPr>
            <w:tcW w:type="dxa" w:w="15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RUN_MODE</w:t>
            </w:r>
          </w:p>
        </w:tc>
        <w:tc>
          <w:tcPr>
            <w:tcW w:type="dxa" w:w="16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CHAR1</w:t>
            </w:r>
          </w:p>
        </w:tc>
        <w:tc>
          <w:tcPr>
            <w:tcW w:type="dxa" w:w="1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CHAR1</w:t>
            </w:r>
          </w:p>
        </w:tc>
        <w:tc>
          <w:tcPr>
            <w:tcW w:type="dxa" w:w="10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CHAR</w:t>
            </w:r>
          </w:p>
        </w:tc>
        <w:tc>
          <w:tcPr>
            <w:tcW w:type="dxa" w:w="9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1</w:t>
            </w:r>
          </w:p>
        </w:tc>
        <w:tc>
          <w:tcPr>
            <w:tcW w:type="dxa" w:w="1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w:t>
            </w:r>
          </w:p>
        </w:tc>
        <w:tc>
          <w:tcPr>
            <w:tcW w:type="dxa" w:w="9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w:t>
            </w:r>
          </w:p>
        </w:tc>
        <w:tc>
          <w:tcPr>
            <w:tcW w:type="dxa" w:w="1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O = Online, B = Background</w:t>
            </w:r>
          </w:p>
        </w:tc>
      </w:tr>
      <w:tr>
        <w:trPr>
          <w:tblHeader w:val="false"/>
        </w:trPr>
        <w:tc>
          <w:tcPr>
            <w:tcW w:type="dxa" w:w="15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JOBNAME</w:t>
            </w:r>
          </w:p>
        </w:tc>
        <w:tc>
          <w:tcPr>
            <w:tcW w:type="dxa" w:w="16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BTCJOB</w:t>
            </w:r>
          </w:p>
        </w:tc>
        <w:tc>
          <w:tcPr>
            <w:tcW w:type="dxa" w:w="1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BTCJOB</w:t>
            </w:r>
          </w:p>
        </w:tc>
        <w:tc>
          <w:tcPr>
            <w:tcW w:type="dxa" w:w="10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CHAR</w:t>
            </w:r>
          </w:p>
        </w:tc>
        <w:tc>
          <w:tcPr>
            <w:tcW w:type="dxa" w:w="9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32</w:t>
            </w:r>
          </w:p>
        </w:tc>
        <w:tc>
          <w:tcPr>
            <w:tcW w:type="dxa" w:w="1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TBTCO</w:t>
            </w:r>
          </w:p>
        </w:tc>
        <w:tc>
          <w:tcPr>
            <w:tcW w:type="dxa" w:w="9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w:t>
            </w:r>
          </w:p>
        </w:tc>
        <w:tc>
          <w:tcPr>
            <w:tcW w:type="dxa" w:w="1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Background job name</w:t>
            </w:r>
          </w:p>
        </w:tc>
      </w:tr>
      <w:tr>
        <w:trPr>
          <w:tblHeader w:val="false"/>
        </w:trPr>
        <w:tc>
          <w:tcPr>
            <w:tcW w:type="dxa" w:w="15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JOBCOUNT</w:t>
            </w:r>
          </w:p>
        </w:tc>
        <w:tc>
          <w:tcPr>
            <w:tcW w:type="dxa" w:w="16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BTCJOBCNT</w:t>
            </w:r>
          </w:p>
        </w:tc>
        <w:tc>
          <w:tcPr>
            <w:tcW w:type="dxa" w:w="1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BTCJOBCNT</w:t>
            </w:r>
          </w:p>
        </w:tc>
        <w:tc>
          <w:tcPr>
            <w:tcW w:type="dxa" w:w="10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CHAR</w:t>
            </w:r>
          </w:p>
        </w:tc>
        <w:tc>
          <w:tcPr>
            <w:tcW w:type="dxa" w:w="9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8</w:t>
            </w:r>
          </w:p>
        </w:tc>
        <w:tc>
          <w:tcPr>
            <w:tcW w:type="dxa" w:w="1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TBTCO</w:t>
            </w:r>
          </w:p>
        </w:tc>
        <w:tc>
          <w:tcPr>
            <w:tcW w:type="dxa" w:w="9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w:t>
            </w:r>
          </w:p>
        </w:tc>
        <w:tc>
          <w:tcPr>
            <w:tcW w:type="dxa" w:w="1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Background job count</w:t>
            </w:r>
          </w:p>
        </w:tc>
      </w:tr>
      <w:tr>
        <w:trPr>
          <w:tblHeader w:val="false"/>
        </w:trPr>
        <w:tc>
          <w:tcPr>
            <w:tcW w:type="dxa" w:w="15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START_DATE</w:t>
            </w:r>
          </w:p>
        </w:tc>
        <w:tc>
          <w:tcPr>
            <w:tcW w:type="dxa" w:w="16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DATUM</w:t>
            </w:r>
          </w:p>
        </w:tc>
        <w:tc>
          <w:tcPr>
            <w:tcW w:type="dxa" w:w="1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DATUM</w:t>
            </w:r>
          </w:p>
        </w:tc>
        <w:tc>
          <w:tcPr>
            <w:tcW w:type="dxa" w:w="10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DATS</w:t>
            </w:r>
          </w:p>
        </w:tc>
        <w:tc>
          <w:tcPr>
            <w:tcW w:type="dxa" w:w="9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8</w:t>
            </w:r>
          </w:p>
        </w:tc>
        <w:tc>
          <w:tcPr>
            <w:tcW w:type="dxa" w:w="1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w:t>
            </w:r>
          </w:p>
        </w:tc>
        <w:tc>
          <w:tcPr>
            <w:tcW w:type="dxa" w:w="9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w:t>
            </w:r>
          </w:p>
        </w:tc>
        <w:tc>
          <w:tcPr>
            <w:tcW w:type="dxa" w:w="1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Run start date</w:t>
            </w:r>
          </w:p>
        </w:tc>
      </w:tr>
      <w:tr>
        <w:trPr>
          <w:tblHeader w:val="false"/>
        </w:trPr>
        <w:tc>
          <w:tcPr>
            <w:tcW w:type="dxa" w:w="15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START_TIME</w:t>
            </w:r>
          </w:p>
        </w:tc>
        <w:tc>
          <w:tcPr>
            <w:tcW w:type="dxa" w:w="16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UZEIT</w:t>
            </w:r>
          </w:p>
        </w:tc>
        <w:tc>
          <w:tcPr>
            <w:tcW w:type="dxa" w:w="1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UZEIT</w:t>
            </w:r>
          </w:p>
        </w:tc>
        <w:tc>
          <w:tcPr>
            <w:tcW w:type="dxa" w:w="10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TIMS</w:t>
            </w:r>
          </w:p>
        </w:tc>
        <w:tc>
          <w:tcPr>
            <w:tcW w:type="dxa" w:w="9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6</w:t>
            </w:r>
          </w:p>
        </w:tc>
        <w:tc>
          <w:tcPr>
            <w:tcW w:type="dxa" w:w="1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w:t>
            </w:r>
          </w:p>
        </w:tc>
        <w:tc>
          <w:tcPr>
            <w:tcW w:type="dxa" w:w="9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w:t>
            </w:r>
          </w:p>
        </w:tc>
        <w:tc>
          <w:tcPr>
            <w:tcW w:type="dxa" w:w="1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Run start time</w:t>
            </w:r>
          </w:p>
        </w:tc>
      </w:tr>
      <w:tr>
        <w:trPr>
          <w:tblHeader w:val="false"/>
        </w:trPr>
        <w:tc>
          <w:tcPr>
            <w:tcW w:type="dxa" w:w="15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END_DATE</w:t>
            </w:r>
          </w:p>
        </w:tc>
        <w:tc>
          <w:tcPr>
            <w:tcW w:type="dxa" w:w="16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DATUM</w:t>
            </w:r>
          </w:p>
        </w:tc>
        <w:tc>
          <w:tcPr>
            <w:tcW w:type="dxa" w:w="1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DATUM</w:t>
            </w:r>
          </w:p>
        </w:tc>
        <w:tc>
          <w:tcPr>
            <w:tcW w:type="dxa" w:w="10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DATS</w:t>
            </w:r>
          </w:p>
        </w:tc>
        <w:tc>
          <w:tcPr>
            <w:tcW w:type="dxa" w:w="9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8</w:t>
            </w:r>
          </w:p>
        </w:tc>
        <w:tc>
          <w:tcPr>
            <w:tcW w:type="dxa" w:w="1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w:t>
            </w:r>
          </w:p>
        </w:tc>
        <w:tc>
          <w:tcPr>
            <w:tcW w:type="dxa" w:w="9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w:t>
            </w:r>
          </w:p>
        </w:tc>
        <w:tc>
          <w:tcPr>
            <w:tcW w:type="dxa" w:w="1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Run end date</w:t>
            </w:r>
          </w:p>
        </w:tc>
      </w:tr>
      <w:tr>
        <w:trPr>
          <w:tblHeader w:val="false"/>
        </w:trPr>
        <w:tc>
          <w:tcPr>
            <w:tcW w:type="dxa" w:w="15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END_TIME</w:t>
            </w:r>
          </w:p>
        </w:tc>
        <w:tc>
          <w:tcPr>
            <w:tcW w:type="dxa" w:w="16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UZEIT</w:t>
            </w:r>
          </w:p>
        </w:tc>
        <w:tc>
          <w:tcPr>
            <w:tcW w:type="dxa" w:w="1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UZEIT</w:t>
            </w:r>
          </w:p>
        </w:tc>
        <w:tc>
          <w:tcPr>
            <w:tcW w:type="dxa" w:w="10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TIMS</w:t>
            </w:r>
          </w:p>
        </w:tc>
        <w:tc>
          <w:tcPr>
            <w:tcW w:type="dxa" w:w="9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6</w:t>
            </w:r>
          </w:p>
        </w:tc>
        <w:tc>
          <w:tcPr>
            <w:tcW w:type="dxa" w:w="1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w:t>
            </w:r>
          </w:p>
        </w:tc>
        <w:tc>
          <w:tcPr>
            <w:tcW w:type="dxa" w:w="9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w:t>
            </w:r>
          </w:p>
        </w:tc>
        <w:tc>
          <w:tcPr>
            <w:tcW w:type="dxa" w:w="1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Run end time</w:t>
            </w:r>
          </w:p>
        </w:tc>
      </w:tr>
      <w:tr>
        <w:trPr>
          <w:tblHeader w:val="false"/>
        </w:trPr>
        <w:tc>
          <w:tcPr>
            <w:tcW w:type="dxa" w:w="15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DURATION_S</w:t>
            </w:r>
          </w:p>
        </w:tc>
        <w:tc>
          <w:tcPr>
            <w:tcW w:type="dxa" w:w="16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INT4</w:t>
            </w:r>
          </w:p>
        </w:tc>
        <w:tc>
          <w:tcPr>
            <w:tcW w:type="dxa" w:w="1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INT4</w:t>
            </w:r>
          </w:p>
        </w:tc>
        <w:tc>
          <w:tcPr>
            <w:tcW w:type="dxa" w:w="10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INT4</w:t>
            </w:r>
          </w:p>
        </w:tc>
        <w:tc>
          <w:tcPr>
            <w:tcW w:type="dxa" w:w="9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10</w:t>
            </w:r>
          </w:p>
        </w:tc>
        <w:tc>
          <w:tcPr>
            <w:tcW w:type="dxa" w:w="1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w:t>
            </w:r>
          </w:p>
        </w:tc>
        <w:tc>
          <w:tcPr>
            <w:tcW w:type="dxa" w:w="9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w:t>
            </w:r>
          </w:p>
        </w:tc>
        <w:tc>
          <w:tcPr>
            <w:tcW w:type="dxa" w:w="1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Runtime in seconds</w:t>
            </w:r>
          </w:p>
        </w:tc>
      </w:tr>
      <w:tr>
        <w:trPr>
          <w:tblHeader w:val="false"/>
        </w:trPr>
        <w:tc>
          <w:tcPr>
            <w:tcW w:type="dxa" w:w="15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CNT_SCANNED</w:t>
            </w:r>
          </w:p>
        </w:tc>
        <w:tc>
          <w:tcPr>
            <w:tcW w:type="dxa" w:w="16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INT4</w:t>
            </w:r>
          </w:p>
        </w:tc>
        <w:tc>
          <w:tcPr>
            <w:tcW w:type="dxa" w:w="1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INT4</w:t>
            </w:r>
          </w:p>
        </w:tc>
        <w:tc>
          <w:tcPr>
            <w:tcW w:type="dxa" w:w="10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INT4</w:t>
            </w:r>
          </w:p>
        </w:tc>
        <w:tc>
          <w:tcPr>
            <w:tcW w:type="dxa" w:w="9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10</w:t>
            </w:r>
          </w:p>
        </w:tc>
        <w:tc>
          <w:tcPr>
            <w:tcW w:type="dxa" w:w="1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w:t>
            </w:r>
          </w:p>
        </w:tc>
        <w:tc>
          <w:tcPr>
            <w:tcW w:type="dxa" w:w="9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w:t>
            </w:r>
          </w:p>
        </w:tc>
        <w:tc>
          <w:tcPr>
            <w:tcW w:type="dxa" w:w="1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Source goods receipts examined</w:t>
            </w:r>
          </w:p>
        </w:tc>
      </w:tr>
      <w:tr>
        <w:trPr>
          <w:tblHeader w:val="false"/>
        </w:trPr>
        <w:tc>
          <w:tcPr>
            <w:tcW w:type="dxa" w:w="15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CNT_POSTED</w:t>
            </w:r>
          </w:p>
        </w:tc>
        <w:tc>
          <w:tcPr>
            <w:tcW w:type="dxa" w:w="16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INT4</w:t>
            </w:r>
          </w:p>
        </w:tc>
        <w:tc>
          <w:tcPr>
            <w:tcW w:type="dxa" w:w="1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INT4</w:t>
            </w:r>
          </w:p>
        </w:tc>
        <w:tc>
          <w:tcPr>
            <w:tcW w:type="dxa" w:w="10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INT4</w:t>
            </w:r>
          </w:p>
        </w:tc>
        <w:tc>
          <w:tcPr>
            <w:tcW w:type="dxa" w:w="9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10</w:t>
            </w:r>
          </w:p>
        </w:tc>
        <w:tc>
          <w:tcPr>
            <w:tcW w:type="dxa" w:w="1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w:t>
            </w:r>
          </w:p>
        </w:tc>
        <w:tc>
          <w:tcPr>
            <w:tcW w:type="dxa" w:w="9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w:t>
            </w:r>
          </w:p>
        </w:tc>
        <w:tc>
          <w:tcPr>
            <w:tcW w:type="dxa" w:w="1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301 transfers posted</w:t>
            </w:r>
          </w:p>
        </w:tc>
      </w:tr>
      <w:tr>
        <w:trPr>
          <w:tblHeader w:val="false"/>
        </w:trPr>
        <w:tc>
          <w:tcPr>
            <w:tcW w:type="dxa" w:w="15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CNT_REVERSED</w:t>
            </w:r>
          </w:p>
        </w:tc>
        <w:tc>
          <w:tcPr>
            <w:tcW w:type="dxa" w:w="16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INT4</w:t>
            </w:r>
          </w:p>
        </w:tc>
        <w:tc>
          <w:tcPr>
            <w:tcW w:type="dxa" w:w="1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INT4</w:t>
            </w:r>
          </w:p>
        </w:tc>
        <w:tc>
          <w:tcPr>
            <w:tcW w:type="dxa" w:w="10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INT4</w:t>
            </w:r>
          </w:p>
        </w:tc>
        <w:tc>
          <w:tcPr>
            <w:tcW w:type="dxa" w:w="9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10</w:t>
            </w:r>
          </w:p>
        </w:tc>
        <w:tc>
          <w:tcPr>
            <w:tcW w:type="dxa" w:w="1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w:t>
            </w:r>
          </w:p>
        </w:tc>
        <w:tc>
          <w:tcPr>
            <w:tcW w:type="dxa" w:w="9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w:t>
            </w:r>
          </w:p>
        </w:tc>
        <w:tc>
          <w:tcPr>
            <w:tcW w:type="dxa" w:w="1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302 reversals posted</w:t>
            </w:r>
          </w:p>
        </w:tc>
      </w:tr>
      <w:tr>
        <w:trPr>
          <w:tblHeader w:val="false"/>
        </w:trPr>
        <w:tc>
          <w:tcPr>
            <w:tcW w:type="dxa" w:w="15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CNT_SKIPPED</w:t>
            </w:r>
          </w:p>
        </w:tc>
        <w:tc>
          <w:tcPr>
            <w:tcW w:type="dxa" w:w="16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INT4</w:t>
            </w:r>
          </w:p>
        </w:tc>
        <w:tc>
          <w:tcPr>
            <w:tcW w:type="dxa" w:w="1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INT4</w:t>
            </w:r>
          </w:p>
        </w:tc>
        <w:tc>
          <w:tcPr>
            <w:tcW w:type="dxa" w:w="10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INT4</w:t>
            </w:r>
          </w:p>
        </w:tc>
        <w:tc>
          <w:tcPr>
            <w:tcW w:type="dxa" w:w="9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10</w:t>
            </w:r>
          </w:p>
        </w:tc>
        <w:tc>
          <w:tcPr>
            <w:tcW w:type="dxa" w:w="1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w:t>
            </w:r>
          </w:p>
        </w:tc>
        <w:tc>
          <w:tcPr>
            <w:tcW w:type="dxa" w:w="9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w:t>
            </w:r>
          </w:p>
        </w:tc>
        <w:tc>
          <w:tcPr>
            <w:tcW w:type="dxa" w:w="1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Already transferred – idempotent skips</w:t>
            </w:r>
          </w:p>
        </w:tc>
      </w:tr>
      <w:tr>
        <w:trPr>
          <w:tblHeader w:val="false"/>
        </w:trPr>
        <w:tc>
          <w:tcPr>
            <w:tcW w:type="dxa" w:w="15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CNT_WARNING</w:t>
            </w:r>
          </w:p>
        </w:tc>
        <w:tc>
          <w:tcPr>
            <w:tcW w:type="dxa" w:w="16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INT4</w:t>
            </w:r>
          </w:p>
        </w:tc>
        <w:tc>
          <w:tcPr>
            <w:tcW w:type="dxa" w:w="1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INT4</w:t>
            </w:r>
          </w:p>
        </w:tc>
        <w:tc>
          <w:tcPr>
            <w:tcW w:type="dxa" w:w="10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INT4</w:t>
            </w:r>
          </w:p>
        </w:tc>
        <w:tc>
          <w:tcPr>
            <w:tcW w:type="dxa" w:w="9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10</w:t>
            </w:r>
          </w:p>
        </w:tc>
        <w:tc>
          <w:tcPr>
            <w:tcW w:type="dxa" w:w="1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w:t>
            </w:r>
          </w:p>
        </w:tc>
        <w:tc>
          <w:tcPr>
            <w:tcW w:type="dxa" w:w="9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w:t>
            </w:r>
          </w:p>
        </w:tc>
        <w:tc>
          <w:tcPr>
            <w:tcW w:type="dxa" w:w="1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Warnings, chiefly no reservation found</w:t>
            </w:r>
          </w:p>
        </w:tc>
      </w:tr>
      <w:tr>
        <w:trPr>
          <w:tblHeader w:val="false"/>
        </w:trPr>
        <w:tc>
          <w:tcPr>
            <w:tcW w:type="dxa" w:w="15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CNT_ERROR</w:t>
            </w:r>
          </w:p>
        </w:tc>
        <w:tc>
          <w:tcPr>
            <w:tcW w:type="dxa" w:w="16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INT4</w:t>
            </w:r>
          </w:p>
        </w:tc>
        <w:tc>
          <w:tcPr>
            <w:tcW w:type="dxa" w:w="1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INT4</w:t>
            </w:r>
          </w:p>
        </w:tc>
        <w:tc>
          <w:tcPr>
            <w:tcW w:type="dxa" w:w="10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INT4</w:t>
            </w:r>
          </w:p>
        </w:tc>
        <w:tc>
          <w:tcPr>
            <w:tcW w:type="dxa" w:w="9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10</w:t>
            </w:r>
          </w:p>
        </w:tc>
        <w:tc>
          <w:tcPr>
            <w:tcW w:type="dxa" w:w="1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w:t>
            </w:r>
          </w:p>
        </w:tc>
        <w:tc>
          <w:tcPr>
            <w:tcW w:type="dxa" w:w="9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w:t>
            </w:r>
          </w:p>
        </w:tc>
        <w:tc>
          <w:tcPr>
            <w:tcW w:type="dxa" w:w="1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Failed transfers</w:t>
            </w:r>
          </w:p>
        </w:tc>
      </w:tr>
      <w:tr>
        <w:trPr>
          <w:tblHeader w:val="false"/>
        </w:trPr>
        <w:tc>
          <w:tcPr>
            <w:tcW w:type="dxa" w:w="15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STATUS</w:t>
            </w:r>
          </w:p>
        </w:tc>
        <w:tc>
          <w:tcPr>
            <w:tcW w:type="dxa" w:w="16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CHAR1</w:t>
            </w:r>
          </w:p>
        </w:tc>
        <w:tc>
          <w:tcPr>
            <w:tcW w:type="dxa" w:w="1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CHAR1</w:t>
            </w:r>
          </w:p>
        </w:tc>
        <w:tc>
          <w:tcPr>
            <w:tcW w:type="dxa" w:w="10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CHAR</w:t>
            </w:r>
          </w:p>
        </w:tc>
        <w:tc>
          <w:tcPr>
            <w:tcW w:type="dxa" w:w="9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1</w:t>
            </w:r>
          </w:p>
        </w:tc>
        <w:tc>
          <w:tcPr>
            <w:tcW w:type="dxa" w:w="1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w:t>
            </w:r>
          </w:p>
        </w:tc>
        <w:tc>
          <w:tcPr>
            <w:tcW w:type="dxa" w:w="9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w:t>
            </w:r>
          </w:p>
        </w:tc>
        <w:tc>
          <w:tcPr>
            <w:tcW w:type="dxa" w:w="1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S = Success, W = Completed with errors, A = Aborted, R = Running</w:t>
            </w:r>
          </w:p>
        </w:tc>
      </w:tr>
      <w:tr>
        <w:trPr>
          <w:tblHeader w:val="false"/>
        </w:trPr>
        <w:tc>
          <w:tcPr>
            <w:tcW w:type="dxa" w:w="15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BALLOGNR</w:t>
            </w:r>
          </w:p>
        </w:tc>
        <w:tc>
          <w:tcPr>
            <w:tcW w:type="dxa" w:w="16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BALOGNR</w:t>
            </w:r>
          </w:p>
        </w:tc>
        <w:tc>
          <w:tcPr>
            <w:tcW w:type="dxa" w:w="1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BALOGNR</w:t>
            </w:r>
          </w:p>
        </w:tc>
        <w:tc>
          <w:tcPr>
            <w:tcW w:type="dxa" w:w="10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CHAR</w:t>
            </w:r>
          </w:p>
        </w:tc>
        <w:tc>
          <w:tcPr>
            <w:tcW w:type="dxa" w:w="9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20</w:t>
            </w:r>
          </w:p>
        </w:tc>
        <w:tc>
          <w:tcPr>
            <w:tcW w:type="dxa" w:w="1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BALHDR</w:t>
            </w:r>
          </w:p>
        </w:tc>
        <w:tc>
          <w:tcPr>
            <w:tcW w:type="dxa" w:w="9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w:t>
            </w:r>
          </w:p>
        </w:tc>
        <w:tc>
          <w:tcPr>
            <w:tcW w:type="dxa" w:w="1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Application-log number for drill-down</w:t>
            </w:r>
          </w:p>
        </w:tc>
      </w:tr>
      <w:tr>
        <w:trPr>
          <w:tblHeader w:val="false"/>
        </w:trPr>
        <w:tc>
          <w:tcPr>
            <w:tcW w:type="dxa" w:w="15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ERNAM</w:t>
            </w:r>
          </w:p>
        </w:tc>
        <w:tc>
          <w:tcPr>
            <w:tcW w:type="dxa" w:w="16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UNAME</w:t>
            </w:r>
          </w:p>
        </w:tc>
        <w:tc>
          <w:tcPr>
            <w:tcW w:type="dxa" w:w="1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XUBNAME</w:t>
            </w:r>
          </w:p>
        </w:tc>
        <w:tc>
          <w:tcPr>
            <w:tcW w:type="dxa" w:w="10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CHAR</w:t>
            </w:r>
          </w:p>
        </w:tc>
        <w:tc>
          <w:tcPr>
            <w:tcW w:type="dxa" w:w="9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12</w:t>
            </w:r>
          </w:p>
        </w:tc>
        <w:tc>
          <w:tcPr>
            <w:tcW w:type="dxa" w:w="1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USR02</w:t>
            </w:r>
          </w:p>
        </w:tc>
        <w:tc>
          <w:tcPr>
            <w:tcW w:type="dxa" w:w="9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w:t>
            </w:r>
          </w:p>
        </w:tc>
        <w:tc>
          <w:tcPr>
            <w:tcW w:type="dxa" w:w="1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Executed by</w:t>
            </w:r>
          </w:p>
        </w:tc>
      </w:tr>
      <w:tr>
        <w:trPr>
          <w:tblHeader w:val="false"/>
        </w:trPr>
        <w:tc>
          <w:tcPr>
            <w:tcW w:type="dxa" w:w="15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MESSAGE</w:t>
            </w:r>
          </w:p>
        </w:tc>
        <w:tc>
          <w:tcPr>
            <w:tcW w:type="dxa" w:w="16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STRING</w:t>
            </w:r>
          </w:p>
        </w:tc>
        <w:tc>
          <w:tcPr>
            <w:tcW w:type="dxa" w:w="1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w:t>
            </w:r>
          </w:p>
        </w:tc>
        <w:tc>
          <w:tcPr>
            <w:tcW w:type="dxa" w:w="10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STRG</w:t>
            </w:r>
          </w:p>
        </w:tc>
        <w:tc>
          <w:tcPr>
            <w:tcW w:type="dxa" w:w="9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w:t>
            </w:r>
          </w:p>
        </w:tc>
        <w:tc>
          <w:tcPr>
            <w:tcW w:type="dxa" w:w="1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w:t>
            </w:r>
          </w:p>
        </w:tc>
        <w:tc>
          <w:tcPr>
            <w:tcW w:type="dxa" w:w="9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w:t>
            </w:r>
          </w:p>
        </w:tc>
        <w:tc>
          <w:tcPr>
            <w:tcW w:type="dxa" w:w="1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Summary or abort reason</w:t>
            </w:r>
          </w:p>
        </w:tc>
      </w:tr>
    </w:tbl>
    <w:p>
      <w:pPr>
        <w:spacing w:after="100" w:before="0"/>
      </w:pPr>
      <w:r>
        <w:rPr>
          <w:rFonts w:ascii="Arial" w:cs="Arial" w:eastAsia="Arial" w:hAnsi="Arial"/>
          <w:sz w:val="18"/>
          <w:szCs w:val="18"/>
          <w:b/>
          <w:bCs/>
        </w:rPr>
        <w:t xml:space="preserve">Table ZMM_301_VALTYPE – fiscal year to destination valuation type (primary key: MANDT, BUKRS, GJAHR; SM30 view)</w:t>
      </w:r>
    </w:p>
    <w:tbl>
      <w:tblPr>
        <w:tblW w:type="dxa" w:w="9700"/>
        <w:tblBorders>
          <w:top w:val="single" w:color="AAB4BE" w:sz="4"/>
          <w:left w:val="single" w:color="AAB4BE" w:sz="4"/>
          <w:bottom w:val="single" w:color="AAB4BE" w:sz="4"/>
          <w:right w:val="single" w:color="AAB4BE" w:sz="4"/>
          <w:insideH w:val="single" w:color="AAB4BE" w:sz="4"/>
          <w:insideV w:val="single" w:color="AAB4BE" w:sz="4"/>
        </w:tblBorders>
      </w:tblPr>
      <w:tblGrid>
        <w:gridCol w:w="1500"/>
        <w:gridCol w:w="1600"/>
        <w:gridCol w:w="1200"/>
        <w:gridCol w:w="1000"/>
        <w:gridCol w:w="900"/>
        <w:gridCol w:w="1300"/>
        <w:gridCol w:w="900"/>
        <w:gridCol w:w="1300"/>
      </w:tblGrid>
      <w:tr>
        <w:trPr>
          <w:tblHeader/>
        </w:trPr>
        <w:tc>
          <w:tcPr>
            <w:tcW w:type="dxa" w:w="15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Field name</w:t>
            </w:r>
          </w:p>
        </w:tc>
        <w:tc>
          <w:tcPr>
            <w:tcW w:type="dxa" w:w="16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Data element</w:t>
            </w:r>
          </w:p>
        </w:tc>
        <w:tc>
          <w:tcPr>
            <w:tcW w:type="dxa" w:w="12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Domain</w:t>
            </w:r>
          </w:p>
        </w:tc>
        <w:tc>
          <w:tcPr>
            <w:tcW w:type="dxa" w:w="10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Type</w:t>
            </w:r>
          </w:p>
        </w:tc>
        <w:tc>
          <w:tcPr>
            <w:tcW w:type="dxa" w:w="9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Length</w:t>
            </w:r>
          </w:p>
        </w:tc>
        <w:tc>
          <w:tcPr>
            <w:tcW w:type="dxa" w:w="13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Check table</w:t>
            </w:r>
          </w:p>
        </w:tc>
        <w:tc>
          <w:tcPr>
            <w:tcW w:type="dxa" w:w="9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Key</w:t>
            </w:r>
          </w:p>
        </w:tc>
        <w:tc>
          <w:tcPr>
            <w:tcW w:type="dxa" w:w="13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Description</w:t>
            </w:r>
          </w:p>
        </w:tc>
      </w:tr>
      <w:tr>
        <w:trPr>
          <w:tblHeader w:val="false"/>
        </w:trPr>
        <w:tc>
          <w:tcPr>
            <w:tcW w:type="dxa" w:w="15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MANDT</w:t>
            </w:r>
          </w:p>
        </w:tc>
        <w:tc>
          <w:tcPr>
            <w:tcW w:type="dxa" w:w="16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MANDT</w:t>
            </w:r>
          </w:p>
        </w:tc>
        <w:tc>
          <w:tcPr>
            <w:tcW w:type="dxa" w:w="1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MANDT</w:t>
            </w:r>
          </w:p>
        </w:tc>
        <w:tc>
          <w:tcPr>
            <w:tcW w:type="dxa" w:w="10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CLNT</w:t>
            </w:r>
          </w:p>
        </w:tc>
        <w:tc>
          <w:tcPr>
            <w:tcW w:type="dxa" w:w="9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3</w:t>
            </w:r>
          </w:p>
        </w:tc>
        <w:tc>
          <w:tcPr>
            <w:tcW w:type="dxa" w:w="1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T000</w:t>
            </w:r>
          </w:p>
        </w:tc>
        <w:tc>
          <w:tcPr>
            <w:tcW w:type="dxa" w:w="9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X</w:t>
            </w:r>
          </w:p>
        </w:tc>
        <w:tc>
          <w:tcPr>
            <w:tcW w:type="dxa" w:w="1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Client</w:t>
            </w:r>
          </w:p>
        </w:tc>
      </w:tr>
      <w:tr>
        <w:trPr>
          <w:tblHeader w:val="false"/>
        </w:trPr>
        <w:tc>
          <w:tcPr>
            <w:tcW w:type="dxa" w:w="15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BUKRS</w:t>
            </w:r>
          </w:p>
        </w:tc>
        <w:tc>
          <w:tcPr>
            <w:tcW w:type="dxa" w:w="16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BUKRS</w:t>
            </w:r>
          </w:p>
        </w:tc>
        <w:tc>
          <w:tcPr>
            <w:tcW w:type="dxa" w:w="1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BUKRS</w:t>
            </w:r>
          </w:p>
        </w:tc>
        <w:tc>
          <w:tcPr>
            <w:tcW w:type="dxa" w:w="10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CHAR</w:t>
            </w:r>
          </w:p>
        </w:tc>
        <w:tc>
          <w:tcPr>
            <w:tcW w:type="dxa" w:w="9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4</w:t>
            </w:r>
          </w:p>
        </w:tc>
        <w:tc>
          <w:tcPr>
            <w:tcW w:type="dxa" w:w="1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T001</w:t>
            </w:r>
          </w:p>
        </w:tc>
        <w:tc>
          <w:tcPr>
            <w:tcW w:type="dxa" w:w="9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X</w:t>
            </w:r>
          </w:p>
        </w:tc>
        <w:tc>
          <w:tcPr>
            <w:tcW w:type="dxa" w:w="1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Company code – owner of the fiscal-year variant; may be blank for a global entry</w:t>
            </w:r>
          </w:p>
        </w:tc>
      </w:tr>
      <w:tr>
        <w:trPr>
          <w:tblHeader w:val="false"/>
        </w:trPr>
        <w:tc>
          <w:tcPr>
            <w:tcW w:type="dxa" w:w="15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GJAHR</w:t>
            </w:r>
          </w:p>
        </w:tc>
        <w:tc>
          <w:tcPr>
            <w:tcW w:type="dxa" w:w="16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GJAHR</w:t>
            </w:r>
          </w:p>
        </w:tc>
        <w:tc>
          <w:tcPr>
            <w:tcW w:type="dxa" w:w="1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GJAHR</w:t>
            </w:r>
          </w:p>
        </w:tc>
        <w:tc>
          <w:tcPr>
            <w:tcW w:type="dxa" w:w="10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NUMC</w:t>
            </w:r>
          </w:p>
        </w:tc>
        <w:tc>
          <w:tcPr>
            <w:tcW w:type="dxa" w:w="9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4</w:t>
            </w:r>
          </w:p>
        </w:tc>
        <w:tc>
          <w:tcPr>
            <w:tcW w:type="dxa" w:w="1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w:t>
            </w:r>
          </w:p>
        </w:tc>
        <w:tc>
          <w:tcPr>
            <w:tcW w:type="dxa" w:w="9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X</w:t>
            </w:r>
          </w:p>
        </w:tc>
        <w:tc>
          <w:tcPr>
            <w:tcW w:type="dxa" w:w="1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Fiscal year</w:t>
            </w:r>
          </w:p>
        </w:tc>
      </w:tr>
      <w:tr>
        <w:trPr>
          <w:tblHeader w:val="false"/>
        </w:trPr>
        <w:tc>
          <w:tcPr>
            <w:tcW w:type="dxa" w:w="15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BWTAR</w:t>
            </w:r>
          </w:p>
        </w:tc>
        <w:tc>
          <w:tcPr>
            <w:tcW w:type="dxa" w:w="16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BWTAR_D</w:t>
            </w:r>
          </w:p>
        </w:tc>
        <w:tc>
          <w:tcPr>
            <w:tcW w:type="dxa" w:w="1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BWTAR</w:t>
            </w:r>
          </w:p>
        </w:tc>
        <w:tc>
          <w:tcPr>
            <w:tcW w:type="dxa" w:w="10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CHAR</w:t>
            </w:r>
          </w:p>
        </w:tc>
        <w:tc>
          <w:tcPr>
            <w:tcW w:type="dxa" w:w="9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10</w:t>
            </w:r>
          </w:p>
        </w:tc>
        <w:tc>
          <w:tcPr>
            <w:tcW w:type="dxa" w:w="1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T149D</w:t>
            </w:r>
          </w:p>
        </w:tc>
        <w:tc>
          <w:tcPr>
            <w:tcW w:type="dxa" w:w="9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w:t>
            </w:r>
          </w:p>
        </w:tc>
        <w:tc>
          <w:tcPr>
            <w:tcW w:type="dxa" w:w="1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Valuation type valid for that fiscal year in the receiving plant</w:t>
            </w:r>
          </w:p>
        </w:tc>
      </w:tr>
      <w:tr>
        <w:trPr>
          <w:tblHeader w:val="false"/>
        </w:trPr>
        <w:tc>
          <w:tcPr>
            <w:tcW w:type="dxa" w:w="15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DESCR</w:t>
            </w:r>
          </w:p>
        </w:tc>
        <w:tc>
          <w:tcPr>
            <w:tcW w:type="dxa" w:w="16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TEXT40</w:t>
            </w:r>
          </w:p>
        </w:tc>
        <w:tc>
          <w:tcPr>
            <w:tcW w:type="dxa" w:w="1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TEXT40</w:t>
            </w:r>
          </w:p>
        </w:tc>
        <w:tc>
          <w:tcPr>
            <w:tcW w:type="dxa" w:w="10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CHAR</w:t>
            </w:r>
          </w:p>
        </w:tc>
        <w:tc>
          <w:tcPr>
            <w:tcW w:type="dxa" w:w="9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40</w:t>
            </w:r>
          </w:p>
        </w:tc>
        <w:tc>
          <w:tcPr>
            <w:tcW w:type="dxa" w:w="1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w:t>
            </w:r>
          </w:p>
        </w:tc>
        <w:tc>
          <w:tcPr>
            <w:tcW w:type="dxa" w:w="9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w:t>
            </w:r>
          </w:p>
        </w:tc>
        <w:tc>
          <w:tcPr>
            <w:tcW w:type="dxa" w:w="1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Description</w:t>
            </w:r>
          </w:p>
        </w:tc>
      </w:tr>
      <w:tr>
        <w:trPr>
          <w:tblHeader w:val="false"/>
        </w:trPr>
        <w:tc>
          <w:tcPr>
            <w:tcW w:type="dxa" w:w="15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ACTIVE</w:t>
            </w:r>
          </w:p>
        </w:tc>
        <w:tc>
          <w:tcPr>
            <w:tcW w:type="dxa" w:w="16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CHAR1</w:t>
            </w:r>
          </w:p>
        </w:tc>
        <w:tc>
          <w:tcPr>
            <w:tcW w:type="dxa" w:w="1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CHAR1</w:t>
            </w:r>
          </w:p>
        </w:tc>
        <w:tc>
          <w:tcPr>
            <w:tcW w:type="dxa" w:w="10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CHAR</w:t>
            </w:r>
          </w:p>
        </w:tc>
        <w:tc>
          <w:tcPr>
            <w:tcW w:type="dxa" w:w="9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1</w:t>
            </w:r>
          </w:p>
        </w:tc>
        <w:tc>
          <w:tcPr>
            <w:tcW w:type="dxa" w:w="1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w:t>
            </w:r>
          </w:p>
        </w:tc>
        <w:tc>
          <w:tcPr>
            <w:tcW w:type="dxa" w:w="9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w:t>
            </w:r>
          </w:p>
        </w:tc>
        <w:tc>
          <w:tcPr>
            <w:tcW w:type="dxa" w:w="1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Entry active</w:t>
            </w:r>
          </w:p>
        </w:tc>
      </w:tr>
    </w:tbl>
    <w:p>
      <w:pPr>
        <w:spacing w:after="100" w:before="0"/>
      </w:pPr>
      <w:r>
        <w:rPr>
          <w:rFonts w:ascii="Arial" w:cs="Arial" w:eastAsia="Arial" w:hAnsi="Arial"/>
          <w:sz w:val="18"/>
          <w:szCs w:val="18"/>
        </w:rPr>
        <w:t xml:space="preserve">Two of the four tables are maintained by the business and need a maintenance view: </w:t>
      </w:r>
      <w:r>
        <w:rPr>
          <w:rFonts w:ascii="Consolas" w:cs="Consolas" w:eastAsia="Consolas" w:hAnsi="Consolas"/>
          <w:sz w:val="18"/>
          <w:szCs w:val="18"/>
        </w:rPr>
        <w:t xml:space="preserve">ZMM_301_CTRL</w:t>
      </w:r>
      <w:r>
        <w:rPr>
          <w:rFonts w:ascii="Arial" w:cs="Arial" w:eastAsia="Arial" w:hAnsi="Arial"/>
          <w:sz w:val="18"/>
          <w:szCs w:val="18"/>
        </w:rPr>
        <w:t xml:space="preserve"> (the plant pair, the storage locations, the no-reservation behaviour and the ACTIVE switch) and </w:t>
      </w:r>
      <w:r>
        <w:rPr>
          <w:rFonts w:ascii="Consolas" w:cs="Consolas" w:eastAsia="Consolas" w:hAnsi="Consolas"/>
          <w:sz w:val="18"/>
          <w:szCs w:val="18"/>
        </w:rPr>
        <w:t xml:space="preserve">ZMM_301_VALTYPE</w:t>
      </w:r>
      <w:r>
        <w:rPr>
          <w:rFonts w:ascii="Arial" w:cs="Arial" w:eastAsia="Arial" w:hAnsi="Arial"/>
          <w:sz w:val="18"/>
          <w:szCs w:val="18"/>
        </w:rPr>
        <w:t xml:space="preserve"> (the fiscal-year valuation types, which must be extended before each new fiscal year). Both are delivered with a table maintenance generator and an SM30 view, protected by a table authorisation group. The two log tables are written by the code and are never maintained by hand, so no maintenance view is generated for them; they are read through the monitor transaction and reorganised by the housekeeping report in section 5.5.</w:t>
      </w:r>
    </w:p>
    <w:p>
      <w:pPr>
        <w:pStyle w:val="Heading3"/>
        <w:spacing w:after="120" w:before="240"/>
      </w:pPr>
      <w:r>
        <w:rPr>
          <w:rFonts w:ascii="Arial" w:cs="Arial" w:eastAsia="Arial" w:hAnsi="Arial"/>
          <w:b/>
          <w:bCs/>
          <w:color w:val="005B9A"/>
          <w:sz w:val="21"/>
          <w:szCs w:val="21"/>
        </w:rPr>
        <w:t xml:space="preserve">5.1.15 BRF+ Details</w:t>
      </w:r>
    </w:p>
    <w:tbl>
      <w:tblPr>
        <w:tblW w:type="dxa" w:w="9700"/>
        <w:tblBorders>
          <w:top w:val="single" w:color="AAB4BE" w:sz="4"/>
          <w:left w:val="single" w:color="AAB4BE" w:sz="4"/>
          <w:bottom w:val="single" w:color="AAB4BE" w:sz="4"/>
          <w:right w:val="single" w:color="AAB4BE" w:sz="4"/>
          <w:insideH w:val="single" w:color="AAB4BE" w:sz="4"/>
          <w:insideV w:val="single" w:color="AAB4BE" w:sz="4"/>
        </w:tblBorders>
      </w:tblPr>
      <w:tblGrid>
        <w:gridCol w:w="2600"/>
        <w:gridCol w:w="3900"/>
        <w:gridCol w:w="3200"/>
      </w:tblGrid>
      <w:tr>
        <w:trPr>
          <w:tblHeader/>
        </w:trPr>
        <w:tc>
          <w:tcPr>
            <w:tcW w:type="dxa" w:w="26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Component</w:t>
            </w:r>
          </w:p>
        </w:tc>
        <w:tc>
          <w:tcPr>
            <w:tcW w:type="dxa" w:w="39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Description</w:t>
            </w:r>
          </w:p>
        </w:tc>
        <w:tc>
          <w:tcPr>
            <w:tcW w:type="dxa" w:w="32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Technical name</w:t>
            </w:r>
          </w:p>
        </w:tc>
      </w:tr>
      <w:tr>
        <w:trPr>
          <w:tblHeader w:val="false"/>
        </w:trPr>
        <w:tc>
          <w:tcPr>
            <w:tcW w:type="dxa" w:w="26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BRF+ Application</w:t>
            </w:r>
          </w:p>
        </w:tc>
        <w:tc>
          <w:tcPr>
            <w:tcW w:type="dxa" w:w="39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N/A</w:t>
            </w:r>
          </w:p>
        </w:tc>
        <w:tc>
          <w:tcPr>
            <w:tcW w:type="dxa" w:w="3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N/A</w:t>
            </w:r>
          </w:p>
        </w:tc>
      </w:tr>
      <w:tr>
        <w:trPr>
          <w:tblHeader w:val="false"/>
        </w:trPr>
        <w:tc>
          <w:tcPr>
            <w:tcW w:type="dxa" w:w="26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BRF+ Function ID</w:t>
            </w:r>
          </w:p>
        </w:tc>
        <w:tc>
          <w:tcPr>
            <w:tcW w:type="dxa" w:w="39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N/A</w:t>
            </w:r>
          </w:p>
        </w:tc>
        <w:tc>
          <w:tcPr>
            <w:tcW w:type="dxa" w:w="3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N/A</w:t>
            </w:r>
          </w:p>
        </w:tc>
      </w:tr>
      <w:tr>
        <w:trPr>
          <w:tblHeader w:val="false"/>
        </w:trPr>
        <w:tc>
          <w:tcPr>
            <w:tcW w:type="dxa" w:w="26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BRF+ Decision Table</w:t>
            </w:r>
          </w:p>
        </w:tc>
        <w:tc>
          <w:tcPr>
            <w:tcW w:type="dxa" w:w="39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N/A</w:t>
            </w:r>
          </w:p>
        </w:tc>
        <w:tc>
          <w:tcPr>
            <w:tcW w:type="dxa" w:w="3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N/A</w:t>
            </w:r>
          </w:p>
        </w:tc>
      </w:tr>
    </w:tbl>
    <w:tbl>
      <w:tblPr>
        <w:tblW w:type="dxa" w:w="9700"/>
        <w:tblBorders>
          <w:top w:val="single" w:color="AAB4BE" w:sz="4"/>
          <w:left w:val="single" w:color="AAB4BE" w:sz="4"/>
          <w:bottom w:val="single" w:color="AAB4BE" w:sz="4"/>
          <w:right w:val="single" w:color="AAB4BE" w:sz="4"/>
          <w:insideH w:val="single" w:color="AAB4BE" w:sz="4"/>
          <w:insideV w:val="single" w:color="AAB4BE" w:sz="4"/>
        </w:tblBorders>
      </w:tblPr>
      <w:tblGrid>
        <w:gridCol w:w="1500"/>
        <w:gridCol w:w="1600"/>
        <w:gridCol w:w="1200"/>
        <w:gridCol w:w="1000"/>
        <w:gridCol w:w="900"/>
        <w:gridCol w:w="1300"/>
        <w:gridCol w:w="900"/>
        <w:gridCol w:w="1300"/>
      </w:tblGrid>
      <w:tr>
        <w:trPr>
          <w:tblHeader/>
        </w:trPr>
        <w:tc>
          <w:tcPr>
            <w:tcW w:type="dxa" w:w="15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Field name</w:t>
            </w:r>
          </w:p>
        </w:tc>
        <w:tc>
          <w:tcPr>
            <w:tcW w:type="dxa" w:w="16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Data element</w:t>
            </w:r>
          </w:p>
        </w:tc>
        <w:tc>
          <w:tcPr>
            <w:tcW w:type="dxa" w:w="12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Domain</w:t>
            </w:r>
          </w:p>
        </w:tc>
        <w:tc>
          <w:tcPr>
            <w:tcW w:type="dxa" w:w="10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Type</w:t>
            </w:r>
          </w:p>
        </w:tc>
        <w:tc>
          <w:tcPr>
            <w:tcW w:type="dxa" w:w="9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Length</w:t>
            </w:r>
          </w:p>
        </w:tc>
        <w:tc>
          <w:tcPr>
            <w:tcW w:type="dxa" w:w="13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Check table</w:t>
            </w:r>
          </w:p>
        </w:tc>
        <w:tc>
          <w:tcPr>
            <w:tcW w:type="dxa" w:w="9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Key</w:t>
            </w:r>
          </w:p>
        </w:tc>
        <w:tc>
          <w:tcPr>
            <w:tcW w:type="dxa" w:w="13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Description</w:t>
            </w:r>
          </w:p>
        </w:tc>
      </w:tr>
      <w:tr>
        <w:trPr>
          <w:tblHeader w:val="false"/>
        </w:trPr>
        <w:tc>
          <w:tcPr>
            <w:tcW w:type="dxa" w:w="15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N/A</w:t>
            </w:r>
          </w:p>
        </w:tc>
        <w:tc>
          <w:tcPr>
            <w:tcW w:type="dxa" w:w="16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N/A</w:t>
            </w:r>
          </w:p>
        </w:tc>
        <w:tc>
          <w:tcPr>
            <w:tcW w:type="dxa" w:w="1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N/A</w:t>
            </w:r>
          </w:p>
        </w:tc>
        <w:tc>
          <w:tcPr>
            <w:tcW w:type="dxa" w:w="10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N/A</w:t>
            </w:r>
          </w:p>
        </w:tc>
        <w:tc>
          <w:tcPr>
            <w:tcW w:type="dxa" w:w="9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N/A</w:t>
            </w:r>
          </w:p>
        </w:tc>
        <w:tc>
          <w:tcPr>
            <w:tcW w:type="dxa" w:w="1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N/A</w:t>
            </w:r>
          </w:p>
        </w:tc>
        <w:tc>
          <w:tcPr>
            <w:tcW w:type="dxa" w:w="9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N/A</w:t>
            </w:r>
          </w:p>
        </w:tc>
        <w:tc>
          <w:tcPr>
            <w:tcW w:type="dxa" w:w="1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BRF+ is not used. The externalised values of this object are held in the two configuration tables </w:t>
            </w:r>
            <w:r>
              <w:rPr>
                <w:rFonts w:ascii="Consolas" w:cs="Consolas" w:eastAsia="Consolas" w:hAnsi="Consolas"/>
                <w:b w:val="false"/>
                <w:bCs w:val="false"/>
                <w:sz w:val="18"/>
                <w:szCs w:val="18"/>
              </w:rPr>
              <w:t xml:space="preserve">ZMM_301_CTRL</w:t>
            </w:r>
            <w:r>
              <w:rPr>
                <w:rFonts w:ascii="Arial" w:cs="Arial" w:eastAsia="Arial" w:hAnsi="Arial"/>
                <w:b w:val="false"/>
                <w:bCs w:val="false"/>
                <w:sz w:val="18"/>
                <w:szCs w:val="18"/>
              </w:rPr>
              <w:t xml:space="preserve"> and </w:t>
            </w:r>
            <w:r>
              <w:rPr>
                <w:rFonts w:ascii="Consolas" w:cs="Consolas" w:eastAsia="Consolas" w:hAnsi="Consolas"/>
                <w:b w:val="false"/>
                <w:bCs w:val="false"/>
                <w:sz w:val="18"/>
                <w:szCs w:val="18"/>
              </w:rPr>
              <w:t xml:space="preserve">ZMM_301_VALTYPE</w:t>
            </w:r>
            <w:r>
              <w:rPr>
                <w:rFonts w:ascii="Arial" w:cs="Arial" w:eastAsia="Arial" w:hAnsi="Arial"/>
                <w:b w:val="false"/>
                <w:bCs w:val="false"/>
                <w:sz w:val="18"/>
                <w:szCs w:val="18"/>
              </w:rPr>
              <w:t xml:space="preserve">, which the business maintains through SM30.</w:t>
            </w:r>
          </w:p>
        </w:tc>
      </w:tr>
    </w:tbl>
    <w:p>
      <w:pPr>
        <w:pStyle w:val="Heading2"/>
        <w:spacing w:after="120" w:before="240"/>
      </w:pPr>
      <w:r>
        <w:rPr>
          <w:rFonts w:ascii="Arial" w:cs="Arial" w:eastAsia="Arial" w:hAnsi="Arial"/>
          <w:b/>
          <w:bCs/>
          <w:color w:val="005B9A"/>
          <w:sz w:val="24"/>
          <w:szCs w:val="24"/>
        </w:rPr>
        <w:t xml:space="preserve">5.2 Security</w:t>
      </w:r>
    </w:p>
    <w:p>
      <w:pPr>
        <w:pStyle w:val="Heading3"/>
        <w:spacing w:after="120" w:before="240"/>
      </w:pPr>
      <w:r>
        <w:rPr>
          <w:rFonts w:ascii="Arial" w:cs="Arial" w:eastAsia="Arial" w:hAnsi="Arial"/>
          <w:b/>
          <w:bCs/>
          <w:color w:val="005B9A"/>
          <w:sz w:val="21"/>
          <w:szCs w:val="21"/>
        </w:rPr>
        <w:t xml:space="preserve">5.2.1 Authorisation Objects</w:t>
      </w:r>
    </w:p>
    <w:tbl>
      <w:tblPr>
        <w:tblW w:type="dxa" w:w="9700"/>
        <w:tblBorders>
          <w:top w:val="single" w:color="AAB4BE" w:sz="4"/>
          <w:left w:val="single" w:color="AAB4BE" w:sz="4"/>
          <w:bottom w:val="single" w:color="AAB4BE" w:sz="4"/>
          <w:right w:val="single" w:color="AAB4BE" w:sz="4"/>
          <w:insideH w:val="single" w:color="AAB4BE" w:sz="4"/>
          <w:insideV w:val="single" w:color="AAB4BE" w:sz="4"/>
        </w:tblBorders>
      </w:tblPr>
      <w:tblGrid>
        <w:gridCol w:w="2600"/>
        <w:gridCol w:w="2400"/>
        <w:gridCol w:w="2400"/>
        <w:gridCol w:w="2300"/>
      </w:tblGrid>
      <w:tr>
        <w:trPr>
          <w:tblHeader/>
        </w:trPr>
        <w:tc>
          <w:tcPr>
            <w:tcW w:type="dxa" w:w="26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Authorisation object</w:t>
            </w:r>
          </w:p>
        </w:tc>
        <w:tc>
          <w:tcPr>
            <w:tcW w:type="dxa" w:w="24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Field</w:t>
            </w:r>
          </w:p>
        </w:tc>
        <w:tc>
          <w:tcPr>
            <w:tcW w:type="dxa" w:w="24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Value / Range</w:t>
            </w:r>
          </w:p>
        </w:tc>
        <w:tc>
          <w:tcPr>
            <w:tcW w:type="dxa" w:w="23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Checked in (object &amp; method)</w:t>
            </w:r>
          </w:p>
        </w:tc>
      </w:tr>
      <w:tr>
        <w:trPr>
          <w:tblHeader w:val="false"/>
        </w:trPr>
        <w:tc>
          <w:tcPr>
            <w:tcW w:type="dxa" w:w="2600"/>
            <w:tcMar>
              <w:top w:type="dxa" w:w="60"/>
              <w:left w:type="dxa" w:w="100"/>
              <w:bottom w:type="dxa" w:w="60"/>
              <w:right w:type="dxa" w:w="100"/>
            </w:tcMar>
          </w:tcPr>
          <w:p>
            <w:pPr>
              <w:spacing w:after="40" w:before="0"/>
            </w:pPr>
            <w:r>
              <w:rPr>
                <w:rFonts w:ascii="Consolas" w:cs="Consolas" w:eastAsia="Consolas" w:hAnsi="Consolas"/>
                <w:b w:val="false"/>
                <w:bCs w:val="false"/>
                <w:sz w:val="18"/>
                <w:szCs w:val="18"/>
              </w:rPr>
              <w:t xml:space="preserve">M_MSEG_WMB</w:t>
            </w:r>
          </w:p>
        </w:tc>
        <w:tc>
          <w:tcPr>
            <w:tcW w:type="dxa" w:w="24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ACTVT</w:t>
            </w:r>
          </w:p>
        </w:tc>
        <w:tc>
          <w:tcPr>
            <w:tcW w:type="dxa" w:w="24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01 (create)</w:t>
            </w:r>
          </w:p>
        </w:tc>
        <w:tc>
          <w:tcPr>
            <w:tcW w:type="dxa" w:w="2300"/>
            <w:tcMar>
              <w:top w:type="dxa" w:w="60"/>
              <w:left w:type="dxa" w:w="100"/>
              <w:bottom w:type="dxa" w:w="60"/>
              <w:right w:type="dxa" w:w="100"/>
            </w:tcMar>
          </w:tcPr>
          <w:p>
            <w:pPr>
              <w:spacing w:after="40" w:before="0"/>
            </w:pPr>
            <w:r>
              <w:rPr>
                <w:rFonts w:ascii="Consolas" w:cs="Consolas" w:eastAsia="Consolas" w:hAnsi="Consolas"/>
                <w:b w:val="false"/>
                <w:bCs w:val="false"/>
                <w:sz w:val="18"/>
                <w:szCs w:val="18"/>
              </w:rPr>
              <w:t xml:space="preserve">Z_MM_301_POST_TRANSFER</w:t>
            </w:r>
            <w:r>
              <w:rPr>
                <w:rFonts w:ascii="Arial" w:cs="Arial" w:eastAsia="Arial" w:hAnsi="Arial"/>
                <w:b w:val="false"/>
                <w:bCs w:val="false"/>
                <w:sz w:val="18"/>
                <w:szCs w:val="18"/>
              </w:rPr>
              <w:t xml:space="preserve">, by explicit </w:t>
            </w:r>
            <w:r>
              <w:rPr>
                <w:rFonts w:ascii="Consolas" w:cs="Consolas" w:eastAsia="Consolas" w:hAnsi="Consolas"/>
                <w:b w:val="false"/>
                <w:bCs w:val="false"/>
                <w:sz w:val="18"/>
                <w:szCs w:val="18"/>
              </w:rPr>
              <w:t xml:space="preserve">AUTHORITY-CHECK</w:t>
            </w:r>
            <w:r>
              <w:rPr>
                <w:rFonts w:ascii="Arial" w:cs="Arial" w:eastAsia="Arial" w:hAnsi="Arial"/>
                <w:b w:val="false"/>
                <w:bCs w:val="false"/>
                <w:sz w:val="18"/>
                <w:szCs w:val="18"/>
              </w:rPr>
              <w:t xml:space="preserve"> before the goods-movement BAPI is called</w:t>
            </w:r>
          </w:p>
        </w:tc>
      </w:tr>
      <w:tr>
        <w:trPr>
          <w:tblHeader w:val="false"/>
        </w:trPr>
        <w:tc>
          <w:tcPr>
            <w:tcW w:type="dxa" w:w="2600"/>
            <w:tcMar>
              <w:top w:type="dxa" w:w="60"/>
              <w:left w:type="dxa" w:w="100"/>
              <w:bottom w:type="dxa" w:w="60"/>
              <w:right w:type="dxa" w:w="100"/>
            </w:tcMar>
          </w:tcPr>
          <w:p>
            <w:pPr>
              <w:spacing w:after="40" w:before="0"/>
            </w:pPr>
            <w:r>
              <w:rPr>
                <w:rFonts w:ascii="Consolas" w:cs="Consolas" w:eastAsia="Consolas" w:hAnsi="Consolas"/>
                <w:b w:val="false"/>
                <w:bCs w:val="false"/>
                <w:sz w:val="18"/>
                <w:szCs w:val="18"/>
              </w:rPr>
              <w:t xml:space="preserve">M_MSEG_WMB</w:t>
            </w:r>
          </w:p>
        </w:tc>
        <w:tc>
          <w:tcPr>
            <w:tcW w:type="dxa" w:w="24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WERKS</w:t>
            </w:r>
          </w:p>
        </w:tc>
        <w:tc>
          <w:tcPr>
            <w:tcW w:type="dxa" w:w="24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Issuing and receiving plant (8P01, 8Q01)</w:t>
            </w:r>
          </w:p>
        </w:tc>
        <w:tc>
          <w:tcPr>
            <w:tcW w:type="dxa" w:w="2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As above; checked for both plants</w:t>
            </w:r>
          </w:p>
        </w:tc>
      </w:tr>
      <w:tr>
        <w:trPr>
          <w:tblHeader w:val="false"/>
        </w:trPr>
        <w:tc>
          <w:tcPr>
            <w:tcW w:type="dxa" w:w="2600"/>
            <w:tcMar>
              <w:top w:type="dxa" w:w="60"/>
              <w:left w:type="dxa" w:w="100"/>
              <w:bottom w:type="dxa" w:w="60"/>
              <w:right w:type="dxa" w:w="100"/>
            </w:tcMar>
          </w:tcPr>
          <w:p>
            <w:pPr>
              <w:spacing w:after="40" w:before="0"/>
            </w:pPr>
            <w:r>
              <w:rPr>
                <w:rFonts w:ascii="Consolas" w:cs="Consolas" w:eastAsia="Consolas" w:hAnsi="Consolas"/>
                <w:b w:val="false"/>
                <w:bCs w:val="false"/>
                <w:sz w:val="18"/>
                <w:szCs w:val="18"/>
              </w:rPr>
              <w:t xml:space="preserve">M_MSEG_BWA</w:t>
            </w:r>
          </w:p>
        </w:tc>
        <w:tc>
          <w:tcPr>
            <w:tcW w:type="dxa" w:w="24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BWART</w:t>
            </w:r>
          </w:p>
        </w:tc>
        <w:tc>
          <w:tcPr>
            <w:tcW w:type="dxa" w:w="24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301 and 302</w:t>
            </w:r>
          </w:p>
        </w:tc>
        <w:tc>
          <w:tcPr>
            <w:tcW w:type="dxa" w:w="2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Z_MM_301_POST_TRANSFER, explicit AUTHORITY-CHECK (ACTVT 01) before the goods-movement BAPI; 302 is checked on the reversal path</w:t>
            </w:r>
          </w:p>
        </w:tc>
      </w:tr>
      <w:tr>
        <w:trPr>
          <w:tblHeader w:val="false"/>
        </w:trPr>
        <w:tc>
          <w:tcPr>
            <w:tcW w:type="dxa" w:w="2600"/>
            <w:tcMar>
              <w:top w:type="dxa" w:w="60"/>
              <w:left w:type="dxa" w:w="100"/>
              <w:bottom w:type="dxa" w:w="60"/>
              <w:right w:type="dxa" w:w="100"/>
            </w:tcMar>
          </w:tcPr>
          <w:p>
            <w:pPr>
              <w:spacing w:after="40" w:before="0"/>
            </w:pPr>
            <w:r>
              <w:rPr>
                <w:rFonts w:ascii="Consolas" w:cs="Consolas" w:eastAsia="Consolas" w:hAnsi="Consolas"/>
                <w:b w:val="false"/>
                <w:bCs w:val="false"/>
                <w:sz w:val="18"/>
                <w:szCs w:val="18"/>
              </w:rPr>
              <w:t xml:space="preserve">S_TCODE</w:t>
            </w:r>
          </w:p>
        </w:tc>
        <w:tc>
          <w:tcPr>
            <w:tcW w:type="dxa" w:w="24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TCD</w:t>
            </w:r>
          </w:p>
        </w:tc>
        <w:tc>
          <w:tcPr>
            <w:tcW w:type="dxa" w:w="2400"/>
            <w:tcMar>
              <w:top w:type="dxa" w:w="60"/>
              <w:left w:type="dxa" w:w="100"/>
              <w:bottom w:type="dxa" w:w="60"/>
              <w:right w:type="dxa" w:w="100"/>
            </w:tcMar>
          </w:tcPr>
          <w:p>
            <w:pPr>
              <w:spacing w:after="40" w:before="0"/>
            </w:pPr>
            <w:r>
              <w:rPr>
                <w:rFonts w:ascii="Consolas" w:cs="Consolas" w:eastAsia="Consolas" w:hAnsi="Consolas"/>
                <w:b w:val="false"/>
                <w:bCs w:val="false"/>
                <w:sz w:val="18"/>
                <w:szCs w:val="18"/>
              </w:rPr>
              <w:t xml:space="preserve">ZMM301M</w:t>
            </w:r>
          </w:p>
        </w:tc>
        <w:tc>
          <w:tcPr>
            <w:tcW w:type="dxa" w:w="2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Enforced by the transaction at start-up</w:t>
            </w:r>
          </w:p>
        </w:tc>
      </w:tr>
      <w:tr>
        <w:trPr>
          <w:tblHeader w:val="false"/>
        </w:trPr>
        <w:tc>
          <w:tcPr>
            <w:tcW w:type="dxa" w:w="2600"/>
            <w:tcMar>
              <w:top w:type="dxa" w:w="60"/>
              <w:left w:type="dxa" w:w="100"/>
              <w:bottom w:type="dxa" w:w="60"/>
              <w:right w:type="dxa" w:w="100"/>
            </w:tcMar>
          </w:tcPr>
          <w:p>
            <w:pPr>
              <w:spacing w:after="40" w:before="0"/>
            </w:pPr>
            <w:r>
              <w:rPr>
                <w:rFonts w:ascii="Consolas" w:cs="Consolas" w:eastAsia="Consolas" w:hAnsi="Consolas"/>
                <w:b w:val="false"/>
                <w:bCs w:val="false"/>
                <w:sz w:val="18"/>
                <w:szCs w:val="18"/>
              </w:rPr>
              <w:t xml:space="preserve">S_TABU_DIS</w:t>
            </w:r>
            <w:r>
              <w:rPr>
                <w:rFonts w:ascii="Arial" w:cs="Arial" w:eastAsia="Arial" w:hAnsi="Arial"/>
                <w:b w:val="false"/>
                <w:bCs w:val="false"/>
                <w:sz w:val="18"/>
                <w:szCs w:val="18"/>
              </w:rPr>
              <w:t xml:space="preserve"> / </w:t>
            </w:r>
            <w:r>
              <w:rPr>
                <w:rFonts w:ascii="Consolas" w:cs="Consolas" w:eastAsia="Consolas" w:hAnsi="Consolas"/>
                <w:b w:val="false"/>
                <w:bCs w:val="false"/>
                <w:sz w:val="18"/>
                <w:szCs w:val="18"/>
              </w:rPr>
              <w:t xml:space="preserve">S_TABU_NAM</w:t>
            </w:r>
          </w:p>
        </w:tc>
        <w:tc>
          <w:tcPr>
            <w:tcW w:type="dxa" w:w="24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Authorisation group / table name</w:t>
            </w:r>
          </w:p>
        </w:tc>
        <w:tc>
          <w:tcPr>
            <w:tcW w:type="dxa" w:w="2400"/>
            <w:tcMar>
              <w:top w:type="dxa" w:w="60"/>
              <w:left w:type="dxa" w:w="100"/>
              <w:bottom w:type="dxa" w:w="60"/>
              <w:right w:type="dxa" w:w="100"/>
            </w:tcMar>
          </w:tcPr>
          <w:p>
            <w:pPr>
              <w:spacing w:after="40" w:before="0"/>
            </w:pPr>
            <w:r>
              <w:rPr>
                <w:rFonts w:ascii="Consolas" w:cs="Consolas" w:eastAsia="Consolas" w:hAnsi="Consolas"/>
                <w:b w:val="false"/>
                <w:bCs w:val="false"/>
                <w:sz w:val="18"/>
                <w:szCs w:val="18"/>
              </w:rPr>
              <w:t xml:space="preserve">ZMM_301_CTRL</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ZMM_301_VALTYPE</w:t>
            </w:r>
          </w:p>
        </w:tc>
        <w:tc>
          <w:tcPr>
            <w:tcW w:type="dxa" w:w="2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SM30 maintenance of the two configuration views</w:t>
            </w:r>
          </w:p>
        </w:tc>
      </w:tr>
    </w:tbl>
    <w:p>
      <w:pPr>
        <w:pStyle w:val="Heading2"/>
        <w:spacing w:after="120" w:before="240"/>
      </w:pPr>
      <w:r>
        <w:rPr>
          <w:rFonts w:ascii="Arial" w:cs="Arial" w:eastAsia="Arial" w:hAnsi="Arial"/>
          <w:b/>
          <w:bCs/>
          <w:color w:val="005B9A"/>
          <w:sz w:val="24"/>
          <w:szCs w:val="24"/>
        </w:rPr>
        <w:t xml:space="preserve">5.3 Dependencies</w:t>
      </w:r>
    </w:p>
    <w:p>
      <w:pPr>
        <w:pStyle w:val="Heading3"/>
        <w:spacing w:after="120" w:before="240"/>
      </w:pPr>
      <w:r>
        <w:rPr>
          <w:rFonts w:ascii="Arial" w:cs="Arial" w:eastAsia="Arial" w:hAnsi="Arial"/>
          <w:b/>
          <w:bCs/>
          <w:color w:val="005B9A"/>
          <w:sz w:val="21"/>
          <w:szCs w:val="21"/>
        </w:rPr>
        <w:t xml:space="preserve">5.3.1 Development Dependencies</w:t>
      </w:r>
    </w:p>
    <w:p>
      <w:pPr>
        <w:spacing w:after="100" w:before="0"/>
      </w:pPr>
      <w:r>
        <w:rPr>
          <w:rFonts w:ascii="Arial" w:cs="Arial" w:eastAsia="Arial" w:hAnsi="Arial"/>
          <w:sz w:val="18"/>
          <w:szCs w:val="18"/>
        </w:rPr>
        <w:t xml:space="preserve">The following must be active in the target system before the code is imported: the tables </w:t>
      </w:r>
      <w:r>
        <w:rPr>
          <w:rFonts w:ascii="Consolas" w:cs="Consolas" w:eastAsia="Consolas" w:hAnsi="Consolas"/>
          <w:sz w:val="18"/>
          <w:szCs w:val="18"/>
        </w:rPr>
        <w:t xml:space="preserve">ZMM_301_CTRL</w:t>
      </w:r>
      <w:r>
        <w:rPr>
          <w:rFonts w:ascii="Arial" w:cs="Arial" w:eastAsia="Arial" w:hAnsi="Arial"/>
          <w:sz w:val="18"/>
          <w:szCs w:val="18"/>
        </w:rPr>
        <w:t xml:space="preserve">, </w:t>
      </w:r>
      <w:r>
        <w:rPr>
          <w:rFonts w:ascii="Consolas" w:cs="Consolas" w:eastAsia="Consolas" w:hAnsi="Consolas"/>
          <w:sz w:val="18"/>
          <w:szCs w:val="18"/>
        </w:rPr>
        <w:t xml:space="preserve">ZMM_301_MOV_LOG</w:t>
      </w:r>
      <w:r>
        <w:rPr>
          <w:rFonts w:ascii="Arial" w:cs="Arial" w:eastAsia="Arial" w:hAnsi="Arial"/>
          <w:sz w:val="18"/>
          <w:szCs w:val="18"/>
        </w:rPr>
        <w:t xml:space="preserve">, </w:t>
      </w:r>
      <w:r>
        <w:rPr>
          <w:rFonts w:ascii="Consolas" w:cs="Consolas" w:eastAsia="Consolas" w:hAnsi="Consolas"/>
          <w:sz w:val="18"/>
          <w:szCs w:val="18"/>
        </w:rPr>
        <w:t xml:space="preserve">ZMM_301_MOV_RUN_LOG</w:t>
      </w:r>
      <w:r>
        <w:rPr>
          <w:rFonts w:ascii="Arial" w:cs="Arial" w:eastAsia="Arial" w:hAnsi="Arial"/>
          <w:sz w:val="18"/>
          <w:szCs w:val="18"/>
        </w:rPr>
        <w:t xml:space="preserve"> and </w:t>
      </w:r>
      <w:r>
        <w:rPr>
          <w:rFonts w:ascii="Consolas" w:cs="Consolas" w:eastAsia="Consolas" w:hAnsi="Consolas"/>
          <w:sz w:val="18"/>
          <w:szCs w:val="18"/>
        </w:rPr>
        <w:t xml:space="preserve">ZMM_301_VALTYPE</w:t>
      </w:r>
      <w:r>
        <w:rPr>
          <w:rFonts w:ascii="Arial" w:cs="Arial" w:eastAsia="Arial" w:hAnsi="Arial"/>
          <w:sz w:val="18"/>
          <w:szCs w:val="18"/>
        </w:rPr>
        <w:t xml:space="preserve">, their two maintenance views, the message class </w:t>
      </w:r>
      <w:r>
        <w:rPr>
          <w:rFonts w:ascii="Consolas" w:cs="Consolas" w:eastAsia="Consolas" w:hAnsi="Consolas"/>
          <w:sz w:val="18"/>
          <w:szCs w:val="18"/>
        </w:rPr>
        <w:t xml:space="preserve">ZMM301</w:t>
      </w:r>
      <w:r>
        <w:rPr>
          <w:rFonts w:ascii="Arial" w:cs="Arial" w:eastAsia="Arial" w:hAnsi="Arial"/>
          <w:sz w:val="18"/>
          <w:szCs w:val="18"/>
        </w:rPr>
        <w:t xml:space="preserve"> and the application-log object </w:t>
      </w:r>
      <w:r>
        <w:rPr>
          <w:rFonts w:ascii="Consolas" w:cs="Consolas" w:eastAsia="Consolas" w:hAnsi="Consolas"/>
          <w:sz w:val="18"/>
          <w:szCs w:val="18"/>
        </w:rPr>
        <w:t xml:space="preserve">ZMM</w:t>
      </w:r>
      <w:r>
        <w:rPr>
          <w:rFonts w:ascii="Arial" w:cs="Arial" w:eastAsia="Arial" w:hAnsi="Arial"/>
          <w:sz w:val="18"/>
          <w:szCs w:val="18"/>
        </w:rPr>
        <w:t xml:space="preserve"> with subobject </w:t>
      </w:r>
      <w:r>
        <w:rPr>
          <w:rFonts w:ascii="Consolas" w:cs="Consolas" w:eastAsia="Consolas" w:hAnsi="Consolas"/>
          <w:sz w:val="18"/>
          <w:szCs w:val="18"/>
        </w:rPr>
        <w:t xml:space="preserve">Z301MOV</w:t>
      </w:r>
      <w:r>
        <w:rPr>
          <w:rFonts w:ascii="Arial" w:cs="Arial" w:eastAsia="Arial" w:hAnsi="Arial"/>
          <w:sz w:val="18"/>
          <w:szCs w:val="18"/>
        </w:rPr>
        <w:t xml:space="preserve">.</w:t>
      </w:r>
    </w:p>
    <w:p>
      <w:pPr>
        <w:spacing w:after="100" w:before="0"/>
      </w:pPr>
      <w:r>
        <w:rPr>
          <w:rFonts w:ascii="Arial" w:cs="Arial" w:eastAsia="Arial" w:hAnsi="Arial"/>
          <w:sz w:val="18"/>
          <w:szCs w:val="18"/>
        </w:rPr>
        <w:t xml:space="preserve">Within the object, the posting function </w:t>
      </w:r>
      <w:r>
        <w:rPr>
          <w:rFonts w:ascii="Consolas" w:cs="Consolas" w:eastAsia="Consolas" w:hAnsi="Consolas"/>
          <w:sz w:val="18"/>
          <w:szCs w:val="18"/>
        </w:rPr>
        <w:t xml:space="preserve">Z_MM_301_POST_TRANSFER</w:t>
      </w:r>
      <w:r>
        <w:rPr>
          <w:rFonts w:ascii="Arial" w:cs="Arial" w:eastAsia="Arial" w:hAnsi="Arial"/>
          <w:sz w:val="18"/>
          <w:szCs w:val="18"/>
        </w:rPr>
        <w:t xml:space="preserve"> must exist before the trigger class and the monitor report, because both call it.</w:t>
      </w:r>
    </w:p>
    <w:p>
      <w:pPr>
        <w:spacing w:after="100" w:before="0"/>
      </w:pPr>
      <w:r>
        <w:rPr>
          <w:rFonts w:ascii="Arial" w:cs="Arial" w:eastAsia="Arial" w:hAnsi="Arial"/>
          <w:sz w:val="18"/>
          <w:szCs w:val="18"/>
        </w:rPr>
        <w:t xml:space="preserve">The reservation link table </w:t>
      </w:r>
      <w:r>
        <w:rPr>
          <w:rFonts w:ascii="Consolas" w:cs="Consolas" w:eastAsia="Consolas" w:hAnsi="Consolas"/>
          <w:sz w:val="18"/>
          <w:szCs w:val="18"/>
        </w:rPr>
        <w:t xml:space="preserve">ZMM_301_RESV_LOG</w:t>
      </w:r>
      <w:r>
        <w:rPr>
          <w:rFonts w:ascii="Arial" w:cs="Arial" w:eastAsia="Arial" w:hAnsi="Arial"/>
          <w:sz w:val="18"/>
          <w:szCs w:val="18"/>
        </w:rPr>
        <w:t xml:space="preserve"> is created by the companion object R-xxx-SEG. It is read at runtime, so the companion object must be transported in the same train; there is no compile-time dependency if the table itself is delivered first.</w:t>
      </w:r>
    </w:p>
    <w:p>
      <w:pPr>
        <w:spacing w:after="100" w:before="0"/>
      </w:pPr>
      <w:r>
        <w:rPr>
          <w:rFonts w:ascii="Arial" w:cs="Arial" w:eastAsia="Arial" w:hAnsi="Arial"/>
          <w:sz w:val="18"/>
          <w:szCs w:val="18"/>
        </w:rPr>
        <w:t xml:space="preserve">All objects belong to package </w:t>
      </w:r>
      <w:r>
        <w:rPr>
          <w:rFonts w:ascii="Consolas" w:cs="Consolas" w:eastAsia="Consolas" w:hAnsi="Consolas"/>
          <w:sz w:val="18"/>
          <w:szCs w:val="18"/>
        </w:rPr>
        <w:t xml:space="preserve">Z_MM_INVENTORY</w:t>
      </w:r>
      <w:r>
        <w:rPr>
          <w:rFonts w:ascii="Arial" w:cs="Arial" w:eastAsia="Arial" w:hAnsi="Arial"/>
          <w:sz w:val="18"/>
          <w:szCs w:val="18"/>
        </w:rPr>
        <w:t xml:space="preserve">.</w:t>
      </w:r>
    </w:p>
    <w:p>
      <w:pPr>
        <w:pStyle w:val="Heading3"/>
        <w:spacing w:after="120" w:before="240"/>
      </w:pPr>
      <w:r>
        <w:rPr>
          <w:rFonts w:ascii="Arial" w:cs="Arial" w:eastAsia="Arial" w:hAnsi="Arial"/>
          <w:b/>
          <w:bCs/>
          <w:color w:val="005B9A"/>
          <w:sz w:val="21"/>
          <w:szCs w:val="21"/>
        </w:rPr>
        <w:t xml:space="preserve">5.3.2 Run / Execution Dependencies</w:t>
      </w:r>
    </w:p>
    <w:p>
      <w:pPr>
        <w:pStyle w:val="Heading4"/>
        <w:spacing w:after="120" w:before="240"/>
      </w:pPr>
      <w:r>
        <w:rPr>
          <w:rFonts w:ascii="Arial" w:cs="Arial" w:eastAsia="Arial" w:hAnsi="Arial"/>
          <w:b/>
          <w:bCs/>
          <w:color w:val="005B9A"/>
          <w:sz w:val="21"/>
          <w:szCs w:val="21"/>
        </w:rPr>
        <w:t xml:space="preserve">5.3.2.1 Custom Maintenance Table</w:t>
      </w:r>
    </w:p>
    <w:tbl>
      <w:tblPr>
        <w:tblW w:type="dxa" w:w="9700"/>
        <w:tblBorders>
          <w:top w:val="single" w:color="AAB4BE" w:sz="4"/>
          <w:left w:val="single" w:color="AAB4BE" w:sz="4"/>
          <w:bottom w:val="single" w:color="AAB4BE" w:sz="4"/>
          <w:right w:val="single" w:color="AAB4BE" w:sz="4"/>
          <w:insideH w:val="single" w:color="AAB4BE" w:sz="4"/>
          <w:insideV w:val="single" w:color="AAB4BE" w:sz="4"/>
        </w:tblBorders>
      </w:tblPr>
      <w:tblGrid>
        <w:gridCol w:w="4800"/>
        <w:gridCol w:w="4900"/>
      </w:tblGrid>
      <w:tr>
        <w:trPr>
          <w:tblHeader/>
        </w:trPr>
        <w:tc>
          <w:tcPr>
            <w:tcW w:type="dxa" w:w="48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Table name</w:t>
            </w:r>
          </w:p>
        </w:tc>
        <w:tc>
          <w:tcPr>
            <w:tcW w:type="dxa" w:w="49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Transaction code</w:t>
            </w:r>
          </w:p>
        </w:tc>
      </w:tr>
      <w:tr>
        <w:trPr>
          <w:tblHeader w:val="false"/>
        </w:trPr>
        <w:tc>
          <w:tcPr>
            <w:tcW w:type="dxa" w:w="4800"/>
            <w:tcMar>
              <w:top w:type="dxa" w:w="60"/>
              <w:left w:type="dxa" w:w="100"/>
              <w:bottom w:type="dxa" w:w="60"/>
              <w:right w:type="dxa" w:w="100"/>
            </w:tcMar>
          </w:tcPr>
          <w:p>
            <w:pPr>
              <w:spacing w:after="40" w:before="0"/>
            </w:pPr>
            <w:r>
              <w:rPr>
                <w:rFonts w:ascii="Consolas" w:cs="Consolas" w:eastAsia="Consolas" w:hAnsi="Consolas"/>
                <w:b w:val="false"/>
                <w:bCs w:val="false"/>
                <w:sz w:val="18"/>
                <w:szCs w:val="18"/>
              </w:rPr>
              <w:t xml:space="preserve">ZMM_301_CTRL</w:t>
            </w:r>
          </w:p>
        </w:tc>
        <w:tc>
          <w:tcPr>
            <w:tcW w:type="dxa" w:w="49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SM30 maintenance view – plant pair, storage locations, movement type, no-reservation behaviour, ACTIVE switch and activation window</w:t>
            </w:r>
          </w:p>
        </w:tc>
      </w:tr>
      <w:tr>
        <w:trPr>
          <w:tblHeader w:val="false"/>
        </w:trPr>
        <w:tc>
          <w:tcPr>
            <w:tcW w:type="dxa" w:w="4800"/>
            <w:tcMar>
              <w:top w:type="dxa" w:w="60"/>
              <w:left w:type="dxa" w:w="100"/>
              <w:bottom w:type="dxa" w:w="60"/>
              <w:right w:type="dxa" w:w="100"/>
            </w:tcMar>
          </w:tcPr>
          <w:p>
            <w:pPr>
              <w:spacing w:after="40" w:before="0"/>
            </w:pPr>
            <w:r>
              <w:rPr>
                <w:rFonts w:ascii="Consolas" w:cs="Consolas" w:eastAsia="Consolas" w:hAnsi="Consolas"/>
                <w:b w:val="false"/>
                <w:bCs w:val="false"/>
                <w:sz w:val="18"/>
                <w:szCs w:val="18"/>
              </w:rPr>
              <w:t xml:space="preserve">ZMM_301_VALTYPE</w:t>
            </w:r>
          </w:p>
        </w:tc>
        <w:tc>
          <w:tcPr>
            <w:tcW w:type="dxa" w:w="49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SM30 maintenance view – fiscal year to destination valuation type. </w:t>
            </w:r>
            <w:r>
              <w:rPr>
                <w:rFonts w:ascii="Arial" w:cs="Arial" w:eastAsia="Arial" w:hAnsi="Arial"/>
                <w:sz w:val="18"/>
                <w:szCs w:val="18"/>
                <w:b/>
                <w:bCs/>
              </w:rPr>
              <w:t xml:space="preserve">Must be extended before each new fiscal year</w:t>
            </w:r>
            <w:r>
              <w:rPr>
                <w:rFonts w:ascii="Arial" w:cs="Arial" w:eastAsia="Arial" w:hAnsi="Arial"/>
                <w:b w:val="false"/>
                <w:bCs w:val="false"/>
                <w:sz w:val="18"/>
                <w:szCs w:val="18"/>
              </w:rPr>
              <w:t xml:space="preserve">, otherwise every transfer in the new year fails (see section 4.10, E7)</w:t>
            </w:r>
          </w:p>
        </w:tc>
      </w:tr>
      <w:tr>
        <w:trPr>
          <w:tblHeader w:val="false"/>
        </w:trPr>
        <w:tc>
          <w:tcPr>
            <w:tcW w:type="dxa" w:w="4800"/>
            <w:tcMar>
              <w:top w:type="dxa" w:w="60"/>
              <w:left w:type="dxa" w:w="100"/>
              <w:bottom w:type="dxa" w:w="60"/>
              <w:right w:type="dxa" w:w="100"/>
            </w:tcMar>
          </w:tcPr>
          <w:p>
            <w:pPr>
              <w:spacing w:after="40" w:before="0"/>
            </w:pPr>
            <w:r>
              <w:rPr>
                <w:rFonts w:ascii="Consolas" w:cs="Consolas" w:eastAsia="Consolas" w:hAnsi="Consolas"/>
                <w:b w:val="false"/>
                <w:bCs w:val="false"/>
                <w:sz w:val="18"/>
                <w:szCs w:val="18"/>
              </w:rPr>
              <w:t xml:space="preserve">ZMM_301_MOV_LOG</w:t>
            </w:r>
            <w:r>
              <w:rPr>
                <w:rFonts w:ascii="Arial" w:cs="Arial" w:eastAsia="Arial" w:hAnsi="Arial"/>
                <w:b w:val="false"/>
                <w:bCs w:val="false"/>
                <w:sz w:val="18"/>
                <w:szCs w:val="18"/>
              </w:rPr>
              <w:t xml:space="preserve"> / </w:t>
            </w:r>
            <w:r>
              <w:rPr>
                <w:rFonts w:ascii="Consolas" w:cs="Consolas" w:eastAsia="Consolas" w:hAnsi="Consolas"/>
                <w:b w:val="false"/>
                <w:bCs w:val="false"/>
                <w:sz w:val="18"/>
                <w:szCs w:val="18"/>
              </w:rPr>
              <w:t xml:space="preserve">ZMM_301_MOV_RUN_LOG</w:t>
            </w:r>
          </w:p>
        </w:tc>
        <w:tc>
          <w:tcPr>
            <w:tcW w:type="dxa" w:w="49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No maintenance transaction – written by the code, displayed through ZMM301M and SLG1, reorganised by the housekeeping report</w:t>
            </w:r>
          </w:p>
        </w:tc>
      </w:tr>
    </w:tbl>
    <w:p>
      <w:pPr>
        <w:pStyle w:val="Heading4"/>
        <w:spacing w:after="120" w:before="240"/>
      </w:pPr>
      <w:r>
        <w:rPr>
          <w:rFonts w:ascii="Arial" w:cs="Arial" w:eastAsia="Arial" w:hAnsi="Arial"/>
          <w:b/>
          <w:bCs/>
          <w:color w:val="005B9A"/>
          <w:sz w:val="21"/>
          <w:szCs w:val="21"/>
        </w:rPr>
        <w:t xml:space="preserve">5.3.2.2 BRF+</w:t>
      </w:r>
    </w:p>
    <w:tbl>
      <w:tblPr>
        <w:tblW w:type="dxa" w:w="9700"/>
        <w:tblBorders>
          <w:top w:val="single" w:color="AAB4BE" w:sz="4"/>
          <w:left w:val="single" w:color="AAB4BE" w:sz="4"/>
          <w:bottom w:val="single" w:color="AAB4BE" w:sz="4"/>
          <w:right w:val="single" w:color="AAB4BE" w:sz="4"/>
          <w:insideH w:val="single" w:color="AAB4BE" w:sz="4"/>
          <w:insideV w:val="single" w:color="AAB4BE" w:sz="4"/>
        </w:tblBorders>
      </w:tblPr>
      <w:tblGrid>
        <w:gridCol w:w="2600"/>
        <w:gridCol w:w="3900"/>
        <w:gridCol w:w="3200"/>
      </w:tblGrid>
      <w:tr>
        <w:trPr>
          <w:tblHeader/>
        </w:trPr>
        <w:tc>
          <w:tcPr>
            <w:tcW w:type="dxa" w:w="26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Component</w:t>
            </w:r>
          </w:p>
        </w:tc>
        <w:tc>
          <w:tcPr>
            <w:tcW w:type="dxa" w:w="39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Description</w:t>
            </w:r>
          </w:p>
        </w:tc>
        <w:tc>
          <w:tcPr>
            <w:tcW w:type="dxa" w:w="32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Technical name</w:t>
            </w:r>
          </w:p>
        </w:tc>
      </w:tr>
      <w:tr>
        <w:trPr>
          <w:tblHeader w:val="false"/>
        </w:trPr>
        <w:tc>
          <w:tcPr>
            <w:tcW w:type="dxa" w:w="26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BRF+ Application</w:t>
            </w:r>
          </w:p>
        </w:tc>
        <w:tc>
          <w:tcPr>
            <w:tcW w:type="dxa" w:w="39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N/A</w:t>
            </w:r>
          </w:p>
        </w:tc>
        <w:tc>
          <w:tcPr>
            <w:tcW w:type="dxa" w:w="3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N/A</w:t>
            </w:r>
          </w:p>
        </w:tc>
      </w:tr>
      <w:tr>
        <w:trPr>
          <w:tblHeader w:val="false"/>
        </w:trPr>
        <w:tc>
          <w:tcPr>
            <w:tcW w:type="dxa" w:w="26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BRF+ Function ID</w:t>
            </w:r>
          </w:p>
        </w:tc>
        <w:tc>
          <w:tcPr>
            <w:tcW w:type="dxa" w:w="39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N/A</w:t>
            </w:r>
          </w:p>
        </w:tc>
        <w:tc>
          <w:tcPr>
            <w:tcW w:type="dxa" w:w="3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N/A</w:t>
            </w:r>
          </w:p>
        </w:tc>
      </w:tr>
      <w:tr>
        <w:trPr>
          <w:tblHeader w:val="false"/>
        </w:trPr>
        <w:tc>
          <w:tcPr>
            <w:tcW w:type="dxa" w:w="26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BRF+ Decision Table</w:t>
            </w:r>
          </w:p>
        </w:tc>
        <w:tc>
          <w:tcPr>
            <w:tcW w:type="dxa" w:w="39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N/A</w:t>
            </w:r>
          </w:p>
        </w:tc>
        <w:tc>
          <w:tcPr>
            <w:tcW w:type="dxa" w:w="3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N/A</w:t>
            </w:r>
          </w:p>
        </w:tc>
      </w:tr>
    </w:tbl>
    <w:p>
      <w:pPr>
        <w:pStyle w:val="Heading4"/>
        <w:spacing w:after="120" w:before="240"/>
      </w:pPr>
      <w:r>
        <w:rPr>
          <w:rFonts w:ascii="Arial" w:cs="Arial" w:eastAsia="Arial" w:hAnsi="Arial"/>
          <w:b/>
          <w:bCs/>
          <w:color w:val="005B9A"/>
          <w:sz w:val="21"/>
          <w:szCs w:val="21"/>
        </w:rPr>
        <w:t xml:space="preserve">5.3.2.3 Switch Table</w:t>
      </w:r>
    </w:p>
    <w:tbl>
      <w:tblPr>
        <w:tblW w:type="dxa" w:w="9700"/>
        <w:tblBorders>
          <w:top w:val="single" w:color="AAB4BE" w:sz="4"/>
          <w:left w:val="single" w:color="AAB4BE" w:sz="4"/>
          <w:bottom w:val="single" w:color="AAB4BE" w:sz="4"/>
          <w:right w:val="single" w:color="AAB4BE" w:sz="4"/>
          <w:insideH w:val="single" w:color="AAB4BE" w:sz="4"/>
          <w:insideV w:val="single" w:color="AAB4BE" w:sz="4"/>
        </w:tblBorders>
      </w:tblPr>
      <w:tblGrid>
        <w:gridCol w:w="3200"/>
        <w:gridCol w:w="3200"/>
        <w:gridCol w:w="3300"/>
      </w:tblGrid>
      <w:tr>
        <w:trPr>
          <w:tblHeader/>
        </w:trPr>
        <w:tc>
          <w:tcPr>
            <w:tcW w:type="dxa" w:w="32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Table name</w:t>
            </w:r>
          </w:p>
        </w:tc>
        <w:tc>
          <w:tcPr>
            <w:tcW w:type="dxa" w:w="32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Variable name / Sequence field</w:t>
            </w:r>
          </w:p>
        </w:tc>
        <w:tc>
          <w:tcPr>
            <w:tcW w:type="dxa" w:w="33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Custom switch</w:t>
            </w:r>
          </w:p>
        </w:tc>
      </w:tr>
      <w:tr>
        <w:trPr>
          <w:tblHeader w:val="false"/>
        </w:trPr>
        <w:tc>
          <w:tcPr>
            <w:tcW w:type="dxa" w:w="3200"/>
            <w:tcMar>
              <w:top w:type="dxa" w:w="60"/>
              <w:left w:type="dxa" w:w="100"/>
              <w:bottom w:type="dxa" w:w="60"/>
              <w:right w:type="dxa" w:w="100"/>
            </w:tcMar>
          </w:tcPr>
          <w:p>
            <w:pPr>
              <w:spacing w:after="40" w:before="0"/>
            </w:pPr>
            <w:r>
              <w:rPr>
                <w:rFonts w:ascii="Consolas" w:cs="Consolas" w:eastAsia="Consolas" w:hAnsi="Consolas"/>
                <w:b w:val="false"/>
                <w:bCs w:val="false"/>
                <w:sz w:val="18"/>
                <w:szCs w:val="18"/>
              </w:rPr>
              <w:t xml:space="preserve">ZMM_301_CTRL</w:t>
            </w:r>
          </w:p>
        </w:tc>
        <w:tc>
          <w:tcPr>
            <w:tcW w:type="dxa" w:w="3200"/>
            <w:tcMar>
              <w:top w:type="dxa" w:w="60"/>
              <w:left w:type="dxa" w:w="100"/>
              <w:bottom w:type="dxa" w:w="60"/>
              <w:right w:type="dxa" w:w="100"/>
            </w:tcMar>
          </w:tcPr>
          <w:p>
            <w:pPr>
              <w:spacing w:after="40" w:before="0"/>
            </w:pPr>
            <w:r>
              <w:rPr>
                <w:rFonts w:ascii="Consolas" w:cs="Consolas" w:eastAsia="Consolas" w:hAnsi="Consolas"/>
                <w:b w:val="false"/>
                <w:bCs w:val="false"/>
                <w:sz w:val="18"/>
                <w:szCs w:val="18"/>
              </w:rPr>
              <w:t xml:space="preserve">ACTIVE</w:t>
            </w:r>
            <w:r>
              <w:rPr>
                <w:rFonts w:ascii="Arial" w:cs="Arial" w:eastAsia="Arial" w:hAnsi="Arial"/>
                <w:b w:val="false"/>
                <w:bCs w:val="false"/>
                <w:sz w:val="18"/>
                <w:szCs w:val="18"/>
              </w:rPr>
              <w:t xml:space="preserve"> – key MANDT, WERKS_FR, WERKS_TO</w:t>
            </w:r>
          </w:p>
        </w:tc>
        <w:tc>
          <w:tcPr>
            <w:tcW w:type="dxa" w:w="3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Yes. This is the migration switch for the whole solution and it is checked twice: by the trigger, so that no unit is registered while the automation is off, and again by the posting function, so that a unit registered before the switch was flipped does not post afterwards.</w:t>
            </w:r>
          </w:p>
        </w:tc>
      </w:tr>
      <w:tr>
        <w:trPr>
          <w:tblHeader w:val="false"/>
        </w:trPr>
        <w:tc>
          <w:tcPr>
            <w:tcW w:type="dxa" w:w="3200"/>
            <w:tcMar>
              <w:top w:type="dxa" w:w="60"/>
              <w:left w:type="dxa" w:w="100"/>
              <w:bottom w:type="dxa" w:w="60"/>
              <w:right w:type="dxa" w:w="100"/>
            </w:tcMar>
          </w:tcPr>
          <w:p>
            <w:pPr>
              <w:spacing w:after="40" w:before="0"/>
            </w:pPr>
            <w:r>
              <w:rPr>
                <w:rFonts w:ascii="Consolas" w:cs="Consolas" w:eastAsia="Consolas" w:hAnsi="Consolas"/>
                <w:b w:val="false"/>
                <w:bCs w:val="false"/>
                <w:sz w:val="18"/>
                <w:szCs w:val="18"/>
              </w:rPr>
              <w:t xml:space="preserve">ZMM_301_CTRL</w:t>
            </w:r>
          </w:p>
        </w:tc>
        <w:tc>
          <w:tcPr>
            <w:tcW w:type="dxa" w:w="3200"/>
            <w:tcMar>
              <w:top w:type="dxa" w:w="60"/>
              <w:left w:type="dxa" w:w="100"/>
              <w:bottom w:type="dxa" w:w="60"/>
              <w:right w:type="dxa" w:w="100"/>
            </w:tcMar>
          </w:tcPr>
          <w:p>
            <w:pPr>
              <w:spacing w:after="40" w:before="0"/>
            </w:pPr>
            <w:r>
              <w:rPr>
                <w:rFonts w:ascii="Consolas" w:cs="Consolas" w:eastAsia="Consolas" w:hAnsi="Consolas"/>
                <w:b w:val="false"/>
                <w:bCs w:val="false"/>
                <w:sz w:val="18"/>
                <w:szCs w:val="18"/>
              </w:rPr>
              <w:t xml:space="preserve">VALID_FROM</w:t>
            </w:r>
            <w:r>
              <w:rPr>
                <w:rFonts w:ascii="Arial" w:cs="Arial" w:eastAsia="Arial" w:hAnsi="Arial"/>
                <w:b w:val="false"/>
                <w:bCs w:val="false"/>
                <w:sz w:val="18"/>
                <w:szCs w:val="18"/>
              </w:rPr>
              <w:t xml:space="preserve"> / </w:t>
            </w:r>
            <w:r>
              <w:rPr>
                <w:rFonts w:ascii="Consolas" w:cs="Consolas" w:eastAsia="Consolas" w:hAnsi="Consolas"/>
                <w:b w:val="false"/>
                <w:bCs w:val="false"/>
                <w:sz w:val="18"/>
                <w:szCs w:val="18"/>
              </w:rPr>
              <w:t xml:space="preserve">VALID_TO</w:t>
            </w:r>
          </w:p>
        </w:tc>
        <w:tc>
          <w:tcPr>
            <w:tcW w:type="dxa" w:w="3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Optional activation window. The posting date of the goods receipt must fall inside it for the item to qualify, which allows the automation to be scoped to the migration period without being switched off by hand.</w:t>
            </w:r>
          </w:p>
        </w:tc>
      </w:tr>
      <w:tr>
        <w:trPr>
          <w:tblHeader w:val="false"/>
        </w:trPr>
        <w:tc>
          <w:tcPr>
            <w:tcW w:type="dxa" w:w="3200"/>
            <w:tcMar>
              <w:top w:type="dxa" w:w="60"/>
              <w:left w:type="dxa" w:w="100"/>
              <w:bottom w:type="dxa" w:w="60"/>
              <w:right w:type="dxa" w:w="100"/>
            </w:tcMar>
          </w:tcPr>
          <w:p>
            <w:pPr>
              <w:spacing w:after="40" w:before="0"/>
            </w:pPr>
            <w:r>
              <w:rPr>
                <w:rFonts w:ascii="Consolas" w:cs="Consolas" w:eastAsia="Consolas" w:hAnsi="Consolas"/>
                <w:b w:val="false"/>
                <w:bCs w:val="false"/>
                <w:sz w:val="18"/>
                <w:szCs w:val="18"/>
              </w:rPr>
              <w:t xml:space="preserve">ZMM_301_CTRL</w:t>
            </w:r>
          </w:p>
        </w:tc>
        <w:tc>
          <w:tcPr>
            <w:tcW w:type="dxa" w:w="3200"/>
            <w:tcMar>
              <w:top w:type="dxa" w:w="60"/>
              <w:left w:type="dxa" w:w="100"/>
              <w:bottom w:type="dxa" w:w="60"/>
              <w:right w:type="dxa" w:w="100"/>
            </w:tcMar>
          </w:tcPr>
          <w:p>
            <w:pPr>
              <w:spacing w:after="40" w:before="0"/>
            </w:pPr>
            <w:r>
              <w:rPr>
                <w:rFonts w:ascii="Consolas" w:cs="Consolas" w:eastAsia="Consolas" w:hAnsi="Consolas"/>
                <w:b w:val="false"/>
                <w:bCs w:val="false"/>
                <w:sz w:val="18"/>
                <w:szCs w:val="18"/>
              </w:rPr>
              <w:t xml:space="preserve">NO_RESV_ACTION</w:t>
            </w:r>
          </w:p>
        </w:tc>
        <w:tc>
          <w:tcPr>
            <w:tcW w:type="dxa" w:w="3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Not an on/off switch but a behaviour switch: P posts without a reservation reference, S skips. Default recorded as open item M4.</w:t>
            </w:r>
          </w:p>
        </w:tc>
      </w:tr>
    </w:tbl>
    <w:p>
      <w:pPr>
        <w:pStyle w:val="Heading4"/>
        <w:spacing w:after="120" w:before="240"/>
      </w:pPr>
      <w:r>
        <w:rPr>
          <w:rFonts w:ascii="Arial" w:cs="Arial" w:eastAsia="Arial" w:hAnsi="Arial"/>
          <w:b/>
          <w:bCs/>
          <w:color w:val="005B9A"/>
          <w:sz w:val="21"/>
          <w:szCs w:val="21"/>
        </w:rPr>
        <w:t xml:space="preserve">5.3.2.4 Configuration Prerequisites</w:t>
      </w:r>
    </w:p>
    <w:p>
      <w:pPr>
        <w:spacing w:after="100" w:before="0"/>
      </w:pPr>
      <w:r>
        <w:rPr>
          <w:rFonts w:ascii="Arial" w:cs="Arial" w:eastAsia="Arial" w:hAnsi="Arial"/>
          <w:sz w:val="18"/>
          <w:szCs w:val="18"/>
        </w:rPr>
        <w:t xml:space="preserve">Before the first productive posting: movement type 301, and 302 for the reversal, must be permitted between the two plants, which must belong to the same company code; the header material of every order in scope must exist in both plants; the receiving plant’s split valuation must be configured with one valuation type per fiscal year; </w:t>
      </w:r>
      <w:r>
        <w:rPr>
          <w:rFonts w:ascii="Consolas" w:cs="Consolas" w:eastAsia="Consolas" w:hAnsi="Consolas"/>
          <w:sz w:val="18"/>
          <w:szCs w:val="18"/>
        </w:rPr>
        <w:t xml:space="preserve">ZMM_301_VALTYPE</w:t>
      </w:r>
      <w:r>
        <w:rPr>
          <w:rFonts w:ascii="Arial" w:cs="Arial" w:eastAsia="Arial" w:hAnsi="Arial"/>
          <w:sz w:val="18"/>
          <w:szCs w:val="18"/>
        </w:rPr>
        <w:t xml:space="preserve"> must hold an active entry for every fiscal year in which receipts may be posted, and must be extended before each year change; </w:t>
      </w:r>
      <w:r>
        <w:rPr>
          <w:rFonts w:ascii="Consolas" w:cs="Consolas" w:eastAsia="Consolas" w:hAnsi="Consolas"/>
          <w:sz w:val="18"/>
          <w:szCs w:val="18"/>
        </w:rPr>
        <w:t xml:space="preserve">ZMM_301_CTRL</w:t>
      </w:r>
      <w:r>
        <w:rPr>
          <w:rFonts w:ascii="Arial" w:cs="Arial" w:eastAsia="Arial" w:hAnsi="Arial"/>
          <w:sz w:val="18"/>
          <w:szCs w:val="18"/>
        </w:rPr>
        <w:t xml:space="preserve"> must hold an active entry for the plant pair with the storage locations and the no-reservation behaviour agreed; the message class </w:t>
      </w:r>
      <w:r>
        <w:rPr>
          <w:rFonts w:ascii="Consolas" w:cs="Consolas" w:eastAsia="Consolas" w:hAnsi="Consolas"/>
          <w:sz w:val="18"/>
          <w:szCs w:val="18"/>
        </w:rPr>
        <w:t xml:space="preserve">ZMM301</w:t>
      </w:r>
      <w:r>
        <w:rPr>
          <w:rFonts w:ascii="Arial" w:cs="Arial" w:eastAsia="Arial" w:hAnsi="Arial"/>
          <w:sz w:val="18"/>
          <w:szCs w:val="18"/>
        </w:rPr>
        <w:t xml:space="preserve"> and the application-log object </w:t>
      </w:r>
      <w:r>
        <w:rPr>
          <w:rFonts w:ascii="Consolas" w:cs="Consolas" w:eastAsia="Consolas" w:hAnsi="Consolas"/>
          <w:sz w:val="18"/>
          <w:szCs w:val="18"/>
        </w:rPr>
        <w:t xml:space="preserve">ZMM</w:t>
      </w:r>
      <w:r>
        <w:rPr>
          <w:rFonts w:ascii="Arial" w:cs="Arial" w:eastAsia="Arial" w:hAnsi="Arial"/>
          <w:sz w:val="18"/>
          <w:szCs w:val="18"/>
        </w:rPr>
        <w:t xml:space="preserve"> / </w:t>
      </w:r>
      <w:r>
        <w:rPr>
          <w:rFonts w:ascii="Consolas" w:cs="Consolas" w:eastAsia="Consolas" w:hAnsi="Consolas"/>
          <w:sz w:val="18"/>
          <w:szCs w:val="18"/>
        </w:rPr>
        <w:t xml:space="preserve">Z301MOV</w:t>
      </w:r>
      <w:r>
        <w:rPr>
          <w:rFonts w:ascii="Arial" w:cs="Arial" w:eastAsia="Arial" w:hAnsi="Arial"/>
          <w:sz w:val="18"/>
          <w:szCs w:val="18"/>
        </w:rPr>
        <w:t xml:space="preserve"> must be active; the queue scheduler must be active and sized for the receipt volume; and the user context that executes the queued posting must carry the authorisations of section 4.13 – this is open item M7 and the posting fails without it.</w:t>
      </w:r>
    </w:p>
    <w:p>
      <w:pPr>
        <w:pStyle w:val="Heading2"/>
        <w:spacing w:after="120" w:before="240"/>
      </w:pPr>
      <w:r>
        <w:rPr>
          <w:rFonts w:ascii="Arial" w:cs="Arial" w:eastAsia="Arial" w:hAnsi="Arial"/>
          <w:b/>
          <w:bCs/>
          <w:color w:val="005B9A"/>
          <w:sz w:val="24"/>
          <w:szCs w:val="24"/>
        </w:rPr>
        <w:t xml:space="preserve">5.4 Error Handling, Correction and Recovery</w:t>
      </w:r>
    </w:p>
    <w:tbl>
      <w:tblPr>
        <w:tblW w:type="dxa" w:w="9700"/>
        <w:tblBorders>
          <w:top w:val="single" w:color="AAB4BE" w:sz="4"/>
          <w:left w:val="single" w:color="AAB4BE" w:sz="4"/>
          <w:bottom w:val="single" w:color="AAB4BE" w:sz="4"/>
          <w:right w:val="single" w:color="AAB4BE" w:sz="4"/>
          <w:insideH w:val="single" w:color="AAB4BE" w:sz="4"/>
          <w:insideV w:val="single" w:color="AAB4BE" w:sz="4"/>
        </w:tblBorders>
      </w:tblPr>
      <w:tblGrid>
        <w:gridCol w:w="2200"/>
        <w:gridCol w:w="2000"/>
        <w:gridCol w:w="2700"/>
        <w:gridCol w:w="2800"/>
      </w:tblGrid>
      <w:tr>
        <w:trPr>
          <w:tblHeader/>
        </w:trPr>
        <w:tc>
          <w:tcPr>
            <w:tcW w:type="dxa" w:w="22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Error / Exception</w:t>
            </w:r>
          </w:p>
        </w:tc>
        <w:tc>
          <w:tcPr>
            <w:tcW w:type="dxa" w:w="20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Message (class-no.)</w:t>
            </w:r>
          </w:p>
        </w:tc>
        <w:tc>
          <w:tcPr>
            <w:tcW w:type="dxa" w:w="27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System behaviour</w:t>
            </w:r>
          </w:p>
        </w:tc>
        <w:tc>
          <w:tcPr>
            <w:tcW w:type="dxa" w:w="28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Correction &amp; recovery</w:t>
            </w:r>
          </w:p>
        </w:tc>
      </w:tr>
      <w:tr>
        <w:trPr>
          <w:tblHeader w:val="false"/>
        </w:trPr>
        <w:tc>
          <w:tcPr>
            <w:tcW w:type="dxa" w:w="2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Transfer posting returns an error (any cause)</w:t>
            </w:r>
          </w:p>
        </w:tc>
        <w:tc>
          <w:tcPr>
            <w:tcW w:type="dxa" w:w="20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BAPI message, propagated; status E in the movement log</w:t>
            </w:r>
          </w:p>
        </w:tc>
        <w:tc>
          <w:tcPr>
            <w:tcW w:type="dxa" w:w="27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Only the transfer’s own unit of work is rolled back. </w:t>
            </w:r>
            <w:r>
              <w:rPr>
                <w:rFonts w:ascii="Arial" w:cs="Arial" w:eastAsia="Arial" w:hAnsi="Arial"/>
                <w:sz w:val="18"/>
                <w:szCs w:val="18"/>
                <w:b/>
                <w:bCs/>
              </w:rPr>
              <w:t xml:space="preserve">The goods receipt is already committed and is never affected.</w:t>
            </w:r>
            <w:r>
              <w:rPr>
                <w:rFonts w:ascii="Arial" w:cs="Arial" w:eastAsia="Arial" w:hAnsi="Arial"/>
                <w:b w:val="false"/>
                <w:bCs w:val="false"/>
                <w:sz w:val="18"/>
                <w:szCs w:val="18"/>
              </w:rPr>
              <w:t xml:space="preserve"> The failure is recorded against the source goods-receipt item.</w:t>
            </w:r>
          </w:p>
        </w:tc>
        <w:tc>
          <w:tcPr>
            <w:tcW w:type="dxa" w:w="28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Repost from ZMM301M once the cause is fixed. The repost is idempotent, so it may be run repeatedly. The companion object independently reports the same receipt as drift.</w:t>
            </w:r>
          </w:p>
        </w:tc>
      </w:tr>
      <w:tr>
        <w:trPr>
          <w:tblHeader w:val="false"/>
        </w:trPr>
        <w:tc>
          <w:tcPr>
            <w:tcW w:type="dxa" w:w="2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No valuation type for the resolved fiscal year</w:t>
            </w:r>
          </w:p>
        </w:tc>
        <w:tc>
          <w:tcPr>
            <w:tcW w:type="dxa" w:w="2000"/>
            <w:tcMar>
              <w:top w:type="dxa" w:w="60"/>
              <w:left w:type="dxa" w:w="100"/>
              <w:bottom w:type="dxa" w:w="60"/>
              <w:right w:type="dxa" w:w="100"/>
            </w:tcMar>
          </w:tcPr>
          <w:p>
            <w:pPr>
              <w:spacing w:after="40" w:before="0"/>
            </w:pPr>
            <w:r>
              <w:rPr>
                <w:rFonts w:ascii="Consolas" w:cs="Consolas" w:eastAsia="Consolas" w:hAnsi="Consolas"/>
                <w:b w:val="false"/>
                <w:bCs w:val="false"/>
                <w:sz w:val="18"/>
                <w:szCs w:val="18"/>
              </w:rPr>
              <w:t xml:space="preserve">ZMM301</w:t>
            </w:r>
            <w:r>
              <w:rPr>
                <w:rFonts w:ascii="Arial" w:cs="Arial" w:eastAsia="Arial" w:hAnsi="Arial"/>
                <w:b w:val="false"/>
                <w:bCs w:val="false"/>
                <w:sz w:val="18"/>
                <w:szCs w:val="18"/>
              </w:rPr>
              <w:t xml:space="preserve"> – error naming the fiscal year; status E</w:t>
            </w:r>
          </w:p>
        </w:tc>
        <w:tc>
          <w:tcPr>
            <w:tcW w:type="dxa" w:w="27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Nothing is posted. No valuation type is defaulted or guessed.</w:t>
            </w:r>
          </w:p>
        </w:tc>
        <w:tc>
          <w:tcPr>
            <w:tcW w:type="dxa" w:w="28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Maintain </w:t>
            </w:r>
            <w:r>
              <w:rPr>
                <w:rFonts w:ascii="Consolas" w:cs="Consolas" w:eastAsia="Consolas" w:hAnsi="Consolas"/>
                <w:b w:val="false"/>
                <w:bCs w:val="false"/>
                <w:sz w:val="18"/>
                <w:szCs w:val="18"/>
              </w:rPr>
              <w:t xml:space="preserve">ZMM_301_VALTYPE</w:t>
            </w:r>
            <w:r>
              <w:rPr>
                <w:rFonts w:ascii="Arial" w:cs="Arial" w:eastAsia="Arial" w:hAnsi="Arial"/>
                <w:b w:val="false"/>
                <w:bCs w:val="false"/>
                <w:sz w:val="18"/>
                <w:szCs w:val="18"/>
              </w:rPr>
              <w:t xml:space="preserve"> for the year, then repost the affected receipts. To prevent it, extend the table before each year change.</w:t>
            </w:r>
          </w:p>
        </w:tc>
      </w:tr>
      <w:tr>
        <w:trPr>
          <w:tblHeader w:val="false"/>
        </w:trPr>
        <w:tc>
          <w:tcPr>
            <w:tcW w:type="dxa" w:w="2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No reservation found for the order</w:t>
            </w:r>
          </w:p>
        </w:tc>
        <w:tc>
          <w:tcPr>
            <w:tcW w:type="dxa" w:w="2000"/>
            <w:tcMar>
              <w:top w:type="dxa" w:w="60"/>
              <w:left w:type="dxa" w:w="100"/>
              <w:bottom w:type="dxa" w:w="60"/>
              <w:right w:type="dxa" w:w="100"/>
            </w:tcMar>
          </w:tcPr>
          <w:p>
            <w:pPr>
              <w:spacing w:after="40" w:before="0"/>
            </w:pPr>
            <w:r>
              <w:rPr>
                <w:rFonts w:ascii="Consolas" w:cs="Consolas" w:eastAsia="Consolas" w:hAnsi="Consolas"/>
                <w:b w:val="false"/>
                <w:bCs w:val="false"/>
                <w:sz w:val="18"/>
                <w:szCs w:val="18"/>
              </w:rPr>
              <w:t xml:space="preserve">ZMM301</w:t>
            </w:r>
            <w:r>
              <w:rPr>
                <w:rFonts w:ascii="Arial" w:cs="Arial" w:eastAsia="Arial" w:hAnsi="Arial"/>
                <w:b w:val="false"/>
                <w:bCs w:val="false"/>
                <w:sz w:val="18"/>
                <w:szCs w:val="18"/>
              </w:rPr>
              <w:t xml:space="preserve"> – warning; status W</w:t>
            </w:r>
          </w:p>
        </w:tc>
        <w:tc>
          <w:tcPr>
            <w:tcW w:type="dxa" w:w="27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Per </w:t>
            </w:r>
            <w:r>
              <w:rPr>
                <w:rFonts w:ascii="Consolas" w:cs="Consolas" w:eastAsia="Consolas" w:hAnsi="Consolas"/>
                <w:b w:val="false"/>
                <w:bCs w:val="false"/>
                <w:sz w:val="18"/>
                <w:szCs w:val="18"/>
              </w:rPr>
              <w:t xml:space="preserve">NO_RESV_ACTION</w:t>
            </w:r>
            <w:r>
              <w:rPr>
                <w:rFonts w:ascii="Arial" w:cs="Arial" w:eastAsia="Arial" w:hAnsi="Arial"/>
                <w:b w:val="false"/>
                <w:bCs w:val="false"/>
                <w:sz w:val="18"/>
                <w:szCs w:val="18"/>
              </w:rPr>
              <w:t xml:space="preserve">: post without a reference, or skip.</w:t>
            </w:r>
          </w:p>
        </w:tc>
        <w:tc>
          <w:tcPr>
            <w:tcW w:type="dxa" w:w="28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Usually self-healing – the companion object creates the reservation on its next run and the repost or catch-up then transfers the receipt.</w:t>
            </w:r>
          </w:p>
        </w:tc>
      </w:tr>
      <w:tr>
        <w:trPr>
          <w:tblHeader w:val="false"/>
        </w:trPr>
        <w:tc>
          <w:tcPr>
            <w:tcW w:type="dxa" w:w="2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Queued unit never executed (scheduler stopped, queue blocked)</w:t>
            </w:r>
          </w:p>
        </w:tc>
        <w:tc>
          <w:tcPr>
            <w:tcW w:type="dxa" w:w="20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No log row at all for the receipt</w:t>
            </w:r>
          </w:p>
        </w:tc>
        <w:tc>
          <w:tcPr>
            <w:tcW w:type="dxa" w:w="27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The real-time path is silent by definition: nothing was posted and nothing was logged.</w:t>
            </w:r>
          </w:p>
        </w:tc>
        <w:tc>
          <w:tcPr>
            <w:tcW w:type="dxa" w:w="28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Restart the scheduler and clear the queue, then run the catch-up mode of ZMM301M for the affected period. The companion object’s drift check is the independent detection path.</w:t>
            </w:r>
          </w:p>
        </w:tc>
      </w:tr>
      <w:tr>
        <w:trPr>
          <w:tblHeader w:val="false"/>
        </w:trPr>
        <w:tc>
          <w:tcPr>
            <w:tcW w:type="dxa" w:w="2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Reversal with no original transfer</w:t>
            </w:r>
          </w:p>
        </w:tc>
        <w:tc>
          <w:tcPr>
            <w:tcW w:type="dxa" w:w="2000"/>
            <w:tcMar>
              <w:top w:type="dxa" w:w="60"/>
              <w:left w:type="dxa" w:w="100"/>
              <w:bottom w:type="dxa" w:w="60"/>
              <w:right w:type="dxa" w:w="100"/>
            </w:tcMar>
          </w:tcPr>
          <w:p>
            <w:pPr>
              <w:spacing w:after="40" w:before="0"/>
            </w:pPr>
            <w:r>
              <w:rPr>
                <w:rFonts w:ascii="Consolas" w:cs="Consolas" w:eastAsia="Consolas" w:hAnsi="Consolas"/>
                <w:b w:val="false"/>
                <w:bCs w:val="false"/>
                <w:sz w:val="18"/>
                <w:szCs w:val="18"/>
              </w:rPr>
              <w:t xml:space="preserve">ZMM301</w:t>
            </w:r>
            <w:r>
              <w:rPr>
                <w:rFonts w:ascii="Arial" w:cs="Arial" w:eastAsia="Arial" w:hAnsi="Arial"/>
                <w:b w:val="false"/>
                <w:bCs w:val="false"/>
                <w:sz w:val="18"/>
                <w:szCs w:val="18"/>
              </w:rPr>
              <w:t xml:space="preserve"> – warning</w:t>
            </w:r>
          </w:p>
        </w:tc>
        <w:tc>
          <w:tcPr>
            <w:tcW w:type="dxa" w:w="27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No reversal is posted.</w:t>
            </w:r>
          </w:p>
        </w:tc>
        <w:tc>
          <w:tcPr>
            <w:tcW w:type="dxa" w:w="28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None required; verify the original receipt was genuinely never transferred.</w:t>
            </w:r>
          </w:p>
        </w:tc>
      </w:tr>
      <w:tr>
        <w:trPr>
          <w:tblHeader w:val="false"/>
        </w:trPr>
        <w:tc>
          <w:tcPr>
            <w:tcW w:type="dxa" w:w="2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Reversal where the transferred stock has already moved on in the receiving plant</w:t>
            </w:r>
          </w:p>
        </w:tc>
        <w:tc>
          <w:tcPr>
            <w:tcW w:type="dxa" w:w="20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BAPI message on the cancellation</w:t>
            </w:r>
          </w:p>
        </w:tc>
        <w:tc>
          <w:tcPr>
            <w:tcW w:type="dxa" w:w="27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The cancellation fails and is logged; nothing is posted.</w:t>
            </w:r>
          </w:p>
        </w:tc>
        <w:tc>
          <w:tcPr>
            <w:tcW w:type="dxa" w:w="28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Manual correction in the receiving plant, then a manual transfer posting if needed. Flagged for review rather than auto-reversed – open item M5.</w:t>
            </w:r>
          </w:p>
        </w:tc>
      </w:tr>
      <w:tr>
        <w:trPr>
          <w:tblHeader w:val="false"/>
        </w:trPr>
        <w:tc>
          <w:tcPr>
            <w:tcW w:type="dxa" w:w="2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Duplicate request for a receipt already transferred</w:t>
            </w:r>
          </w:p>
        </w:tc>
        <w:tc>
          <w:tcPr>
            <w:tcW w:type="dxa" w:w="20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Logged as an idempotent skip</w:t>
            </w:r>
          </w:p>
        </w:tc>
        <w:tc>
          <w:tcPr>
            <w:tcW w:type="dxa" w:w="27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Nothing is posted.</w:t>
            </w:r>
          </w:p>
        </w:tc>
        <w:tc>
          <w:tcPr>
            <w:tcW w:type="dxa" w:w="28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None required. This is the designed protection against a re-fired event, a queue retry or an overlapping repost.</w:t>
            </w:r>
          </w:p>
        </w:tc>
      </w:tr>
    </w:tbl>
    <w:p>
      <w:pPr>
        <w:pStyle w:val="Heading2"/>
        <w:spacing w:after="120" w:before="240"/>
      </w:pPr>
      <w:r>
        <w:rPr>
          <w:rFonts w:ascii="Arial" w:cs="Arial" w:eastAsia="Arial" w:hAnsi="Arial"/>
          <w:b/>
          <w:bCs/>
          <w:color w:val="005B9A"/>
          <w:sz w:val="24"/>
          <w:szCs w:val="24"/>
        </w:rPr>
        <w:t xml:space="preserve">5.5 Operations and Support</w:t>
      </w:r>
    </w:p>
    <w:tbl>
      <w:tblPr>
        <w:tblW w:type="dxa" w:w="9700"/>
        <w:tblBorders>
          <w:top w:val="single" w:color="AAB4BE" w:sz="4"/>
          <w:left w:val="single" w:color="AAB4BE" w:sz="4"/>
          <w:bottom w:val="single" w:color="AAB4BE" w:sz="4"/>
          <w:right w:val="single" w:color="AAB4BE" w:sz="4"/>
          <w:insideH w:val="single" w:color="AAB4BE" w:sz="4"/>
          <w:insideV w:val="single" w:color="AAB4BE" w:sz="4"/>
        </w:tblBorders>
      </w:tblPr>
      <w:tblGrid>
        <w:gridCol w:w="3400"/>
        <w:gridCol w:w="6300"/>
      </w:tblGrid>
      <w:tr>
        <w:tc>
          <w:tcPr>
            <w:tcW w:type="dxa" w:w="34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Monitoring</w:t>
            </w:r>
          </w:p>
        </w:tc>
        <w:tc>
          <w:tcPr>
            <w:tcW w:type="dxa" w:w="6300"/>
            <w:tcMar>
              <w:top w:type="dxa" w:w="60"/>
              <w:left w:type="dxa" w:w="100"/>
              <w:bottom w:type="dxa" w:w="60"/>
              <w:right w:type="dxa" w:w="100"/>
            </w:tcMar>
          </w:tcPr>
          <w:p>
            <w:pPr>
              <w:spacing w:after="40" w:before="0"/>
            </w:pPr>
            <w:r>
              <w:rPr>
                <w:rFonts w:ascii="Arial" w:cs="Arial" w:eastAsia="Arial" w:hAnsi="Arial"/>
                <w:sz w:val="18"/>
                <w:szCs w:val="18"/>
              </w:rPr>
              <w:t xml:space="preserve">Transaction </w:t>
            </w:r>
            <w:r>
              <w:rPr>
                <w:rFonts w:ascii="Consolas" w:cs="Consolas" w:eastAsia="Consolas" w:hAnsi="Consolas"/>
                <w:sz w:val="18"/>
                <w:szCs w:val="18"/>
              </w:rPr>
              <w:t xml:space="preserve">ZMM301M</w:t>
            </w:r>
            <w:r>
              <w:rPr>
                <w:rFonts w:ascii="Arial" w:cs="Arial" w:eastAsia="Arial" w:hAnsi="Arial"/>
                <w:sz w:val="18"/>
                <w:szCs w:val="18"/>
              </w:rPr>
              <w:t xml:space="preserve"> in monitor mode is the primary tool: it shows every goods receipt in a period with the status of its transfer. Beyond it: SLG1 for the application log, the queue monitor for units that have not been processed, and SM37 for the catch-up job. The companion object’s drift count is an independent second signal that transfers are being missed.</w:t>
            </w:r>
          </w:p>
        </w:tc>
      </w:tr>
      <w:tr>
        <w:tc>
          <w:tcPr>
            <w:tcW w:type="dxa" w:w="34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Application log / object</w:t>
            </w:r>
          </w:p>
        </w:tc>
        <w:tc>
          <w:tcPr>
            <w:tcW w:type="dxa" w:w="6300"/>
            <w:tcMar>
              <w:top w:type="dxa" w:w="60"/>
              <w:left w:type="dxa" w:w="100"/>
              <w:bottom w:type="dxa" w:w="60"/>
              <w:right w:type="dxa" w:w="100"/>
            </w:tcMar>
          </w:tcPr>
          <w:p>
            <w:pPr>
              <w:spacing w:after="40" w:before="0"/>
            </w:pPr>
            <w:r>
              <w:rPr>
                <w:rFonts w:ascii="Arial" w:cs="Arial" w:eastAsia="Arial" w:hAnsi="Arial"/>
                <w:sz w:val="18"/>
                <w:szCs w:val="18"/>
              </w:rPr>
              <w:t xml:space="preserve">Object </w:t>
            </w:r>
            <w:r>
              <w:rPr>
                <w:rFonts w:ascii="Consolas" w:cs="Consolas" w:eastAsia="Consolas" w:hAnsi="Consolas"/>
                <w:sz w:val="18"/>
                <w:szCs w:val="18"/>
              </w:rPr>
              <w:t xml:space="preserve">ZMM</w:t>
            </w:r>
            <w:r>
              <w:rPr>
                <w:rFonts w:ascii="Arial" w:cs="Arial" w:eastAsia="Arial" w:hAnsi="Arial"/>
                <w:sz w:val="18"/>
                <w:szCs w:val="18"/>
              </w:rPr>
              <w:t xml:space="preserve">, subobject </w:t>
            </w:r>
            <w:r>
              <w:rPr>
                <w:rFonts w:ascii="Consolas" w:cs="Consolas" w:eastAsia="Consolas" w:hAnsi="Consolas"/>
                <w:sz w:val="18"/>
                <w:szCs w:val="18"/>
              </w:rPr>
              <w:t xml:space="preserve">Z301MOV</w:t>
            </w:r>
            <w:r>
              <w:rPr>
                <w:rFonts w:ascii="Arial" w:cs="Arial" w:eastAsia="Arial" w:hAnsi="Arial"/>
                <w:sz w:val="18"/>
                <w:szCs w:val="18"/>
              </w:rPr>
              <w:t xml:space="preserve">, written by both the real-time posting and the monitor runs. The log number is stored in </w:t>
            </w:r>
            <w:r>
              <w:rPr>
                <w:rFonts w:ascii="Consolas" w:cs="Consolas" w:eastAsia="Consolas" w:hAnsi="Consolas"/>
                <w:sz w:val="18"/>
                <w:szCs w:val="18"/>
              </w:rPr>
              <w:t xml:space="preserve">ZMM_301_MOV_RUN_LOG-BALLOGNR</w:t>
            </w:r>
            <w:r>
              <w:rPr>
                <w:rFonts w:ascii="Arial" w:cs="Arial" w:eastAsia="Arial" w:hAnsi="Arial"/>
                <w:sz w:val="18"/>
                <w:szCs w:val="18"/>
              </w:rPr>
              <w:t xml:space="preserve"> for the batch runs.</w:t>
            </w:r>
          </w:p>
        </w:tc>
      </w:tr>
      <w:tr>
        <w:tc>
          <w:tcPr>
            <w:tcW w:type="dxa" w:w="34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Support team</w:t>
            </w:r>
          </w:p>
        </w:tc>
        <w:tc>
          <w:tcPr>
            <w:tcW w:type="dxa" w:w="6300"/>
            <w:tcMar>
              <w:top w:type="dxa" w:w="60"/>
              <w:left w:type="dxa" w:w="100"/>
              <w:bottom w:type="dxa" w:w="60"/>
              <w:right w:type="dxa" w:w="100"/>
            </w:tcMar>
          </w:tcPr>
          <w:p>
            <w:pPr>
              <w:spacing w:after="40" w:before="0"/>
            </w:pPr>
            <w:r>
              <w:rPr>
                <w:rFonts w:ascii="Arial" w:cs="Arial" w:eastAsia="Arial" w:hAnsi="Arial"/>
                <w:sz w:val="18"/>
                <w:szCs w:val="18"/>
              </w:rPr>
              <w:t xml:space="preserve">To be confirmed – proposed: MM application support for the transfers and the configuration tables, the ABAP team for the queue and the trigger, and FI for the fiscal-year valuation types.</w:t>
            </w:r>
          </w:p>
        </w:tc>
      </w:tr>
      <w:tr>
        <w:tc>
          <w:tcPr>
            <w:tcW w:type="dxa" w:w="34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Restart procedure</w:t>
            </w:r>
          </w:p>
        </w:tc>
        <w:tc>
          <w:tcPr>
            <w:tcW w:type="dxa" w:w="6300"/>
            <w:tcMar>
              <w:top w:type="dxa" w:w="60"/>
              <w:left w:type="dxa" w:w="100"/>
              <w:bottom w:type="dxa" w:w="60"/>
              <w:right w:type="dxa" w:w="100"/>
            </w:tcMar>
          </w:tcPr>
          <w:p>
            <w:pPr>
              <w:spacing w:after="40" w:before="0"/>
            </w:pPr>
            <w:r>
              <w:rPr>
                <w:rFonts w:ascii="Arial" w:cs="Arial" w:eastAsia="Arial" w:hAnsi="Arial"/>
                <w:sz w:val="18"/>
                <w:szCs w:val="18"/>
              </w:rPr>
              <w:t xml:space="preserve">There is no state to repair. Every recovery is a repost through ZMM301M, which re-enters the same posting function and is protected by the idempotency check. For a period of missed postings, run the catch-up mode over that posting-date window. </w:t>
            </w:r>
            <w:r>
              <w:rPr>
                <w:rFonts w:ascii="Arial" w:cs="Arial" w:eastAsia="Arial" w:hAnsi="Arial"/>
                <w:sz w:val="18"/>
                <w:szCs w:val="18"/>
                <w:b/>
                <w:bCs/>
              </w:rPr>
              <w:t xml:space="preserve">Two operational reminders:</w:t>
            </w:r>
            <w:r>
              <w:rPr>
                <w:rFonts w:ascii="Arial" w:cs="Arial" w:eastAsia="Arial" w:hAnsi="Arial"/>
                <w:sz w:val="18"/>
                <w:szCs w:val="18"/>
              </w:rPr>
              <w:t xml:space="preserve"> keep the queue scheduler running, and extend </w:t>
            </w:r>
            <w:r>
              <w:rPr>
                <w:rFonts w:ascii="Consolas" w:cs="Consolas" w:eastAsia="Consolas" w:hAnsi="Consolas"/>
                <w:sz w:val="18"/>
                <w:szCs w:val="18"/>
              </w:rPr>
              <w:t xml:space="preserve">ZMM_301_VALTYPE</w:t>
            </w:r>
            <w:r>
              <w:rPr>
                <w:rFonts w:ascii="Arial" w:cs="Arial" w:eastAsia="Arial" w:hAnsi="Arial"/>
                <w:sz w:val="18"/>
                <w:szCs w:val="18"/>
              </w:rPr>
              <w:t xml:space="preserve"> before each fiscal year change.</w:t>
            </w:r>
          </w:p>
        </w:tc>
      </w:tr>
      <w:tr>
        <w:tc>
          <w:tcPr>
            <w:tcW w:type="dxa" w:w="34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Housekeeping / archiving</w:t>
            </w:r>
          </w:p>
        </w:tc>
        <w:tc>
          <w:tcPr>
            <w:tcW w:type="dxa" w:w="6300"/>
            <w:tcMar>
              <w:top w:type="dxa" w:w="60"/>
              <w:left w:type="dxa" w:w="100"/>
              <w:bottom w:type="dxa" w:w="60"/>
              <w:right w:type="dxa" w:w="100"/>
            </w:tcMar>
          </w:tcPr>
          <w:p>
            <w:pPr>
              <w:spacing w:after="40" w:before="0"/>
            </w:pPr>
            <w:r>
              <w:rPr>
                <w:rFonts w:ascii="Arial" w:cs="Arial" w:eastAsia="Arial" w:hAnsi="Arial"/>
                <w:sz w:val="18"/>
                <w:szCs w:val="18"/>
              </w:rPr>
              <w:t xml:space="preserve">A reorganisation report deletes </w:t>
            </w:r>
            <w:r>
              <w:rPr>
                <w:rFonts w:ascii="Consolas" w:cs="Consolas" w:eastAsia="Consolas" w:hAnsi="Consolas"/>
                <w:sz w:val="18"/>
                <w:szCs w:val="18"/>
              </w:rPr>
              <w:t xml:space="preserve">ZMM_301_MOV_LOG</w:t>
            </w:r>
            <w:r>
              <w:rPr>
                <w:rFonts w:ascii="Arial" w:cs="Arial" w:eastAsia="Arial" w:hAnsi="Arial"/>
                <w:sz w:val="18"/>
                <w:szCs w:val="18"/>
              </w:rPr>
              <w:t xml:space="preserve"> and </w:t>
            </w:r>
            <w:r>
              <w:rPr>
                <w:rFonts w:ascii="Consolas" w:cs="Consolas" w:eastAsia="Consolas" w:hAnsi="Consolas"/>
                <w:sz w:val="18"/>
                <w:szCs w:val="18"/>
              </w:rPr>
              <w:t xml:space="preserve">ZMM_301_MOV_RUN_LOG</w:t>
            </w:r>
            <w:r>
              <w:rPr>
                <w:rFonts w:ascii="Arial" w:cs="Arial" w:eastAsia="Arial" w:hAnsi="Arial"/>
                <w:sz w:val="18"/>
                <w:szCs w:val="18"/>
              </w:rPr>
              <w:t xml:space="preserve"> rows older than a parameterised number of days, keeping error rows longer. Note that deleting a successful movement-log row also removes its idempotency record, so the retention period must exceed the window in which a catch-up sweep may still run; this is a design constraint on the retention parameter. No archiving object is planned, as the tables are transitional.</w:t>
            </w:r>
          </w:p>
        </w:tc>
      </w:tr>
    </w:tbl>
    <w:p>
      <w:pPr>
        <w:pStyle w:val="Heading2"/>
        <w:spacing w:after="120" w:before="240"/>
      </w:pPr>
      <w:r>
        <w:rPr>
          <w:rFonts w:ascii="Arial" w:cs="Arial" w:eastAsia="Arial" w:hAnsi="Arial"/>
          <w:b/>
          <w:bCs/>
          <w:color w:val="005B9A"/>
          <w:sz w:val="24"/>
          <w:szCs w:val="24"/>
        </w:rPr>
        <w:t xml:space="preserve">5.6 Deployment</w:t>
      </w:r>
    </w:p>
    <w:p>
      <w:pPr>
        <w:pStyle w:val="Heading3"/>
        <w:spacing w:after="120" w:before="240"/>
      </w:pPr>
      <w:r>
        <w:rPr>
          <w:rFonts w:ascii="Arial" w:cs="Arial" w:eastAsia="Arial" w:hAnsi="Arial"/>
          <w:b/>
          <w:bCs/>
          <w:color w:val="005B9A"/>
          <w:sz w:val="21"/>
          <w:szCs w:val="21"/>
        </w:rPr>
        <w:t xml:space="preserve">5.6.1 Deployment Instructions</w:t>
      </w:r>
    </w:p>
    <w:p>
      <w:pPr>
        <w:spacing w:after="100" w:before="0"/>
      </w:pPr>
      <w:r>
        <w:rPr>
          <w:rFonts w:ascii="Arial" w:cs="Arial" w:eastAsia="Arial" w:hAnsi="Arial"/>
          <w:sz w:val="18"/>
          <w:szCs w:val="18"/>
        </w:rPr>
        <w:t xml:space="preserve">Import order: the dictionary objects, the two maintenance views, the message class and the application-log object first; then the posting function; then the trigger class, the BAdI implementation and the monitor report.</w:t>
      </w:r>
    </w:p>
    <w:p>
      <w:pPr>
        <w:spacing w:after="100" w:before="0"/>
      </w:pPr>
      <w:r>
        <w:rPr>
          <w:rFonts w:ascii="Arial" w:cs="Arial" w:eastAsia="Arial" w:hAnsi="Arial"/>
          <w:sz w:val="18"/>
          <w:szCs w:val="18"/>
        </w:rPr>
        <w:t xml:space="preserve">After import, in each target client: maintain </w:t>
      </w:r>
      <w:r>
        <w:rPr>
          <w:rFonts w:ascii="Consolas" w:cs="Consolas" w:eastAsia="Consolas" w:hAnsi="Consolas"/>
          <w:sz w:val="18"/>
          <w:szCs w:val="18"/>
        </w:rPr>
        <w:t xml:space="preserve">ZMM_301_CTRL</w:t>
      </w:r>
      <w:r>
        <w:rPr>
          <w:rFonts w:ascii="Arial" w:cs="Arial" w:eastAsia="Arial" w:hAnsi="Arial"/>
          <w:sz w:val="18"/>
          <w:szCs w:val="18"/>
        </w:rPr>
        <w:t xml:space="preserve"> for the plant pair with the storage locations, the movement type, the no-reservation behaviour and ACTIVE </w:t>
      </w:r>
      <w:r>
        <w:rPr>
          <w:rFonts w:ascii="Arial" w:cs="Arial" w:eastAsia="Arial" w:hAnsi="Arial"/>
          <w:sz w:val="18"/>
          <w:szCs w:val="18"/>
          <w:b/>
          <w:bCs/>
        </w:rPr>
        <w:t xml:space="preserve">initially unset</w:t>
      </w:r>
      <w:r>
        <w:rPr>
          <w:rFonts w:ascii="Arial" w:cs="Arial" w:eastAsia="Arial" w:hAnsi="Arial"/>
          <w:sz w:val="18"/>
          <w:szCs w:val="18"/>
        </w:rPr>
        <w:t xml:space="preserve">; maintain </w:t>
      </w:r>
      <w:r>
        <w:rPr>
          <w:rFonts w:ascii="Consolas" w:cs="Consolas" w:eastAsia="Consolas" w:hAnsi="Consolas"/>
          <w:sz w:val="18"/>
          <w:szCs w:val="18"/>
        </w:rPr>
        <w:t xml:space="preserve">ZMM_301_VALTYPE</w:t>
      </w:r>
      <w:r>
        <w:rPr>
          <w:rFonts w:ascii="Arial" w:cs="Arial" w:eastAsia="Arial" w:hAnsi="Arial"/>
          <w:sz w:val="18"/>
          <w:szCs w:val="18"/>
        </w:rPr>
        <w:t xml:space="preserve"> for the current and the next fiscal year; assign the roles of section 4.13, including the posting authorisations for the user context confirmed under open item M7; confirm the queue scheduler is active; and schedule the catch-up job if it is to be used.</w:t>
      </w:r>
    </w:p>
    <w:p>
      <w:pPr>
        <w:spacing w:after="100" w:before="0"/>
      </w:pPr>
      <w:r>
        <w:rPr>
          <w:rFonts w:ascii="Arial" w:cs="Arial" w:eastAsia="Arial" w:hAnsi="Arial"/>
          <w:sz w:val="18"/>
          <w:szCs w:val="18"/>
        </w:rPr>
        <w:t xml:space="preserve">Switch the automation on only once the companion object is live and has created reservations, so that the first transfers find a reservation to consume. Activate by setting ACTIVE, then post one goods receipt and confirm in ZMM301M that the transfer was created with the expected valuation type.</w:t>
      </w:r>
    </w:p>
    <w:p>
      <w:pPr>
        <w:spacing w:after="100" w:before="0"/>
      </w:pPr>
      <w:r>
        <w:rPr>
          <w:rFonts w:ascii="Arial" w:cs="Arial" w:eastAsia="Arial" w:hAnsi="Arial"/>
          <w:sz w:val="18"/>
          <w:szCs w:val="18"/>
        </w:rPr>
        <w:t xml:space="preserve">At the end of the migration, unset ACTIVE. The trigger then registers no further units and the objects can be decommissioned with the rest of the migration tooling. Keep the movement log until its retention period expires, since it is the audit trail of every transfer posted.</w:t>
      </w:r>
    </w:p>
    <w:p>
      <w:pPr>
        <w:pStyle w:val="Heading3"/>
        <w:spacing w:after="120" w:before="240"/>
      </w:pPr>
      <w:r>
        <w:rPr>
          <w:rFonts w:ascii="Arial" w:cs="Arial" w:eastAsia="Arial" w:hAnsi="Arial"/>
          <w:b/>
          <w:bCs/>
          <w:color w:val="005B9A"/>
          <w:sz w:val="21"/>
          <w:szCs w:val="21"/>
        </w:rPr>
        <w:t xml:space="preserve">5.6.2 Transport Details</w:t>
      </w:r>
    </w:p>
    <w:tbl>
      <w:tblPr>
        <w:tblW w:type="dxa" w:w="9700"/>
        <w:tblBorders>
          <w:top w:val="single" w:color="AAB4BE" w:sz="4"/>
          <w:left w:val="single" w:color="AAB4BE" w:sz="4"/>
          <w:bottom w:val="single" w:color="AAB4BE" w:sz="4"/>
          <w:right w:val="single" w:color="AAB4BE" w:sz="4"/>
          <w:insideH w:val="single" w:color="AAB4BE" w:sz="4"/>
          <w:insideV w:val="single" w:color="AAB4BE" w:sz="4"/>
        </w:tblBorders>
      </w:tblPr>
      <w:tblGrid>
        <w:gridCol w:w="1400"/>
        <w:gridCol w:w="2900"/>
        <w:gridCol w:w="5400"/>
      </w:tblGrid>
      <w:tr>
        <w:trPr>
          <w:tblHeader/>
        </w:trPr>
        <w:tc>
          <w:tcPr>
            <w:tcW w:type="dxa" w:w="14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Sequence</w:t>
            </w:r>
          </w:p>
        </w:tc>
        <w:tc>
          <w:tcPr>
            <w:tcW w:type="dxa" w:w="29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Transport / Rev-Trac #</w:t>
            </w:r>
          </w:p>
        </w:tc>
        <w:tc>
          <w:tcPr>
            <w:tcW w:type="dxa" w:w="54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Description</w:t>
            </w:r>
          </w:p>
        </w:tc>
      </w:tr>
      <w:tr>
        <w:trPr>
          <w:tblHeader w:val="false"/>
        </w:trPr>
        <w:tc>
          <w:tcPr>
            <w:tcW w:type="dxa" w:w="14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1</w:t>
            </w:r>
          </w:p>
        </w:tc>
        <w:tc>
          <w:tcPr>
            <w:tcW w:type="dxa" w:w="29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To be assigned</w:t>
            </w:r>
          </w:p>
        </w:tc>
        <w:tc>
          <w:tcPr>
            <w:tcW w:type="dxa" w:w="54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Dictionary: tables </w:t>
            </w:r>
            <w:r>
              <w:rPr>
                <w:rFonts w:ascii="Consolas" w:cs="Consolas" w:eastAsia="Consolas" w:hAnsi="Consolas"/>
                <w:b w:val="false"/>
                <w:bCs w:val="false"/>
                <w:sz w:val="18"/>
                <w:szCs w:val="18"/>
              </w:rPr>
              <w:t xml:space="preserve">ZMM_301_CTRL</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ZMM_301_MOV_LOG</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ZMM_301_MOV_RUN_LOG</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ZMM_301_VALTYPE</w:t>
            </w:r>
            <w:r>
              <w:rPr>
                <w:rFonts w:ascii="Arial" w:cs="Arial" w:eastAsia="Arial" w:hAnsi="Arial"/>
                <w:b w:val="false"/>
                <w:bCs w:val="false"/>
                <w:sz w:val="18"/>
                <w:szCs w:val="18"/>
              </w:rPr>
              <w:t xml:space="preserve"> and their maintenance views; message class </w:t>
            </w:r>
            <w:r>
              <w:rPr>
                <w:rFonts w:ascii="Consolas" w:cs="Consolas" w:eastAsia="Consolas" w:hAnsi="Consolas"/>
                <w:b w:val="false"/>
                <w:bCs w:val="false"/>
                <w:sz w:val="18"/>
                <w:szCs w:val="18"/>
              </w:rPr>
              <w:t xml:space="preserve">ZMM301</w:t>
            </w:r>
            <w:r>
              <w:rPr>
                <w:rFonts w:ascii="Arial" w:cs="Arial" w:eastAsia="Arial" w:hAnsi="Arial"/>
                <w:b w:val="false"/>
                <w:bCs w:val="false"/>
                <w:sz w:val="18"/>
                <w:szCs w:val="18"/>
              </w:rPr>
              <w:t xml:space="preserve">; application-log object </w:t>
            </w:r>
            <w:r>
              <w:rPr>
                <w:rFonts w:ascii="Consolas" w:cs="Consolas" w:eastAsia="Consolas" w:hAnsi="Consolas"/>
                <w:b w:val="false"/>
                <w:bCs w:val="false"/>
                <w:sz w:val="18"/>
                <w:szCs w:val="18"/>
              </w:rPr>
              <w:t xml:space="preserve">ZMM</w:t>
            </w:r>
            <w:r>
              <w:rPr>
                <w:rFonts w:ascii="Arial" w:cs="Arial" w:eastAsia="Arial" w:hAnsi="Arial"/>
                <w:b w:val="false"/>
                <w:bCs w:val="false"/>
                <w:sz w:val="18"/>
                <w:szCs w:val="18"/>
              </w:rPr>
              <w:t xml:space="preserve"> / </w:t>
            </w:r>
            <w:r>
              <w:rPr>
                <w:rFonts w:ascii="Consolas" w:cs="Consolas" w:eastAsia="Consolas" w:hAnsi="Consolas"/>
                <w:b w:val="false"/>
                <w:bCs w:val="false"/>
                <w:sz w:val="18"/>
                <w:szCs w:val="18"/>
              </w:rPr>
              <w:t xml:space="preserve">Z301MOV</w:t>
            </w:r>
          </w:p>
        </w:tc>
      </w:tr>
      <w:tr>
        <w:trPr>
          <w:tblHeader w:val="false"/>
        </w:trPr>
        <w:tc>
          <w:tcPr>
            <w:tcW w:type="dxa" w:w="14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2</w:t>
            </w:r>
          </w:p>
        </w:tc>
        <w:tc>
          <w:tcPr>
            <w:tcW w:type="dxa" w:w="29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To be assigned</w:t>
            </w:r>
          </w:p>
        </w:tc>
        <w:tc>
          <w:tcPr>
            <w:tcW w:type="dxa" w:w="54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Repository: function group </w:t>
            </w:r>
            <w:r>
              <w:rPr>
                <w:rFonts w:ascii="Consolas" w:cs="Consolas" w:eastAsia="Consolas" w:hAnsi="Consolas"/>
                <w:b w:val="false"/>
                <w:bCs w:val="false"/>
                <w:sz w:val="18"/>
                <w:szCs w:val="18"/>
              </w:rPr>
              <w:t xml:space="preserve">ZMM_301_MOV</w:t>
            </w:r>
            <w:r>
              <w:rPr>
                <w:rFonts w:ascii="Arial" w:cs="Arial" w:eastAsia="Arial" w:hAnsi="Arial"/>
                <w:b w:val="false"/>
                <w:bCs w:val="false"/>
                <w:sz w:val="18"/>
                <w:szCs w:val="18"/>
              </w:rPr>
              <w:t xml:space="preserve"> with </w:t>
            </w:r>
            <w:r>
              <w:rPr>
                <w:rFonts w:ascii="Consolas" w:cs="Consolas" w:eastAsia="Consolas" w:hAnsi="Consolas"/>
                <w:b w:val="false"/>
                <w:bCs w:val="false"/>
                <w:sz w:val="18"/>
                <w:szCs w:val="18"/>
              </w:rPr>
              <w:t xml:space="preserve">Z_MM_301_POST_TRANSFER</w:t>
            </w:r>
          </w:p>
        </w:tc>
      </w:tr>
      <w:tr>
        <w:trPr>
          <w:tblHeader w:val="false"/>
        </w:trPr>
        <w:tc>
          <w:tcPr>
            <w:tcW w:type="dxa" w:w="14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3</w:t>
            </w:r>
          </w:p>
        </w:tc>
        <w:tc>
          <w:tcPr>
            <w:tcW w:type="dxa" w:w="29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To be assigned</w:t>
            </w:r>
          </w:p>
        </w:tc>
        <w:tc>
          <w:tcPr>
            <w:tcW w:type="dxa" w:w="54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Repository: class </w:t>
            </w:r>
            <w:r>
              <w:rPr>
                <w:rFonts w:ascii="Consolas" w:cs="Consolas" w:eastAsia="Consolas" w:hAnsi="Consolas"/>
                <w:b w:val="false"/>
                <w:bCs w:val="false"/>
                <w:sz w:val="18"/>
                <w:szCs w:val="18"/>
              </w:rPr>
              <w:t xml:space="preserve">ZCL_MM_301_GR_TRIGGER</w:t>
            </w:r>
            <w:r>
              <w:rPr>
                <w:rFonts w:ascii="Arial" w:cs="Arial" w:eastAsia="Arial" w:hAnsi="Arial"/>
                <w:b w:val="false"/>
                <w:bCs w:val="false"/>
                <w:sz w:val="18"/>
                <w:szCs w:val="18"/>
              </w:rPr>
              <w:t xml:space="preserve">, BAdI implementation </w:t>
            </w:r>
            <w:r>
              <w:rPr>
                <w:rFonts w:ascii="Consolas" w:cs="Consolas" w:eastAsia="Consolas" w:hAnsi="Consolas"/>
                <w:b w:val="false"/>
                <w:bCs w:val="false"/>
                <w:sz w:val="18"/>
                <w:szCs w:val="18"/>
              </w:rPr>
              <w:t xml:space="preserve">ZMM_301_GR_TRIGGER</w:t>
            </w:r>
            <w:r>
              <w:rPr>
                <w:rFonts w:ascii="Arial" w:cs="Arial" w:eastAsia="Arial" w:hAnsi="Arial"/>
                <w:b w:val="false"/>
                <w:bCs w:val="false"/>
                <w:sz w:val="18"/>
                <w:szCs w:val="18"/>
              </w:rPr>
              <w:t xml:space="preserve">, report </w:t>
            </w:r>
            <w:r>
              <w:rPr>
                <w:rFonts w:ascii="Consolas" w:cs="Consolas" w:eastAsia="Consolas" w:hAnsi="Consolas"/>
                <w:b w:val="false"/>
                <w:bCs w:val="false"/>
                <w:sz w:val="18"/>
                <w:szCs w:val="18"/>
              </w:rPr>
              <w:t xml:space="preserve">ZMM_R_301_MOV_MONITOR</w:t>
            </w:r>
            <w:r>
              <w:rPr>
                <w:rFonts w:ascii="Arial" w:cs="Arial" w:eastAsia="Arial" w:hAnsi="Arial"/>
                <w:b w:val="false"/>
                <w:bCs w:val="false"/>
                <w:sz w:val="18"/>
                <w:szCs w:val="18"/>
              </w:rPr>
              <w:t xml:space="preserve">, transaction </w:t>
            </w:r>
            <w:r>
              <w:rPr>
                <w:rFonts w:ascii="Consolas" w:cs="Consolas" w:eastAsia="Consolas" w:hAnsi="Consolas"/>
                <w:b w:val="false"/>
                <w:bCs w:val="false"/>
                <w:sz w:val="18"/>
                <w:szCs w:val="18"/>
              </w:rPr>
              <w:t xml:space="preserve">ZMM301M</w:t>
            </w:r>
          </w:p>
        </w:tc>
      </w:tr>
      <w:tr>
        <w:trPr>
          <w:tblHeader w:val="false"/>
        </w:trPr>
        <w:tc>
          <w:tcPr>
            <w:tcW w:type="dxa" w:w="14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4</w:t>
            </w:r>
          </w:p>
        </w:tc>
        <w:tc>
          <w:tcPr>
            <w:tcW w:type="dxa" w:w="29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To be assigned</w:t>
            </w:r>
          </w:p>
        </w:tc>
        <w:tc>
          <w:tcPr>
            <w:tcW w:type="dxa" w:w="54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Customising / manual: control table entry (ACTIVE initially unset), fiscal-year valuation types, catch-up job variant (client-dependent, created per target client)</w:t>
            </w:r>
          </w:p>
        </w:tc>
      </w:tr>
    </w:tbl>
    <w:p>
      <w:pPr>
        <w:pStyle w:val="Heading2"/>
        <w:spacing w:after="120" w:before="240"/>
      </w:pPr>
      <w:r>
        <w:rPr>
          <w:rFonts w:ascii="Arial" w:cs="Arial" w:eastAsia="Arial" w:hAnsi="Arial"/>
          <w:b/>
          <w:bCs/>
          <w:color w:val="005B9A"/>
          <w:sz w:val="24"/>
          <w:szCs w:val="24"/>
        </w:rPr>
        <w:t xml:space="preserve">5.7 Defects and Change Log</w:t>
      </w:r>
    </w:p>
    <w:tbl>
      <w:tblPr>
        <w:tblW w:type="dxa" w:w="9700"/>
        <w:tblBorders>
          <w:top w:val="single" w:color="AAB4BE" w:sz="4"/>
          <w:left w:val="single" w:color="AAB4BE" w:sz="4"/>
          <w:bottom w:val="single" w:color="AAB4BE" w:sz="4"/>
          <w:right w:val="single" w:color="AAB4BE" w:sz="4"/>
          <w:insideH w:val="single" w:color="AAB4BE" w:sz="4"/>
          <w:insideV w:val="single" w:color="AAB4BE" w:sz="4"/>
        </w:tblBorders>
      </w:tblPr>
      <w:tblGrid>
        <w:gridCol w:w="2000"/>
        <w:gridCol w:w="2400"/>
        <w:gridCol w:w="5300"/>
      </w:tblGrid>
      <w:tr>
        <w:trPr>
          <w:tblHeader/>
        </w:trPr>
        <w:tc>
          <w:tcPr>
            <w:tcW w:type="dxa" w:w="20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Defect / CR #</w:t>
            </w:r>
          </w:p>
        </w:tc>
        <w:tc>
          <w:tcPr>
            <w:tcW w:type="dxa" w:w="24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Date</w:t>
            </w:r>
          </w:p>
        </w:tc>
        <w:tc>
          <w:tcPr>
            <w:tcW w:type="dxa" w:w="53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Change applied</w:t>
            </w:r>
          </w:p>
        </w:tc>
      </w:tr>
      <w:tr>
        <w:trPr>
          <w:tblHeader w:val="false"/>
        </w:trPr>
        <w:tc>
          <w:tcPr>
            <w:tcW w:type="dxa" w:w="20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w:t>
            </w:r>
          </w:p>
        </w:tc>
        <w:tc>
          <w:tcPr>
            <w:tcW w:type="dxa" w:w="24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w:t>
            </w:r>
          </w:p>
        </w:tc>
        <w:tc>
          <w:tcPr>
            <w:tcW w:type="dxa" w:w="5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N/A – no defect or change request has been raised. The document is at version 0.2 and the object has not yet been built. Every defect and change applied after the first build is recorded here.</w:t>
            </w:r>
          </w:p>
        </w:tc>
      </w:tr>
    </w:tbl>
    <w:p>
      <w:r>
        <w:br w:type="page"/>
      </w:r>
    </w:p>
    <w:p>
      <w:pPr>
        <w:pStyle w:val="Heading1"/>
        <w:spacing w:after="120" w:before="360"/>
      </w:pPr>
      <w:r>
        <w:rPr>
          <w:rFonts w:ascii="Arial" w:cs="Arial" w:eastAsia="Arial" w:hAnsi="Arial"/>
          <w:b/>
          <w:bCs/>
          <w:color w:val="0B1F3A"/>
          <w:sz w:val="28"/>
          <w:szCs w:val="28"/>
        </w:rPr>
        <w:t xml:space="preserve">6. Unit Testing Conditions</w:t>
      </w:r>
    </w:p>
    <w:p>
      <w:pPr>
        <w:pStyle w:val="Heading2"/>
        <w:spacing w:after="120" w:before="240"/>
      </w:pPr>
      <w:r>
        <w:rPr>
          <w:rFonts w:ascii="Arial" w:cs="Arial" w:eastAsia="Arial" w:hAnsi="Arial"/>
          <w:b/>
          <w:bCs/>
          <w:color w:val="005B9A"/>
          <w:sz w:val="24"/>
          <w:szCs w:val="24"/>
        </w:rPr>
        <w:t xml:space="preserve">6.1 Steps to Prepare Test Data</w:t>
      </w:r>
    </w:p>
    <w:p>
      <w:pPr>
        <w:spacing w:after="100" w:before="0"/>
      </w:pPr>
      <w:r>
        <w:rPr>
          <w:rFonts w:ascii="Arial" w:cs="Arial" w:eastAsia="Arial" w:hAnsi="Arial"/>
          <w:sz w:val="18"/>
          <w:szCs w:val="18"/>
        </w:rPr>
        <w:t xml:space="preserve">The steps below prepare a self-contained data set in the development or quality system. They assume nothing about existing data and can be followed by someone not close to the development. Note down every material and document number created, since the test cases in section 6.2 refer back to them. The companion object R-xxx-SEG must be installed and must have created the reservations, because most cases depend on one existing.</w:t>
      </w:r>
    </w:p>
    <w:tbl>
      <w:tblPr>
        <w:tblW w:type="dxa" w:w="9700"/>
        <w:tblBorders>
          <w:top w:val="single" w:color="AAB4BE" w:sz="4"/>
          <w:left w:val="single" w:color="AAB4BE" w:sz="4"/>
          <w:bottom w:val="single" w:color="AAB4BE" w:sz="4"/>
          <w:right w:val="single" w:color="AAB4BE" w:sz="4"/>
          <w:insideH w:val="single" w:color="AAB4BE" w:sz="4"/>
          <w:insideV w:val="single" w:color="AAB4BE" w:sz="4"/>
        </w:tblBorders>
      </w:tblPr>
      <w:tblGrid>
        <w:gridCol w:w="700"/>
        <w:gridCol w:w="3200"/>
        <w:gridCol w:w="3000"/>
        <w:gridCol w:w="2800"/>
      </w:tblGrid>
      <w:tr>
        <w:trPr>
          <w:tblHeader/>
        </w:trPr>
        <w:tc>
          <w:tcPr>
            <w:tcW w:type="dxa" w:w="7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No</w:t>
            </w:r>
          </w:p>
        </w:tc>
        <w:tc>
          <w:tcPr>
            <w:tcW w:type="dxa" w:w="32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Preparation step</w:t>
            </w:r>
          </w:p>
        </w:tc>
        <w:tc>
          <w:tcPr>
            <w:tcW w:type="dxa" w:w="30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Transaction / Object</w:t>
            </w:r>
          </w:p>
        </w:tc>
        <w:tc>
          <w:tcPr>
            <w:tcW w:type="dxa" w:w="28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Expected state</w:t>
            </w:r>
          </w:p>
        </w:tc>
      </w:tr>
      <w:tr>
        <w:trPr>
          <w:tblHeader w:val="false"/>
        </w:trPr>
        <w:tc>
          <w:tcPr>
            <w:tcW w:type="dxa" w:w="7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1</w:t>
            </w:r>
          </w:p>
        </w:tc>
        <w:tc>
          <w:tcPr>
            <w:tcW w:type="dxa" w:w="3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Confirm movement types 301 and 302 are permitted between the two plants and that both belong to the same company code.</w:t>
            </w:r>
          </w:p>
        </w:tc>
        <w:tc>
          <w:tcPr>
            <w:tcW w:type="dxa" w:w="30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OMJJ / OX18</w:t>
            </w:r>
          </w:p>
        </w:tc>
        <w:tc>
          <w:tcPr>
            <w:tcW w:type="dxa" w:w="28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301 and 302 allowed for the plant pair</w:t>
            </w:r>
          </w:p>
        </w:tc>
      </w:tr>
      <w:tr>
        <w:trPr>
          <w:tblHeader w:val="false"/>
        </w:trPr>
        <w:tc>
          <w:tcPr>
            <w:tcW w:type="dxa" w:w="7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2</w:t>
            </w:r>
          </w:p>
        </w:tc>
        <w:tc>
          <w:tcPr>
            <w:tcW w:type="dxa" w:w="3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Confirm the receiving plant is split-valuated and note its valuation types; confirm the issuing plant is not.</w:t>
            </w:r>
          </w:p>
        </w:tc>
        <w:tc>
          <w:tcPr>
            <w:tcW w:type="dxa" w:w="30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OMWC / MM03</w:t>
            </w:r>
          </w:p>
        </w:tc>
        <w:tc>
          <w:tcPr>
            <w:tcW w:type="dxa" w:w="28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Split valuation active in 8Q01 only</w:t>
            </w:r>
          </w:p>
        </w:tc>
      </w:tr>
      <w:tr>
        <w:trPr>
          <w:tblHeader w:val="false"/>
        </w:trPr>
        <w:tc>
          <w:tcPr>
            <w:tcW w:type="dxa" w:w="7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3</w:t>
            </w:r>
          </w:p>
        </w:tc>
        <w:tc>
          <w:tcPr>
            <w:tcW w:type="dxa" w:w="3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Maintain </w:t>
            </w:r>
            <w:r>
              <w:rPr>
                <w:rFonts w:ascii="Consolas" w:cs="Consolas" w:eastAsia="Consolas" w:hAnsi="Consolas"/>
                <w:b w:val="false"/>
                <w:bCs w:val="false"/>
                <w:sz w:val="18"/>
                <w:szCs w:val="18"/>
              </w:rPr>
              <w:t xml:space="preserve">ZMM_301_VALTYPE</w:t>
            </w:r>
            <w:r>
              <w:rPr>
                <w:rFonts w:ascii="Arial" w:cs="Arial" w:eastAsia="Arial" w:hAnsi="Arial"/>
                <w:b w:val="false"/>
                <w:bCs w:val="false"/>
                <w:sz w:val="18"/>
                <w:szCs w:val="18"/>
              </w:rPr>
              <w:t xml:space="preserve"> for the current fiscal year and for the previous one; deliberately leave a third, future year unmapped.</w:t>
            </w:r>
          </w:p>
        </w:tc>
        <w:tc>
          <w:tcPr>
            <w:tcW w:type="dxa" w:w="30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SM30 on </w:t>
            </w:r>
            <w:r>
              <w:rPr>
                <w:rFonts w:ascii="Consolas" w:cs="Consolas" w:eastAsia="Consolas" w:hAnsi="Consolas"/>
                <w:b w:val="false"/>
                <w:bCs w:val="false"/>
                <w:sz w:val="18"/>
                <w:szCs w:val="18"/>
              </w:rPr>
              <w:t xml:space="preserve">ZMM_301_VALTYPE</w:t>
            </w:r>
          </w:p>
        </w:tc>
        <w:tc>
          <w:tcPr>
            <w:tcW w:type="dxa" w:w="28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Two years mapped, one deliberately missing for the negative case</w:t>
            </w:r>
          </w:p>
        </w:tc>
      </w:tr>
      <w:tr>
        <w:trPr>
          <w:tblHeader w:val="false"/>
        </w:trPr>
        <w:tc>
          <w:tcPr>
            <w:tcW w:type="dxa" w:w="7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4</w:t>
            </w:r>
          </w:p>
        </w:tc>
        <w:tc>
          <w:tcPr>
            <w:tcW w:type="dxa" w:w="3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Maintain </w:t>
            </w:r>
            <w:r>
              <w:rPr>
                <w:rFonts w:ascii="Consolas" w:cs="Consolas" w:eastAsia="Consolas" w:hAnsi="Consolas"/>
                <w:b w:val="false"/>
                <w:bCs w:val="false"/>
                <w:sz w:val="18"/>
                <w:szCs w:val="18"/>
              </w:rPr>
              <w:t xml:space="preserve">ZMM_301_CTRL</w:t>
            </w:r>
            <w:r>
              <w:rPr>
                <w:rFonts w:ascii="Arial" w:cs="Arial" w:eastAsia="Arial" w:hAnsi="Arial"/>
                <w:b w:val="false"/>
                <w:bCs w:val="false"/>
                <w:sz w:val="18"/>
                <w:szCs w:val="18"/>
              </w:rPr>
              <w:t xml:space="preserve"> for the plant pair: storage locations, movement type 301, NO_RESV_ACTION = P, ACTIVE set.</w:t>
            </w:r>
          </w:p>
        </w:tc>
        <w:tc>
          <w:tcPr>
            <w:tcW w:type="dxa" w:w="30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SM30 on </w:t>
            </w:r>
            <w:r>
              <w:rPr>
                <w:rFonts w:ascii="Consolas" w:cs="Consolas" w:eastAsia="Consolas" w:hAnsi="Consolas"/>
                <w:b w:val="false"/>
                <w:bCs w:val="false"/>
                <w:sz w:val="18"/>
                <w:szCs w:val="18"/>
              </w:rPr>
              <w:t xml:space="preserve">ZMM_301_CTRL</w:t>
            </w:r>
          </w:p>
        </w:tc>
        <w:tc>
          <w:tcPr>
            <w:tcW w:type="dxa" w:w="28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One active entry for 8P01 → 8Q01</w:t>
            </w:r>
          </w:p>
        </w:tc>
      </w:tr>
      <w:tr>
        <w:trPr>
          <w:tblHeader w:val="false"/>
        </w:trPr>
        <w:tc>
          <w:tcPr>
            <w:tcW w:type="dxa" w:w="7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5</w:t>
            </w:r>
          </w:p>
        </w:tc>
        <w:tc>
          <w:tcPr>
            <w:tcW w:type="dxa" w:w="3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Choose a non-batch finished material extended to both plants; create and release a production order for it in 8P01, quantity 100.</w:t>
            </w:r>
          </w:p>
        </w:tc>
        <w:tc>
          <w:tcPr>
            <w:tcW w:type="dxa" w:w="30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MM01 / CO01 / CO02</w:t>
            </w:r>
          </w:p>
        </w:tc>
        <w:tc>
          <w:tcPr>
            <w:tcW w:type="dxa" w:w="28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Order released in 8P01</w:t>
            </w:r>
          </w:p>
        </w:tc>
      </w:tr>
      <w:tr>
        <w:trPr>
          <w:tblHeader w:val="false"/>
        </w:trPr>
        <w:tc>
          <w:tcPr>
            <w:tcW w:type="dxa" w:w="7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6</w:t>
            </w:r>
          </w:p>
        </w:tc>
        <w:tc>
          <w:tcPr>
            <w:tcW w:type="dxa" w:w="3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Choose or create a batch-managed finished material extended to both plants; create and release a production order for it in 8P01.</w:t>
            </w:r>
          </w:p>
        </w:tc>
        <w:tc>
          <w:tcPr>
            <w:tcW w:type="dxa" w:w="30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MM01 / CO01 / CO02</w:t>
            </w:r>
          </w:p>
        </w:tc>
        <w:tc>
          <w:tcPr>
            <w:tcW w:type="dxa" w:w="28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Second order released, material batch-managed</w:t>
            </w:r>
          </w:p>
        </w:tc>
      </w:tr>
      <w:tr>
        <w:trPr>
          <w:tblHeader w:val="false"/>
        </w:trPr>
        <w:tc>
          <w:tcPr>
            <w:tcW w:type="dxa" w:w="7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7</w:t>
            </w:r>
          </w:p>
        </w:tc>
        <w:tc>
          <w:tcPr>
            <w:tcW w:type="dxa" w:w="3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Run the companion object R-xxx-SEG so that both orders have a 301 reservation.</w:t>
            </w:r>
          </w:p>
        </w:tc>
        <w:tc>
          <w:tcPr>
            <w:tcW w:type="dxa" w:w="30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ZMM301R</w:t>
            </w:r>
          </w:p>
        </w:tc>
        <w:tc>
          <w:tcPr>
            <w:tcW w:type="dxa" w:w="28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A reservation exists for each order and is recorded in </w:t>
            </w:r>
            <w:r>
              <w:rPr>
                <w:rFonts w:ascii="Consolas" w:cs="Consolas" w:eastAsia="Consolas" w:hAnsi="Consolas"/>
                <w:b w:val="false"/>
                <w:bCs w:val="false"/>
                <w:sz w:val="18"/>
                <w:szCs w:val="18"/>
              </w:rPr>
              <w:t xml:space="preserve">ZMM_301_RESV_LOG</w:t>
            </w:r>
          </w:p>
        </w:tc>
      </w:tr>
      <w:tr>
        <w:trPr>
          <w:tblHeader w:val="false"/>
        </w:trPr>
        <w:tc>
          <w:tcPr>
            <w:tcW w:type="dxa" w:w="7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8</w:t>
            </w:r>
          </w:p>
        </w:tc>
        <w:tc>
          <w:tcPr>
            <w:tcW w:type="dxa" w:w="3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Create and release a third production order in 8P01 and do </w:t>
            </w:r>
            <w:r>
              <w:rPr>
                <w:rFonts w:ascii="Arial" w:cs="Arial" w:eastAsia="Arial" w:hAnsi="Arial"/>
                <w:sz w:val="18"/>
                <w:szCs w:val="18"/>
                <w:b/>
                <w:bCs/>
              </w:rPr>
              <w:t xml:space="preserve">not</w:t>
            </w:r>
            <w:r>
              <w:rPr>
                <w:rFonts w:ascii="Arial" w:cs="Arial" w:eastAsia="Arial" w:hAnsi="Arial"/>
                <w:b w:val="false"/>
                <w:bCs w:val="false"/>
                <w:sz w:val="18"/>
                <w:szCs w:val="18"/>
              </w:rPr>
              <w:t xml:space="preserve"> run the companion object for it.</w:t>
            </w:r>
          </w:p>
        </w:tc>
        <w:tc>
          <w:tcPr>
            <w:tcW w:type="dxa" w:w="30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CO01 / CO02</w:t>
            </w:r>
          </w:p>
        </w:tc>
        <w:tc>
          <w:tcPr>
            <w:tcW w:type="dxa" w:w="28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Order released with no reservation, for the no-reservation case</w:t>
            </w:r>
          </w:p>
        </w:tc>
      </w:tr>
      <w:tr>
        <w:trPr>
          <w:tblHeader w:val="false"/>
        </w:trPr>
        <w:tc>
          <w:tcPr>
            <w:tcW w:type="dxa" w:w="7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9</w:t>
            </w:r>
          </w:p>
        </w:tc>
        <w:tc>
          <w:tcPr>
            <w:tcW w:type="dxa" w:w="3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Create one released production order in a plant other than 8P01.</w:t>
            </w:r>
          </w:p>
        </w:tc>
        <w:tc>
          <w:tcPr>
            <w:tcW w:type="dxa" w:w="30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CO01</w:t>
            </w:r>
          </w:p>
        </w:tc>
        <w:tc>
          <w:tcPr>
            <w:tcW w:type="dxa" w:w="28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Order outside the automation scope</w:t>
            </w:r>
          </w:p>
        </w:tc>
      </w:tr>
      <w:tr>
        <w:trPr>
          <w:tblHeader w:val="false"/>
        </w:trPr>
        <w:tc>
          <w:tcPr>
            <w:tcW w:type="dxa" w:w="7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10</w:t>
            </w:r>
          </w:p>
        </w:tc>
        <w:tc>
          <w:tcPr>
            <w:tcW w:type="dxa" w:w="3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Identify a component (non-header) material on one of the orders, for the out-of-scope case.</w:t>
            </w:r>
          </w:p>
        </w:tc>
        <w:tc>
          <w:tcPr>
            <w:tcW w:type="dxa" w:w="30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CO03</w:t>
            </w:r>
          </w:p>
        </w:tc>
        <w:tc>
          <w:tcPr>
            <w:tcW w:type="dxa" w:w="28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A component material is known</w:t>
            </w:r>
          </w:p>
        </w:tc>
      </w:tr>
      <w:tr>
        <w:trPr>
          <w:tblHeader w:val="false"/>
        </w:trPr>
        <w:tc>
          <w:tcPr>
            <w:tcW w:type="dxa" w:w="7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11</w:t>
            </w:r>
          </w:p>
        </w:tc>
        <w:tc>
          <w:tcPr>
            <w:tcW w:type="dxa" w:w="3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Confirm the queue scheduler is active and note how to stop and restart it, for the queue-failure case.</w:t>
            </w:r>
          </w:p>
        </w:tc>
        <w:tc>
          <w:tcPr>
            <w:tcW w:type="dxa" w:w="30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Queue monitor</w:t>
            </w:r>
          </w:p>
        </w:tc>
        <w:tc>
          <w:tcPr>
            <w:tcW w:type="dxa" w:w="28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Scheduler running and controllable</w:t>
            </w:r>
          </w:p>
        </w:tc>
      </w:tr>
      <w:tr>
        <w:trPr>
          <w:tblHeader w:val="false"/>
        </w:trPr>
        <w:tc>
          <w:tcPr>
            <w:tcW w:type="dxa" w:w="7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12</w:t>
            </w:r>
          </w:p>
        </w:tc>
        <w:tc>
          <w:tcPr>
            <w:tcW w:type="dxa" w:w="3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Confirm the posting user context holds M_MSEG_WMB for both plants and M_MSEG_BWA for movement types 301 and 302;</w:t>
            </w:r>
            <w:r>
              <w:rPr>
                <w:rFonts w:ascii="Consolas" w:cs="Consolas" w:eastAsia="Consolas" w:hAnsi="Consolas"/>
                <w:b w:val="false"/>
                <w:bCs w:val="false"/>
                <w:sz w:val="18"/>
                <w:szCs w:val="18"/>
              </w:rPr>
              <w:t xml:space="preserve"/>
            </w:r>
            <w:r>
              <w:rPr>
                <w:rFonts w:ascii="Arial" w:cs="Arial" w:eastAsia="Arial" w:hAnsi="Arial"/>
                <w:b w:val="false"/>
                <w:bCs w:val="false"/>
                <w:sz w:val="18"/>
                <w:szCs w:val="18"/>
              </w:rPr>
              <w:t xml:space="preserve"> prepare a context without it.</w:t>
            </w:r>
          </w:p>
        </w:tc>
        <w:tc>
          <w:tcPr>
            <w:tcW w:type="dxa" w:w="30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SU01 / PFCG</w:t>
            </w:r>
          </w:p>
        </w:tc>
        <w:tc>
          <w:tcPr>
            <w:tcW w:type="dxa" w:w="28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One authorised and one deliberately unauthorised context</w:t>
            </w:r>
          </w:p>
        </w:tc>
      </w:tr>
      <w:tr>
        <w:trPr>
          <w:tblHeader w:val="false"/>
        </w:trPr>
        <w:tc>
          <w:tcPr>
            <w:tcW w:type="dxa" w:w="7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13</w:t>
            </w:r>
          </w:p>
        </w:tc>
        <w:tc>
          <w:tcPr>
            <w:tcW w:type="dxa" w:w="3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Note the current contents of </w:t>
            </w:r>
            <w:r>
              <w:rPr>
                <w:rFonts w:ascii="Consolas" w:cs="Consolas" w:eastAsia="Consolas" w:hAnsi="Consolas"/>
                <w:b w:val="false"/>
                <w:bCs w:val="false"/>
                <w:sz w:val="18"/>
                <w:szCs w:val="18"/>
              </w:rPr>
              <w:t xml:space="preserve">ZMM_301_MOV_LOG</w:t>
            </w:r>
            <w:r>
              <w:rPr>
                <w:rFonts w:ascii="Arial" w:cs="Arial" w:eastAsia="Arial" w:hAnsi="Arial"/>
                <w:b w:val="false"/>
                <w:bCs w:val="false"/>
                <w:sz w:val="18"/>
                <w:szCs w:val="18"/>
              </w:rPr>
              <w:t xml:space="preserve"> and </w:t>
            </w:r>
            <w:r>
              <w:rPr>
                <w:rFonts w:ascii="Consolas" w:cs="Consolas" w:eastAsia="Consolas" w:hAnsi="Consolas"/>
                <w:b w:val="false"/>
                <w:bCs w:val="false"/>
                <w:sz w:val="18"/>
                <w:szCs w:val="18"/>
              </w:rPr>
              <w:t xml:space="preserve">ZMM_301_MOV_RUN_LOG</w:t>
            </w:r>
            <w:r>
              <w:rPr>
                <w:rFonts w:ascii="Arial" w:cs="Arial" w:eastAsia="Arial" w:hAnsi="Arial"/>
                <w:b w:val="false"/>
                <w:bCs w:val="false"/>
                <w:sz w:val="18"/>
                <w:szCs w:val="18"/>
              </w:rPr>
              <w:t xml:space="preserve"> so the results are unambiguous.</w:t>
            </w:r>
          </w:p>
        </w:tc>
        <w:tc>
          <w:tcPr>
            <w:tcW w:type="dxa" w:w="30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SE16N</w:t>
            </w:r>
          </w:p>
        </w:tc>
        <w:tc>
          <w:tcPr>
            <w:tcW w:type="dxa" w:w="28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Known starting state of both log tables</w:t>
            </w:r>
          </w:p>
        </w:tc>
      </w:tr>
    </w:tbl>
    <w:p>
      <w:pPr>
        <w:pStyle w:val="Heading2"/>
        <w:spacing w:after="120" w:before="240"/>
      </w:pPr>
      <w:r>
        <w:rPr>
          <w:rFonts w:ascii="Arial" w:cs="Arial" w:eastAsia="Arial" w:hAnsi="Arial"/>
          <w:b/>
          <w:bCs/>
          <w:color w:val="005B9A"/>
          <w:sz w:val="24"/>
          <w:szCs w:val="24"/>
        </w:rPr>
        <w:t xml:space="preserve">6.2 Unit Testing Cases</w:t>
      </w:r>
    </w:p>
    <w:p>
      <w:pPr>
        <w:pStyle w:val="Heading3"/>
        <w:spacing w:after="120" w:before="240"/>
      </w:pPr>
      <w:r>
        <w:rPr>
          <w:rFonts w:ascii="Arial" w:cs="Arial" w:eastAsia="Arial" w:hAnsi="Arial"/>
          <w:b/>
          <w:bCs/>
          <w:color w:val="005B9A"/>
          <w:sz w:val="21"/>
          <w:szCs w:val="21"/>
        </w:rPr>
        <w:t xml:space="preserve">6.2.1 Functional</w:t>
      </w:r>
    </w:p>
    <w:tbl>
      <w:tblPr>
        <w:tblW w:type="dxa" w:w="9700"/>
        <w:tblBorders>
          <w:top w:val="single" w:color="AAB4BE" w:sz="4"/>
          <w:left w:val="single" w:color="AAB4BE" w:sz="4"/>
          <w:bottom w:val="single" w:color="AAB4BE" w:sz="4"/>
          <w:right w:val="single" w:color="AAB4BE" w:sz="4"/>
          <w:insideH w:val="single" w:color="AAB4BE" w:sz="4"/>
          <w:insideV w:val="single" w:color="AAB4BE" w:sz="4"/>
        </w:tblBorders>
      </w:tblPr>
      <w:tblGrid>
        <w:gridCol w:w="800"/>
        <w:gridCol w:w="3400"/>
        <w:gridCol w:w="3200"/>
        <w:gridCol w:w="2300"/>
      </w:tblGrid>
      <w:tr>
        <w:trPr>
          <w:tblHeader/>
        </w:trPr>
        <w:tc>
          <w:tcPr>
            <w:tcW w:type="dxa" w:w="8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Scenario #</w:t>
            </w:r>
          </w:p>
        </w:tc>
        <w:tc>
          <w:tcPr>
            <w:tcW w:type="dxa" w:w="34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Input / Selection criteria</w:t>
            </w:r>
          </w:p>
        </w:tc>
        <w:tc>
          <w:tcPr>
            <w:tcW w:type="dxa" w:w="32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Expected result</w:t>
            </w:r>
          </w:p>
        </w:tc>
        <w:tc>
          <w:tcPr>
            <w:tcW w:type="dxa" w:w="23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Actual result / Status</w:t>
            </w:r>
          </w:p>
        </w:tc>
      </w:tr>
      <w:tr>
        <w:trPr>
          <w:tblHeader w:val="false"/>
        </w:trPr>
        <w:tc>
          <w:tcPr>
            <w:tcW w:type="dxa" w:w="8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T1</w:t>
            </w:r>
          </w:p>
        </w:tc>
        <w:tc>
          <w:tcPr>
            <w:tcW w:type="dxa" w:w="34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Post a goods receipt of 10 EA against the order from preparation step 5, which has an open reservation (section 4.3 steps 1 to 11).</w:t>
            </w:r>
          </w:p>
        </w:tc>
        <w:tc>
          <w:tcPr>
            <w:tcW w:type="dxa" w:w="3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A 301 of 10 EA is posted from 8P01 to 8Q01 against the reservation; the reservation’s transferred quantity increases by 10; </w:t>
            </w:r>
            <w:r>
              <w:rPr>
                <w:rFonts w:ascii="Consolas" w:cs="Consolas" w:eastAsia="Consolas" w:hAnsi="Consolas"/>
                <w:b w:val="false"/>
                <w:bCs w:val="false"/>
                <w:sz w:val="18"/>
                <w:szCs w:val="18"/>
              </w:rPr>
              <w:t xml:space="preserve">ZMM_301_MOV_LOG</w:t>
            </w:r>
            <w:r>
              <w:rPr>
                <w:rFonts w:ascii="Arial" w:cs="Arial" w:eastAsia="Arial" w:hAnsi="Arial"/>
                <w:b w:val="false"/>
                <w:bCs w:val="false"/>
                <w:sz w:val="18"/>
                <w:szCs w:val="18"/>
              </w:rPr>
              <w:t xml:space="preserve"> records status S with the created material document.</w:t>
            </w:r>
          </w:p>
        </w:tc>
        <w:tc>
          <w:tcPr>
            <w:tcW w:type="dxa" w:w="2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To be completed during unit test</w:t>
            </w:r>
          </w:p>
        </w:tc>
      </w:tr>
      <w:tr>
        <w:trPr>
          <w:tblHeader w:val="false"/>
        </w:trPr>
        <w:tc>
          <w:tcPr>
            <w:tcW w:type="dxa" w:w="8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T2</w:t>
            </w:r>
          </w:p>
        </w:tc>
        <w:tc>
          <w:tcPr>
            <w:tcW w:type="dxa" w:w="3400"/>
            <w:tcMar>
              <w:top w:type="dxa" w:w="60"/>
              <w:left w:type="dxa" w:w="100"/>
              <w:bottom w:type="dxa" w:w="60"/>
              <w:right w:type="dxa" w:w="100"/>
            </w:tcMar>
          </w:tcPr>
          <w:p>
            <w:pPr>
              <w:spacing w:after="40" w:before="0"/>
            </w:pPr>
            <w:r>
              <w:rPr>
                <w:rFonts w:ascii="Arial" w:cs="Arial" w:eastAsia="Arial" w:hAnsi="Arial"/>
                <w:sz w:val="18"/>
                <w:szCs w:val="18"/>
                <w:b/>
                <w:bCs/>
              </w:rPr>
              <w:t xml:space="preserve">The goods receipt is sacred.</w:t>
            </w:r>
            <w:r>
              <w:rPr>
                <w:rFonts w:ascii="Arial" w:cs="Arial" w:eastAsia="Arial" w:hAnsi="Arial"/>
                <w:b w:val="false"/>
                <w:bCs w:val="false"/>
                <w:sz w:val="18"/>
                <w:szCs w:val="18"/>
              </w:rPr>
              <w:t xml:space="preserve"> Force the transfer to fail – for example by removing the destination storage location from the control entry – then post a goods receipt.</w:t>
            </w:r>
          </w:p>
        </w:tc>
        <w:tc>
          <w:tcPr>
            <w:tcW w:type="dxa" w:w="3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The goods receipt posts and commits normally. The transfer alone fails, is logged with status E and is flagged for repost. No short dump reaches the user posting the receipt.</w:t>
            </w:r>
          </w:p>
        </w:tc>
        <w:tc>
          <w:tcPr>
            <w:tcW w:type="dxa" w:w="2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To be completed during unit test</w:t>
            </w:r>
          </w:p>
        </w:tc>
      </w:tr>
      <w:tr>
        <w:trPr>
          <w:tblHeader w:val="false"/>
        </w:trPr>
        <w:tc>
          <w:tcPr>
            <w:tcW w:type="dxa" w:w="8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T3</w:t>
            </w:r>
          </w:p>
        </w:tc>
        <w:tc>
          <w:tcPr>
            <w:tcW w:type="dxa" w:w="34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Repair the configuration and repost the failed entry from ZMM301M in mode P.</w:t>
            </w:r>
          </w:p>
        </w:tc>
        <w:tc>
          <w:tcPr>
            <w:tcW w:type="dxa" w:w="3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The missing 301 is posted exactly once; the log row moves to status S.</w:t>
            </w:r>
          </w:p>
        </w:tc>
        <w:tc>
          <w:tcPr>
            <w:tcW w:type="dxa" w:w="2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To be completed during unit test</w:t>
            </w:r>
          </w:p>
        </w:tc>
      </w:tr>
      <w:tr>
        <w:trPr>
          <w:tblHeader w:val="false"/>
        </w:trPr>
        <w:tc>
          <w:tcPr>
            <w:tcW w:type="dxa" w:w="8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T4</w:t>
            </w:r>
          </w:p>
        </w:tc>
        <w:tc>
          <w:tcPr>
            <w:tcW w:type="dxa" w:w="34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Re-trigger the same source goods-receipt item, by a queue retry or by reposting it twice (step 3).</w:t>
            </w:r>
          </w:p>
        </w:tc>
        <w:tc>
          <w:tcPr>
            <w:tcW w:type="dxa" w:w="3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The second attempt is skipped as an idempotent duplicate. Only one 301 exists for the receipt.</w:t>
            </w:r>
          </w:p>
        </w:tc>
        <w:tc>
          <w:tcPr>
            <w:tcW w:type="dxa" w:w="2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To be completed during unit test</w:t>
            </w:r>
          </w:p>
        </w:tc>
      </w:tr>
      <w:tr>
        <w:trPr>
          <w:tblHeader w:val="false"/>
        </w:trPr>
        <w:tc>
          <w:tcPr>
            <w:tcW w:type="dxa" w:w="8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T5</w:t>
            </w:r>
          </w:p>
        </w:tc>
        <w:tc>
          <w:tcPr>
            <w:tcW w:type="dxa" w:w="34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Post a goods receipt for the batch-managed material from preparation step 6.</w:t>
            </w:r>
          </w:p>
        </w:tc>
        <w:tc>
          <w:tcPr>
            <w:tcW w:type="dxa" w:w="3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The 301 carries the same batch produced by the goods receipt, on both the issuing and the receiving side.</w:t>
            </w:r>
          </w:p>
        </w:tc>
        <w:tc>
          <w:tcPr>
            <w:tcW w:type="dxa" w:w="2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To be completed during unit test</w:t>
            </w:r>
          </w:p>
        </w:tc>
      </w:tr>
      <w:tr>
        <w:trPr>
          <w:tblHeader w:val="false"/>
        </w:trPr>
        <w:tc>
          <w:tcPr>
            <w:tcW w:type="dxa" w:w="8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T6</w:t>
            </w:r>
          </w:p>
        </w:tc>
        <w:tc>
          <w:tcPr>
            <w:tcW w:type="dxa" w:w="34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Split valuation: check the valuation types on the transfer posted in T1 (steps 8 to 10).</w:t>
            </w:r>
          </w:p>
        </w:tc>
        <w:tc>
          <w:tcPr>
            <w:tcW w:type="dxa" w:w="3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The issuing side carries </w:t>
            </w:r>
            <w:r>
              <w:rPr>
                <w:rFonts w:ascii="Arial" w:cs="Arial" w:eastAsia="Arial" w:hAnsi="Arial"/>
                <w:sz w:val="18"/>
                <w:szCs w:val="18"/>
                <w:b/>
                <w:bCs/>
              </w:rPr>
              <w:t xml:space="preserve">no</w:t>
            </w:r>
            <w:r>
              <w:rPr>
                <w:rFonts w:ascii="Arial" w:cs="Arial" w:eastAsia="Arial" w:hAnsi="Arial"/>
                <w:b w:val="false"/>
                <w:bCs w:val="false"/>
                <w:sz w:val="18"/>
                <w:szCs w:val="18"/>
              </w:rPr>
              <w:t xml:space="preserve"> valuation type and the receiving side carries the valuation type of the current fiscal year from </w:t>
            </w:r>
            <w:r>
              <w:rPr>
                <w:rFonts w:ascii="Consolas" w:cs="Consolas" w:eastAsia="Consolas" w:hAnsi="Consolas"/>
                <w:b w:val="false"/>
                <w:bCs w:val="false"/>
                <w:sz w:val="18"/>
                <w:szCs w:val="18"/>
              </w:rPr>
              <w:t xml:space="preserve">ZMM_301_VALTYPE</w:t>
            </w:r>
            <w:r>
              <w:rPr>
                <w:rFonts w:ascii="Arial" w:cs="Arial" w:eastAsia="Arial" w:hAnsi="Arial"/>
                <w:b w:val="false"/>
                <w:bCs w:val="false"/>
                <w:sz w:val="18"/>
                <w:szCs w:val="18"/>
              </w:rPr>
              <w:t xml:space="preserve">.</w:t>
            </w:r>
          </w:p>
        </w:tc>
        <w:tc>
          <w:tcPr>
            <w:tcW w:type="dxa" w:w="2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To be completed during unit test</w:t>
            </w:r>
          </w:p>
        </w:tc>
      </w:tr>
      <w:tr>
        <w:trPr>
          <w:tblHeader w:val="false"/>
        </w:trPr>
        <w:tc>
          <w:tcPr>
            <w:tcW w:type="dxa" w:w="8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T7</w:t>
            </w:r>
          </w:p>
        </w:tc>
        <w:tc>
          <w:tcPr>
            <w:tcW w:type="dxa" w:w="34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Post a goods receipt with a back-dated posting date in the previous fiscal year.</w:t>
            </w:r>
          </w:p>
        </w:tc>
        <w:tc>
          <w:tcPr>
            <w:tcW w:type="dxa" w:w="3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The receiving valuation type resolves to the </w:t>
            </w:r>
            <w:r>
              <w:rPr>
                <w:rFonts w:ascii="Arial" w:cs="Arial" w:eastAsia="Arial" w:hAnsi="Arial"/>
                <w:sz w:val="18"/>
                <w:szCs w:val="18"/>
                <w:b/>
                <w:bCs/>
              </w:rPr>
              <w:t xml:space="preserve">previous</w:t>
            </w:r>
            <w:r>
              <w:rPr>
                <w:rFonts w:ascii="Arial" w:cs="Arial" w:eastAsia="Arial" w:hAnsi="Arial"/>
                <w:b w:val="false"/>
                <w:bCs w:val="false"/>
                <w:sz w:val="18"/>
                <w:szCs w:val="18"/>
              </w:rPr>
              <w:t xml:space="preserve"> year’s type, taken from the posting date and not from the system date.</w:t>
            </w:r>
          </w:p>
        </w:tc>
        <w:tc>
          <w:tcPr>
            <w:tcW w:type="dxa" w:w="2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To be completed during unit test</w:t>
            </w:r>
          </w:p>
        </w:tc>
      </w:tr>
      <w:tr>
        <w:trPr>
          <w:tblHeader w:val="false"/>
        </w:trPr>
        <w:tc>
          <w:tcPr>
            <w:tcW w:type="dxa" w:w="8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T8</w:t>
            </w:r>
          </w:p>
        </w:tc>
        <w:tc>
          <w:tcPr>
            <w:tcW w:type="dxa" w:w="34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Post a goods receipt with a posting date in the fiscal year deliberately left unmapped in preparation step 3.</w:t>
            </w:r>
          </w:p>
        </w:tc>
        <w:tc>
          <w:tcPr>
            <w:tcW w:type="dxa" w:w="3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No transfer is posted; the entry is logged with status E naming the fiscal year and flagged for the monitor. No valuation type is guessed.</w:t>
            </w:r>
          </w:p>
        </w:tc>
        <w:tc>
          <w:tcPr>
            <w:tcW w:type="dxa" w:w="2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To be completed during unit test</w:t>
            </w:r>
          </w:p>
        </w:tc>
      </w:tr>
      <w:tr>
        <w:trPr>
          <w:tblHeader w:val="false"/>
        </w:trPr>
        <w:tc>
          <w:tcPr>
            <w:tcW w:type="dxa" w:w="8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T9</w:t>
            </w:r>
          </w:p>
        </w:tc>
        <w:tc>
          <w:tcPr>
            <w:tcW w:type="dxa" w:w="34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Cancel the goods receipt from T1 with a 102 (step 6).</w:t>
            </w:r>
          </w:p>
        </w:tc>
        <w:tc>
          <w:tcPr>
            <w:tcW w:type="dxa" w:w="3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A matching 302 is posted for the same quantity and batch; the reservation’s transferred quantity is corrected; the log entry is marked reversed.</w:t>
            </w:r>
          </w:p>
        </w:tc>
        <w:tc>
          <w:tcPr>
            <w:tcW w:type="dxa" w:w="2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To be completed during unit test</w:t>
            </w:r>
          </w:p>
        </w:tc>
      </w:tr>
      <w:tr>
        <w:trPr>
          <w:tblHeader w:val="false"/>
        </w:trPr>
        <w:tc>
          <w:tcPr>
            <w:tcW w:type="dxa" w:w="8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T10</w:t>
            </w:r>
          </w:p>
        </w:tc>
        <w:tc>
          <w:tcPr>
            <w:tcW w:type="dxa" w:w="34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Cancel a goods receipt that never produced a transfer.</w:t>
            </w:r>
          </w:p>
        </w:tc>
        <w:tc>
          <w:tcPr>
            <w:tcW w:type="dxa" w:w="3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A warning is logged and nothing is posted.</w:t>
            </w:r>
          </w:p>
        </w:tc>
        <w:tc>
          <w:tcPr>
            <w:tcW w:type="dxa" w:w="2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To be completed during unit test</w:t>
            </w:r>
          </w:p>
        </w:tc>
      </w:tr>
      <w:tr>
        <w:trPr>
          <w:tblHeader w:val="false"/>
        </w:trPr>
        <w:tc>
          <w:tcPr>
            <w:tcW w:type="dxa" w:w="8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T11</w:t>
            </w:r>
          </w:p>
        </w:tc>
        <w:tc>
          <w:tcPr>
            <w:tcW w:type="dxa" w:w="34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Post a goods receipt against the order from preparation step 8, which has no reservation, with NO_RESV_ACTION = P, then repeat with S.</w:t>
            </w:r>
          </w:p>
        </w:tc>
        <w:tc>
          <w:tcPr>
            <w:tcW w:type="dxa" w:w="3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With P the 301 is posted without a reservation reference and a warning is logged; with S no transfer is posted and a warning is logged. In both cases the goods receipt is unaffected.</w:t>
            </w:r>
          </w:p>
        </w:tc>
        <w:tc>
          <w:tcPr>
            <w:tcW w:type="dxa" w:w="2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To be completed during unit test</w:t>
            </w:r>
          </w:p>
        </w:tc>
      </w:tr>
      <w:tr>
        <w:trPr>
          <w:tblHeader w:val="false"/>
        </w:trPr>
        <w:tc>
          <w:tcPr>
            <w:tcW w:type="dxa" w:w="8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T12</w:t>
            </w:r>
          </w:p>
        </w:tc>
        <w:tc>
          <w:tcPr>
            <w:tcW w:type="dxa" w:w="34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Post a goods receipt in the plant from preparation step 9.</w:t>
            </w:r>
          </w:p>
        </w:tc>
        <w:tc>
          <w:tcPr>
            <w:tcW w:type="dxa" w:w="3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Ignored: no transfer and no log entry.</w:t>
            </w:r>
          </w:p>
        </w:tc>
        <w:tc>
          <w:tcPr>
            <w:tcW w:type="dxa" w:w="2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To be completed during unit test</w:t>
            </w:r>
          </w:p>
        </w:tc>
      </w:tr>
      <w:tr>
        <w:trPr>
          <w:tblHeader w:val="false"/>
        </w:trPr>
        <w:tc>
          <w:tcPr>
            <w:tcW w:type="dxa" w:w="8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T13</w:t>
            </w:r>
          </w:p>
        </w:tc>
        <w:tc>
          <w:tcPr>
            <w:tcW w:type="dxa" w:w="34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Post a goods issue or receipt for the component material from preparation step 10.</w:t>
            </w:r>
          </w:p>
        </w:tc>
        <w:tc>
          <w:tcPr>
            <w:tcW w:type="dxa" w:w="3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Ignored: only the order’s header material is transferred.</w:t>
            </w:r>
          </w:p>
        </w:tc>
        <w:tc>
          <w:tcPr>
            <w:tcW w:type="dxa" w:w="2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To be completed during unit test</w:t>
            </w:r>
          </w:p>
        </w:tc>
      </w:tr>
      <w:tr>
        <w:trPr>
          <w:tblHeader w:val="false"/>
        </w:trPr>
        <w:tc>
          <w:tcPr>
            <w:tcW w:type="dxa" w:w="8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T14</w:t>
            </w:r>
          </w:p>
        </w:tc>
        <w:tc>
          <w:tcPr>
            <w:tcW w:type="dxa" w:w="34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Unset </w:t>
            </w:r>
            <w:r>
              <w:rPr>
                <w:rFonts w:ascii="Consolas" w:cs="Consolas" w:eastAsia="Consolas" w:hAnsi="Consolas"/>
                <w:b w:val="false"/>
                <w:bCs w:val="false"/>
                <w:sz w:val="18"/>
                <w:szCs w:val="18"/>
              </w:rPr>
              <w:t xml:space="preserve">ZMM_301_CTRL-ACTIVE</w:t>
            </w:r>
            <w:r>
              <w:rPr>
                <w:rFonts w:ascii="Arial" w:cs="Arial" w:eastAsia="Arial" w:hAnsi="Arial"/>
                <w:b w:val="false"/>
                <w:bCs w:val="false"/>
                <w:sz w:val="18"/>
                <w:szCs w:val="18"/>
              </w:rPr>
              <w:t xml:space="preserve"> and post a goods receipt.</w:t>
            </w:r>
          </w:p>
        </w:tc>
        <w:tc>
          <w:tcPr>
            <w:tcW w:type="dxa" w:w="3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No transfer is posted and no unit is registered. The goods receipt is unaffected.</w:t>
            </w:r>
          </w:p>
        </w:tc>
        <w:tc>
          <w:tcPr>
            <w:tcW w:type="dxa" w:w="2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To be completed during unit test</w:t>
            </w:r>
          </w:p>
        </w:tc>
      </w:tr>
      <w:tr>
        <w:trPr>
          <w:tblHeader w:val="false"/>
        </w:trPr>
        <w:tc>
          <w:tcPr>
            <w:tcW w:type="dxa" w:w="8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T15</w:t>
            </w:r>
          </w:p>
        </w:tc>
        <w:tc>
          <w:tcPr>
            <w:tcW w:type="dxa" w:w="34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Post a goods receipt whose posting date falls outside the activation window.</w:t>
            </w:r>
          </w:p>
        </w:tc>
        <w:tc>
          <w:tcPr>
            <w:tcW w:type="dxa" w:w="3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Ignored, exactly as in T14.</w:t>
            </w:r>
          </w:p>
        </w:tc>
        <w:tc>
          <w:tcPr>
            <w:tcW w:type="dxa" w:w="2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To be completed during unit test</w:t>
            </w:r>
          </w:p>
        </w:tc>
      </w:tr>
      <w:tr>
        <w:trPr>
          <w:tblHeader w:val="false"/>
        </w:trPr>
        <w:tc>
          <w:tcPr>
            <w:tcW w:type="dxa" w:w="8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T16</w:t>
            </w:r>
          </w:p>
        </w:tc>
        <w:tc>
          <w:tcPr>
            <w:tcW w:type="dxa" w:w="34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Post an auto goods receipt through an MFBF backflush and through a CO11N confirmation.</w:t>
            </w:r>
          </w:p>
        </w:tc>
        <w:tc>
          <w:tcPr>
            <w:tcW w:type="dxa" w:w="3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The transfer is triggered exactly as for a MIGO receipt: detection is movement-type and order driven, not transaction driven.</w:t>
            </w:r>
          </w:p>
        </w:tc>
        <w:tc>
          <w:tcPr>
            <w:tcW w:type="dxa" w:w="2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To be completed during unit test</w:t>
            </w:r>
          </w:p>
        </w:tc>
      </w:tr>
      <w:tr>
        <w:trPr>
          <w:tblHeader w:val="false"/>
        </w:trPr>
        <w:tc>
          <w:tcPr>
            <w:tcW w:type="dxa" w:w="8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T17</w:t>
            </w:r>
          </w:p>
        </w:tc>
        <w:tc>
          <w:tcPr>
            <w:tcW w:type="dxa" w:w="34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Stop the queue scheduler, post several goods receipts, restart the scheduler and run ZMM301M in mode C for the period.</w:t>
            </w:r>
          </w:p>
        </w:tc>
        <w:tc>
          <w:tcPr>
            <w:tcW w:type="dxa" w:w="3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The receipts posted while the scheduler was stopped have no transfer; the catch-up sweep posts each of them exactly once, and receipts already transferred are skipped.</w:t>
            </w:r>
          </w:p>
        </w:tc>
        <w:tc>
          <w:tcPr>
            <w:tcW w:type="dxa" w:w="2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To be completed during unit test</w:t>
            </w:r>
          </w:p>
        </w:tc>
      </w:tr>
      <w:tr>
        <w:trPr>
          <w:tblHeader w:val="false"/>
        </w:trPr>
        <w:tc>
          <w:tcPr>
            <w:tcW w:type="dxa" w:w="8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T18</w:t>
            </w:r>
          </w:p>
        </w:tc>
        <w:tc>
          <w:tcPr>
            <w:tcW w:type="dxa" w:w="34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Cross-check with the companion object after T1: run R-xxx-SEG for the order.</w:t>
            </w:r>
          </w:p>
        </w:tc>
        <w:tc>
          <w:tcPr>
            <w:tcW w:type="dxa" w:w="3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The reservation’s open quantity equals the order’s open quantity and the status is *Unchanged*; no drift is reported.</w:t>
            </w:r>
          </w:p>
        </w:tc>
        <w:tc>
          <w:tcPr>
            <w:tcW w:type="dxa" w:w="2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To be completed during unit test</w:t>
            </w:r>
          </w:p>
        </w:tc>
      </w:tr>
      <w:tr>
        <w:trPr>
          <w:tblHeader w:val="false"/>
        </w:trPr>
        <w:tc>
          <w:tcPr>
            <w:tcW w:type="dxa" w:w="8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T19</w:t>
            </w:r>
          </w:p>
        </w:tc>
        <w:tc>
          <w:tcPr>
            <w:tcW w:type="dxa" w:w="34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Cross-check with the companion object after T2, while the transfer is still failed.</w:t>
            </w:r>
          </w:p>
        </w:tc>
        <w:tc>
          <w:tcPr>
            <w:tcW w:type="dxa" w:w="3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The companion object reports drift for that order, because the received quantity exceeds the transferred quantity.</w:t>
            </w:r>
          </w:p>
        </w:tc>
        <w:tc>
          <w:tcPr>
            <w:tcW w:type="dxa" w:w="2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To be completed during unit test</w:t>
            </w:r>
          </w:p>
        </w:tc>
      </w:tr>
    </w:tbl>
    <w:p>
      <w:pPr>
        <w:pStyle w:val="Heading3"/>
        <w:spacing w:after="120" w:before="240"/>
      </w:pPr>
      <w:r>
        <w:rPr>
          <w:rFonts w:ascii="Arial" w:cs="Arial" w:eastAsia="Arial" w:hAnsi="Arial"/>
          <w:b/>
          <w:bCs/>
          <w:color w:val="005B9A"/>
          <w:sz w:val="21"/>
          <w:szCs w:val="21"/>
        </w:rPr>
        <w:t xml:space="preserve">6.2.2 Technical</w:t>
      </w:r>
    </w:p>
    <w:tbl>
      <w:tblPr>
        <w:tblW w:type="dxa" w:w="9700"/>
        <w:tblBorders>
          <w:top w:val="single" w:color="AAB4BE" w:sz="4"/>
          <w:left w:val="single" w:color="AAB4BE" w:sz="4"/>
          <w:bottom w:val="single" w:color="AAB4BE" w:sz="4"/>
          <w:right w:val="single" w:color="AAB4BE" w:sz="4"/>
          <w:insideH w:val="single" w:color="AAB4BE" w:sz="4"/>
          <w:insideV w:val="single" w:color="AAB4BE" w:sz="4"/>
        </w:tblBorders>
      </w:tblPr>
      <w:tblGrid>
        <w:gridCol w:w="800"/>
        <w:gridCol w:w="3400"/>
        <w:gridCol w:w="3200"/>
        <w:gridCol w:w="2300"/>
      </w:tblGrid>
      <w:tr>
        <w:trPr>
          <w:tblHeader/>
        </w:trPr>
        <w:tc>
          <w:tcPr>
            <w:tcW w:type="dxa" w:w="8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Scenario #</w:t>
            </w:r>
          </w:p>
        </w:tc>
        <w:tc>
          <w:tcPr>
            <w:tcW w:type="dxa" w:w="34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Input / Selection criteria</w:t>
            </w:r>
          </w:p>
        </w:tc>
        <w:tc>
          <w:tcPr>
            <w:tcW w:type="dxa" w:w="32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Expected result</w:t>
            </w:r>
          </w:p>
        </w:tc>
        <w:tc>
          <w:tcPr>
            <w:tcW w:type="dxa" w:w="2300"/>
            <w:shd w:fill="D9E2EC"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Actual result / Status</w:t>
            </w:r>
          </w:p>
        </w:tc>
      </w:tr>
      <w:tr>
        <w:trPr>
          <w:tblHeader w:val="false"/>
        </w:trPr>
        <w:tc>
          <w:tcPr>
            <w:tcW w:type="dxa" w:w="8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TT1</w:t>
            </w:r>
          </w:p>
        </w:tc>
        <w:tc>
          <w:tcPr>
            <w:tcW w:type="dxa" w:w="34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ABAP Unit on the posting function, happy path: goods receipt of 10 EA, open reservation, valuation type mapped, with the database reads and the BAPI behind a test double.</w:t>
            </w:r>
          </w:p>
        </w:tc>
        <w:tc>
          <w:tcPr>
            <w:tcW w:type="dxa" w:w="3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The 301 is posted once with the reservation reference and the receiving valuation type set; the log row is written with status S.</w:t>
            </w:r>
          </w:p>
        </w:tc>
        <w:tc>
          <w:tcPr>
            <w:tcW w:type="dxa" w:w="2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To be completed during unit test</w:t>
            </w:r>
          </w:p>
        </w:tc>
      </w:tr>
      <w:tr>
        <w:trPr>
          <w:tblHeader w:val="false"/>
        </w:trPr>
        <w:tc>
          <w:tcPr>
            <w:tcW w:type="dxa" w:w="8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TT2</w:t>
            </w:r>
          </w:p>
        </w:tc>
        <w:tc>
          <w:tcPr>
            <w:tcW w:type="dxa" w:w="34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ABAP Unit on the posting function: a successful log row already exists for the source item.</w:t>
            </w:r>
          </w:p>
        </w:tc>
        <w:tc>
          <w:tcPr>
            <w:tcW w:type="dxa" w:w="3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The function returns immediately; the posting BAPI is never called.</w:t>
            </w:r>
          </w:p>
        </w:tc>
        <w:tc>
          <w:tcPr>
            <w:tcW w:type="dxa" w:w="2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To be completed during unit test</w:t>
            </w:r>
          </w:p>
        </w:tc>
      </w:tr>
      <w:tr>
        <w:trPr>
          <w:tblHeader w:val="false"/>
        </w:trPr>
        <w:tc>
          <w:tcPr>
            <w:tcW w:type="dxa" w:w="8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TT3</w:t>
            </w:r>
          </w:p>
        </w:tc>
        <w:tc>
          <w:tcPr>
            <w:tcW w:type="dxa" w:w="34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ABAP Unit on the posting function: no </w:t>
            </w:r>
            <w:r>
              <w:rPr>
                <w:rFonts w:ascii="Consolas" w:cs="Consolas" w:eastAsia="Consolas" w:hAnsi="Consolas"/>
                <w:b w:val="false"/>
                <w:bCs w:val="false"/>
                <w:sz w:val="18"/>
                <w:szCs w:val="18"/>
              </w:rPr>
              <w:t xml:space="preserve">ZMM_301_VALTYPE</w:t>
            </w:r>
            <w:r>
              <w:rPr>
                <w:rFonts w:ascii="Arial" w:cs="Arial" w:eastAsia="Arial" w:hAnsi="Arial"/>
                <w:b w:val="false"/>
                <w:bCs w:val="false"/>
                <w:sz w:val="18"/>
                <w:szCs w:val="18"/>
              </w:rPr>
              <w:t xml:space="preserve"> entry for the resolved fiscal year.</w:t>
            </w:r>
          </w:p>
        </w:tc>
        <w:tc>
          <w:tcPr>
            <w:tcW w:type="dxa" w:w="3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Status E is logged and nothing is posted.</w:t>
            </w:r>
          </w:p>
        </w:tc>
        <w:tc>
          <w:tcPr>
            <w:tcW w:type="dxa" w:w="2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To be completed during unit test</w:t>
            </w:r>
          </w:p>
        </w:tc>
      </w:tr>
      <w:tr>
        <w:trPr>
          <w:tblHeader w:val="false"/>
        </w:trPr>
        <w:tc>
          <w:tcPr>
            <w:tcW w:type="dxa" w:w="8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TT4</w:t>
            </w:r>
          </w:p>
        </w:tc>
        <w:tc>
          <w:tcPr>
            <w:tcW w:type="dxa" w:w="34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ABAP Unit on the posting function: no reservation, with NO_RESV_ACTION = S, then with P.</w:t>
            </w:r>
          </w:p>
        </w:tc>
        <w:tc>
          <w:tcPr>
            <w:tcW w:type="dxa" w:w="3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With S, status W and no posting. With P, the posting is made without a reservation reference and status W is logged.</w:t>
            </w:r>
          </w:p>
        </w:tc>
        <w:tc>
          <w:tcPr>
            <w:tcW w:type="dxa" w:w="2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To be completed during unit test</w:t>
            </w:r>
          </w:p>
        </w:tc>
      </w:tr>
      <w:tr>
        <w:trPr>
          <w:tblHeader w:val="false"/>
        </w:trPr>
        <w:tc>
          <w:tcPr>
            <w:tcW w:type="dxa" w:w="8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TT5</w:t>
            </w:r>
          </w:p>
        </w:tc>
        <w:tc>
          <w:tcPr>
            <w:tcW w:type="dxa" w:w="34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ABAP Unit on the posting function: reversal flag set with a prior 301 recorded.</w:t>
            </w:r>
          </w:p>
        </w:tc>
        <w:tc>
          <w:tcPr>
            <w:tcW w:type="dxa" w:w="3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The cancellation is called for the recorded material document and status R is logged.</w:t>
            </w:r>
          </w:p>
        </w:tc>
        <w:tc>
          <w:tcPr>
            <w:tcW w:type="dxa" w:w="2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To be completed during unit test</w:t>
            </w:r>
          </w:p>
        </w:tc>
      </w:tr>
      <w:tr>
        <w:trPr>
          <w:tblHeader w:val="false"/>
        </w:trPr>
        <w:tc>
          <w:tcPr>
            <w:tcW w:type="dxa" w:w="8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TT6</w:t>
            </w:r>
          </w:p>
        </w:tc>
        <w:tc>
          <w:tcPr>
            <w:tcW w:type="dxa" w:w="34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ABAP Unit on the posting function: control entry inactive.</w:t>
            </w:r>
          </w:p>
        </w:tc>
        <w:tc>
          <w:tcPr>
            <w:tcW w:type="dxa" w:w="3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The function returns immediately without posting.</w:t>
            </w:r>
          </w:p>
        </w:tc>
        <w:tc>
          <w:tcPr>
            <w:tcW w:type="dxa" w:w="2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To be completed during unit test</w:t>
            </w:r>
          </w:p>
        </w:tc>
      </w:tr>
      <w:tr>
        <w:trPr>
          <w:tblHeader w:val="false"/>
        </w:trPr>
        <w:tc>
          <w:tcPr>
            <w:tcW w:type="dxa" w:w="8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TT7</w:t>
            </w:r>
          </w:p>
        </w:tc>
        <w:tc>
          <w:tcPr>
            <w:tcW w:type="dxa" w:w="34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ABAP Unit on the posting function: fiscal-year derivation from a back-dated posting date across a year boundary.</w:t>
            </w:r>
          </w:p>
        </w:tc>
        <w:tc>
          <w:tcPr>
            <w:tcW w:type="dxa" w:w="3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The fiscal year resolves from the posting date, not from the system date, and the corresponding valuation type is selected.</w:t>
            </w:r>
          </w:p>
        </w:tc>
        <w:tc>
          <w:tcPr>
            <w:tcW w:type="dxa" w:w="2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To be completed during unit test</w:t>
            </w:r>
          </w:p>
        </w:tc>
      </w:tr>
      <w:tr>
        <w:trPr>
          <w:tblHeader w:val="false"/>
        </w:trPr>
        <w:tc>
          <w:tcPr>
            <w:tcW w:type="dxa" w:w="8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TT8</w:t>
            </w:r>
          </w:p>
        </w:tc>
        <w:tc>
          <w:tcPr>
            <w:tcW w:type="dxa" w:w="34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ABAP Unit on the trigger class: feed synthetic document items – movement types 101, 102 and others, header and component materials, in-scope and out-of-scope plants.</w:t>
            </w:r>
          </w:p>
        </w:tc>
        <w:tc>
          <w:tcPr>
            <w:tcW w:type="dxa" w:w="3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The posting function is registered only for the qualifying 101 and 102 items on the header material in an active issuing plant, and for nothing else.</w:t>
            </w:r>
          </w:p>
        </w:tc>
        <w:tc>
          <w:tcPr>
            <w:tcW w:type="dxa" w:w="2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To be completed during unit test</w:t>
            </w:r>
          </w:p>
        </w:tc>
      </w:tr>
      <w:tr>
        <w:trPr>
          <w:tblHeader w:val="false"/>
        </w:trPr>
        <w:tc>
          <w:tcPr>
            <w:tcW w:type="dxa" w:w="8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TT9</w:t>
            </w:r>
          </w:p>
        </w:tc>
        <w:tc>
          <w:tcPr>
            <w:tcW w:type="dxa" w:w="34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ABAP Unit on the trigger class: confirm it performs no database write and no posting.</w:t>
            </w:r>
          </w:p>
        </w:tc>
        <w:tc>
          <w:tcPr>
            <w:tcW w:type="dxa" w:w="3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Only the buffered control read and the header-material check occur; the goods receipt’s posting is not slowed and cannot be rolled back by this code.</w:t>
            </w:r>
          </w:p>
        </w:tc>
        <w:tc>
          <w:tcPr>
            <w:tcW w:type="dxa" w:w="2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To be completed during unit test</w:t>
            </w:r>
          </w:p>
        </w:tc>
      </w:tr>
      <w:tr>
        <w:trPr>
          <w:tblHeader w:val="false"/>
        </w:trPr>
        <w:tc>
          <w:tcPr>
            <w:tcW w:type="dxa" w:w="8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TT10</w:t>
            </w:r>
          </w:p>
        </w:tc>
        <w:tc>
          <w:tcPr>
            <w:tcW w:type="dxa" w:w="34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ABAP Unit on the monitor class: counters and idempotent skips in repost and catch-up mode.</w:t>
            </w:r>
          </w:p>
        </w:tc>
        <w:tc>
          <w:tcPr>
            <w:tcW w:type="dxa" w:w="3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The counts match the rows processed; already-transferred receipts are counted as skipped, not posted.</w:t>
            </w:r>
          </w:p>
        </w:tc>
        <w:tc>
          <w:tcPr>
            <w:tcW w:type="dxa" w:w="2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To be completed during unit test</w:t>
            </w:r>
          </w:p>
        </w:tc>
      </w:tr>
      <w:tr>
        <w:trPr>
          <w:tblHeader w:val="false"/>
        </w:trPr>
        <w:tc>
          <w:tcPr>
            <w:tcW w:type="dxa" w:w="8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TT11</w:t>
            </w:r>
          </w:p>
        </w:tc>
        <w:tc>
          <w:tcPr>
            <w:tcW w:type="dxa" w:w="34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Negative and zero quantities: a goods-receipt item with a zero or negative quantity.</w:t>
            </w:r>
          </w:p>
        </w:tc>
        <w:tc>
          <w:tcPr>
            <w:tcW w:type="dxa" w:w="3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No transfer is posted and no negative-quantity movement is ever created.</w:t>
            </w:r>
          </w:p>
        </w:tc>
        <w:tc>
          <w:tcPr>
            <w:tcW w:type="dxa" w:w="2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To be completed during unit test</w:t>
            </w:r>
          </w:p>
        </w:tc>
      </w:tr>
      <w:tr>
        <w:trPr>
          <w:tblHeader w:val="false"/>
        </w:trPr>
        <w:tc>
          <w:tcPr>
            <w:tcW w:type="dxa" w:w="8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TT12</w:t>
            </w:r>
          </w:p>
        </w:tc>
        <w:tc>
          <w:tcPr>
            <w:tcW w:type="dxa" w:w="34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Empty selection: run the monitor over a period with no goods receipts.</w:t>
            </w:r>
          </w:p>
        </w:tc>
        <w:tc>
          <w:tcPr>
            <w:tcW w:type="dxa" w:w="3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The run ends normally with zero counts and a run-log row; no short dump.</w:t>
            </w:r>
          </w:p>
        </w:tc>
        <w:tc>
          <w:tcPr>
            <w:tcW w:type="dxa" w:w="2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To be completed during unit test</w:t>
            </w:r>
          </w:p>
        </w:tc>
      </w:tr>
      <w:tr>
        <w:trPr>
          <w:tblHeader w:val="false"/>
        </w:trPr>
        <w:tc>
          <w:tcPr>
            <w:tcW w:type="dxa" w:w="8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TT13</w:t>
            </w:r>
          </w:p>
        </w:tc>
        <w:tc>
          <w:tcPr>
            <w:tcW w:type="dxa" w:w="34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Authorisation failure: run the posting in a context without </w:t>
            </w:r>
            <w:r>
              <w:rPr>
                <w:rFonts w:ascii="Consolas" w:cs="Consolas" w:eastAsia="Consolas" w:hAnsi="Consolas"/>
                <w:b w:val="false"/>
                <w:bCs w:val="false"/>
                <w:sz w:val="18"/>
                <w:szCs w:val="18"/>
              </w:rPr>
              <w:t xml:space="preserve">M_MSEG_WMB</w:t>
            </w:r>
            <w:r>
              <w:rPr>
                <w:rFonts w:ascii="Arial" w:cs="Arial" w:eastAsia="Arial" w:hAnsi="Arial"/>
                <w:b w:val="false"/>
                <w:bCs w:val="false"/>
                <w:sz w:val="18"/>
                <w:szCs w:val="18"/>
              </w:rPr>
              <w:t xml:space="preserve"> for the receiving plant.</w:t>
            </w:r>
          </w:p>
        </w:tc>
        <w:tc>
          <w:tcPr>
            <w:tcW w:type="dxa" w:w="3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The authorisation check fails before the BAPI call; the entry is logged with status E; the goods receipt is unaffected and no short dump occurs.</w:t>
            </w:r>
          </w:p>
        </w:tc>
        <w:tc>
          <w:tcPr>
            <w:tcW w:type="dxa" w:w="2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To be completed during unit test</w:t>
            </w:r>
          </w:p>
        </w:tc>
      </w:tr>
      <w:tr>
        <w:trPr>
          <w:tblHeader w:val="false"/>
        </w:trPr>
        <w:tc>
          <w:tcPr>
            <w:tcW w:type="dxa" w:w="8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TT14</w:t>
            </w:r>
          </w:p>
        </w:tc>
        <w:tc>
          <w:tcPr>
            <w:tcW w:type="dxa" w:w="34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Volume: an MFBF backflush posting many items in one material document.</w:t>
            </w:r>
          </w:p>
        </w:tc>
        <w:tc>
          <w:tcPr>
            <w:tcW w:type="dxa" w:w="3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One unit is registered per qualifying item; all are processed; the queue absorbs the burst and the goods receipt’s runtime is not measurably affected.</w:t>
            </w:r>
          </w:p>
        </w:tc>
        <w:tc>
          <w:tcPr>
            <w:tcW w:type="dxa" w:w="2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To be completed during unit test</w:t>
            </w:r>
          </w:p>
        </w:tc>
      </w:tr>
      <w:tr>
        <w:trPr>
          <w:tblHeader w:val="false"/>
        </w:trPr>
        <w:tc>
          <w:tcPr>
            <w:tcW w:type="dxa" w:w="8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TT15</w:t>
            </w:r>
          </w:p>
        </w:tc>
        <w:tc>
          <w:tcPr>
            <w:tcW w:type="dxa" w:w="34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Restart: interrupt the catch-up sweep mid-run and rerun it.</w:t>
            </w:r>
          </w:p>
        </w:tc>
        <w:tc>
          <w:tcPr>
            <w:tcW w:type="dxa" w:w="3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The transfers already posted are skipped on the rerun; the remainder are posted; nothing is transferred twice.</w:t>
            </w:r>
          </w:p>
        </w:tc>
        <w:tc>
          <w:tcPr>
            <w:tcW w:type="dxa" w:w="2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To be completed during unit test</w:t>
            </w:r>
          </w:p>
        </w:tc>
      </w:tr>
      <w:tr>
        <w:trPr>
          <w:tblHeader w:val="false"/>
        </w:trPr>
        <w:tc>
          <w:tcPr>
            <w:tcW w:type="dxa" w:w="8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TT16</w:t>
            </w:r>
          </w:p>
        </w:tc>
        <w:tc>
          <w:tcPr>
            <w:tcW w:type="dxa" w:w="34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Isolation under failure: force the posting to fail for one item of a multi-item goods receipt.</w:t>
            </w:r>
          </w:p>
        </w:tc>
        <w:tc>
          <w:tcPr>
            <w:tcW w:type="dxa" w:w="32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The other items are transferred normally; only the failing item is logged with status E; the goods receipt itself remains committed in full.</w:t>
            </w:r>
          </w:p>
        </w:tc>
        <w:tc>
          <w:tcPr>
            <w:tcW w:type="dxa" w:w="2300"/>
            <w:tcMar>
              <w:top w:type="dxa" w:w="60"/>
              <w:left w:type="dxa" w:w="100"/>
              <w:bottom w:type="dxa" w:w="60"/>
              <w:right w:type="dxa" w:w="100"/>
            </w:tcMar>
          </w:tcPr>
          <w:p>
            <w:pPr>
              <w:spacing w:after="40" w:before="0"/>
            </w:pPr>
            <w:r>
              <w:rPr>
                <w:rFonts w:ascii="Arial" w:cs="Arial" w:eastAsia="Arial" w:hAnsi="Arial"/>
                <w:b w:val="false"/>
                <w:bCs w:val="false"/>
                <w:sz w:val="18"/>
                <w:szCs w:val="18"/>
              </w:rPr>
              <w:t xml:space="preserve">To be completed during unit test</w:t>
            </w:r>
          </w:p>
        </w:tc>
      </w:tr>
    </w:tbl>
    <w:sectPr>
      <w:headerReference w:type="default" r:id="rId7"/>
      <w:footerReference w:type="default" r:id="rId8"/>
      <w:pgSz w:w="11906" w:h="16838" w:orient="portrait"/>
      <w:pgMar w:top="1134" w:right="1080" w:bottom="1134"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080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5B9A" w:sz="4" w:space="4"/>
      </w:pBdr>
      <w:jc w:val="right"/>
    </w:pPr>
    <w:r>
      <w:rPr>
        <w:rFonts w:ascii="Arial" w:cs="Arial" w:eastAsia="Arial" w:hAnsi="Arial"/>
        <w:color w:val="808080"/>
        <w:sz w:val="16"/>
        <w:szCs w:val="16"/>
      </w:rPr>
      <w:t xml:space="preserve">D-Project  |  Functional &amp; Technical Specification  |  E-xxx-SEG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WRICEF Functional &amp; Technical Specification – Blank Template</dc:title>
  <dc:creator>Forvis Mazars</dc:creator>
  <dc:description>Reusable blank WRICEF FSD/TSD template (all object types)</dc:description>
  <cp:lastModifiedBy>Un-named</cp:lastModifiedBy>
  <cp:revision>1</cp:revision>
  <dcterms:created xsi:type="dcterms:W3CDTF">2026-09-21T08:26:05.039Z</dcterms:created>
  <dcterms:modified xsi:type="dcterms:W3CDTF">2026-09-21T08:26:05.040Z</dcterms:modified>
</cp:coreProperties>
</file>

<file path=docProps/custom.xml><?xml version="1.0" encoding="utf-8"?>
<Properties xmlns="http://schemas.openxmlformats.org/officeDocument/2006/custom-properties" xmlns:vt="http://schemas.openxmlformats.org/officeDocument/2006/docPropsVTypes"/>
</file>