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 w:rsidR="00A77B3E">
      <w:pPr>
        <w:pStyle w:val="Heading1"/>
        <w:outlineLvl w:val="0"/>
        <w:rPr>
          <w:lang w:val="en" w:eastAsia="en"/>
        </w:rPr>
      </w:pPr>
      <w:r>
        <w:rPr>
          <w:lang w:val="en" w:eastAsia="en"/>
        </w:rPr>
        <w:t>Lawful basis assessment report</w:t>
      </w:r>
    </w:p>
    <w:p w:rsidR="00A77B3E">
      <w:pPr>
        <w:pStyle w:val="Heading2"/>
        <w:outlineLvl w:val="1"/>
        <w:rPr>
          <w:lang w:val="en" w:eastAsia="en"/>
        </w:rPr>
      </w:pPr>
      <w:r>
        <w:rPr>
          <w:lang w:val="en" w:eastAsia="en"/>
        </w:rPr>
        <w:t>Overall ratings</w:t>
      </w:r>
    </w:p>
    <w:p w:rsidR="00A77B3E">
      <w:pPr>
        <w:pStyle w:val="Heading2"/>
        <w:outlineLvl w:val="1"/>
        <w:rPr>
          <w:lang w:val="en" w:eastAsia="en"/>
        </w:rPr>
      </w:pPr>
      <w:r>
        <w:rPr>
          <w:lang w:val="en" w:eastAsia="en"/>
        </w:rPr>
        <w:t>Contract</w:t>
      </w:r>
    </w:p>
    <w:p w:rsidR="00A77B3E">
      <w:pPr>
        <w:pStyle w:val="Heading2"/>
        <w:outlineLvl w:val="1"/>
        <w:rPr>
          <w:lang w:val="en" w:eastAsia="en"/>
        </w:rPr>
      </w:pPr>
      <w:r>
        <w:rPr>
          <w:lang w:val="en" w:eastAsia="en"/>
        </w:rPr>
        <w:t>Legal obligation</w:t>
      </w:r>
    </w:p>
    <w:p w:rsidR="00A77B3E">
      <w:pPr>
        <w:pStyle w:val="Heading2"/>
        <w:outlineLvl w:val="1"/>
        <w:rPr>
          <w:lang w:val="en" w:eastAsia="en"/>
        </w:rPr>
      </w:pPr>
      <w:r>
        <w:rPr>
          <w:lang w:val="en" w:eastAsia="en"/>
        </w:rPr>
        <w:t>Vital interests</w:t>
      </w:r>
    </w:p>
    <w:p w:rsidR="00A77B3E">
      <w:pPr>
        <w:pStyle w:val="Heading2"/>
        <w:outlineLvl w:val="1"/>
        <w:rPr>
          <w:lang w:val="en" w:eastAsia="en"/>
        </w:rPr>
      </w:pPr>
      <w:r>
        <w:rPr>
          <w:lang w:val="en" w:eastAsia="en"/>
        </w:rPr>
        <w:t>Public task</w:t>
      </w:r>
    </w:p>
    <w:p w:rsidR="00A77B3E">
      <w:pPr>
        <w:pStyle w:val="Heading2"/>
        <w:outlineLvl w:val="1"/>
        <w:rPr>
          <w:lang w:val="en" w:eastAsia="en"/>
        </w:rPr>
      </w:pPr>
      <w:r>
        <w:rPr>
          <w:lang w:val="en" w:eastAsia="en"/>
        </w:rPr>
        <w:t>Recognised legitimate interest</w:t>
      </w:r>
    </w:p>
    <w:p w:rsidR="00A77B3E">
      <w:pPr>
        <w:pStyle w:val="Heading2"/>
        <w:outlineLvl w:val="1"/>
        <w:rPr>
          <w:lang w:val="en" w:eastAsia="en"/>
        </w:rPr>
      </w:pPr>
      <w:r>
        <w:rPr>
          <w:lang w:val="en" w:eastAsia="en"/>
        </w:rPr>
        <w:t>Consent </w:t>
      </w:r>
    </w:p>
    <w:p w:rsidR="00A77B3E">
      <w:pPr>
        <w:pStyle w:val="Heading2"/>
        <w:outlineLvl w:val="1"/>
        <w:rPr>
          <w:lang w:val="en" w:eastAsia="en"/>
        </w:rPr>
      </w:pPr>
      <w:r>
        <w:rPr>
          <w:lang w:val="en" w:eastAsia="en"/>
        </w:rPr>
        <w:t>Legitimate interests</w:t>
      </w:r>
    </w:p>
    <w:p w:rsidR="00A77B3E">
      <w:pPr>
        <w:rPr>
          <w:lang w:val="en" w:eastAsia="en"/>
        </w:rPr>
      </w:pPr>
      <w:r>
        <w:rPr>
          <w:lang w:val="en" w:eastAsia="en"/>
        </w:rPr>
        <w:t> </w:t>
      </w:r>
    </w:p>
    <w:p w:rsidR="00A77B3E">
      <w:pPr>
        <w:pStyle w:val="Heading2"/>
        <w:outlineLvl w:val="1"/>
        <w:rPr>
          <w:lang w:val="en" w:eastAsia="en"/>
        </w:rPr>
      </w:pPr>
      <w:r>
        <w:rPr>
          <w:lang w:val="en" w:eastAsia="en"/>
        </w:rPr>
        <w:t>The below lawful basis are likely to be appropriate for your data processing activities</w:t>
      </w:r>
    </w:p>
    <w:p w:rsidR="00A77B3E">
      <w:pPr>
        <w:pStyle w:val="Heading2"/>
        <w:outlineLvl w:val="1"/>
        <w:rPr>
          <w:lang w:val="en" w:eastAsia="en"/>
        </w:rPr>
      </w:pPr>
      <w:r>
        <w:rPr>
          <w:lang w:val="en" w:eastAsia="en"/>
        </w:rPr>
        <w:t>Legitimate interest: Your answers indicate that legitimate interests is likely to be an appropriate lawful basis.</w:t>
      </w:r>
    </w:p>
    <w:p w:rsidR="00A77B3E">
      <w:pPr>
        <w:pStyle w:val="Heading3"/>
        <w:outlineLvl w:val="2"/>
        <w:rPr>
          <w:lang w:val="en" w:eastAsia="en"/>
        </w:rPr>
      </w:pPr>
      <w:r>
        <w:rPr>
          <w:lang w:val="en" w:eastAsia="en"/>
        </w:rPr>
        <w:t>Suggested actions</w:t>
      </w:r>
    </w:p>
    <w:p w:rsidR="00A77B3E">
      <w:pPr>
        <w:rPr>
          <w:lang w:val="en" w:eastAsia="en"/>
        </w:rPr>
      </w:pPr>
      <w:r>
        <w:rPr>
          <w:lang w:val="en" w:eastAsia="en"/>
        </w:rPr>
        <w:t>Refer to our legitimate interests guidance to ensure that you can demonstrate that it applies. Remember to:</w:t>
      </w:r>
    </w:p>
    <w:p w:rsidR="00A77B3E">
      <w:pPr>
        <w:numPr>
          <w:ilvl w:val="0"/>
          <w:numId w:val="1"/>
        </w:numPr>
        <w:ind w:left="720" w:hanging="360"/>
        <w:jc w:val="left"/>
        <w:rPr>
          <w:lang w:val="en" w:eastAsia="en"/>
        </w:rPr>
      </w:pPr>
      <w:r>
        <w:rPr>
          <w:lang w:val="en" w:eastAsia="en"/>
        </w:rPr>
        <w:t>Keep a record of your legitimate interests assessment (LIA) and the outcome.</w:t>
      </w:r>
    </w:p>
    <w:p w:rsidR="00A77B3E">
      <w:pPr>
        <w:numPr>
          <w:ilvl w:val="0"/>
          <w:numId w:val="1"/>
        </w:numPr>
        <w:ind w:left="720" w:hanging="360"/>
        <w:jc w:val="left"/>
        <w:rPr>
          <w:lang w:val="en" w:eastAsia="en"/>
        </w:rPr>
      </w:pPr>
      <w:r>
        <w:rPr>
          <w:lang w:val="en" w:eastAsia="en"/>
        </w:rPr>
        <w:t>Keep your LIA under review and refresh it if there is a significant change.</w:t>
      </w:r>
    </w:p>
    <w:p w:rsidR="00A77B3E">
      <w:pPr>
        <w:numPr>
          <w:ilvl w:val="0"/>
          <w:numId w:val="1"/>
        </w:numPr>
        <w:ind w:left="720" w:hanging="360"/>
        <w:jc w:val="left"/>
        <w:rPr>
          <w:lang w:val="en" w:eastAsia="en"/>
        </w:rPr>
      </w:pPr>
      <w:r>
        <w:rPr>
          <w:lang w:val="en" w:eastAsia="en"/>
        </w:rPr>
        <w:t>If your LIA identifies significant risks, consider whether you need to do a data protection impact assessment (DPIA).</w:t>
      </w:r>
    </w:p>
    <w:p w:rsidR="00A77B3E">
      <w:pPr>
        <w:numPr>
          <w:ilvl w:val="0"/>
          <w:numId w:val="1"/>
        </w:numPr>
        <w:ind w:left="720" w:hanging="360"/>
        <w:jc w:val="left"/>
        <w:rPr>
          <w:lang w:val="en" w:eastAsia="en"/>
        </w:rPr>
      </w:pPr>
      <w:r>
        <w:rPr>
          <w:lang w:val="en" w:eastAsia="en"/>
        </w:rPr>
        <w:t>Include in your privacy notice that you are relying on legitimate interests, and explain what those interests are.</w:t>
      </w:r>
    </w:p>
    <w:p w:rsidR="00A77B3E">
      <w:pPr>
        <w:rPr>
          <w:lang w:val="en" w:eastAsia="en"/>
        </w:rPr>
      </w:pPr>
      <w:r>
        <w:rPr>
          <w:lang w:val="en" w:eastAsia="en"/>
        </w:rPr>
        <w:t>Where relevant, check that you comply with specific rules and safeguards, for example on marketing and/or profiling and automated decision-making.</w:t>
      </w:r>
    </w:p>
    <w:p w:rsidR="00A77B3E">
      <w:pPr>
        <w:rPr>
          <w:lang w:val="en" w:eastAsia="en"/>
        </w:rPr>
      </w:pPr>
      <w:r>
        <w:rPr>
          <w:lang w:val="en" w:eastAsia="en"/>
        </w:rPr>
        <w:t>If you are processing special category data or criminal offence data, you also need to identify a separate condition to allow you to process this type of data.</w:t>
      </w:r>
    </w:p>
    <w:p w:rsidR="00A77B3E">
      <w:pPr>
        <w:pStyle w:val="Heading3"/>
        <w:outlineLvl w:val="2"/>
        <w:rPr>
          <w:lang w:val="en" w:eastAsia="en"/>
        </w:rPr>
      </w:pPr>
      <w:r>
        <w:rPr>
          <w:lang w:val="en" w:eastAsia="en"/>
        </w:rPr>
        <w:t>Guidance</w:t>
      </w:r>
    </w:p>
    <w:p w:rsidR="00A77B3E">
      <w:pPr>
        <w:numPr>
          <w:ilvl w:val="0"/>
          <w:numId w:val="2"/>
        </w:numPr>
        <w:ind w:left="720" w:hanging="360"/>
        <w:jc w:val="left"/>
        <w:rPr>
          <w:lang w:val="en" w:eastAsia="en"/>
        </w:rPr>
      </w:pPr>
      <w:hyperlink r:id="rId4" w:tooltip="Legitimate interests" w:history="1">
        <w:r>
          <w:rPr>
            <w:lang w:val="en" w:eastAsia="en"/>
          </w:rPr>
          <w:t>Guide to lawful basis - legitimate interests</w:t>
        </w:r>
      </w:hyperlink>
    </w:p>
    <w:p w:rsidR="00A77B3E">
      <w:pPr>
        <w:numPr>
          <w:ilvl w:val="0"/>
          <w:numId w:val="2"/>
        </w:numPr>
        <w:ind w:left="720" w:hanging="360"/>
        <w:jc w:val="left"/>
        <w:rPr>
          <w:lang w:val="en" w:eastAsia="en"/>
        </w:rPr>
      </w:pPr>
      <w:hyperlink r:id="rId5" w:tooltip="LIA template" w:history="1">
        <w:r>
          <w:rPr>
            <w:lang w:val="en" w:eastAsia="en"/>
          </w:rPr>
          <w:t>LIA template</w:t>
        </w:r>
      </w:hyperlink>
    </w:p>
    <w:p w:rsidR="00A77B3E">
      <w:pPr>
        <w:numPr>
          <w:ilvl w:val="0"/>
          <w:numId w:val="2"/>
        </w:numPr>
        <w:ind w:left="720" w:hanging="360"/>
        <w:jc w:val="left"/>
        <w:rPr>
          <w:lang w:val="en" w:eastAsia="en"/>
        </w:rPr>
      </w:pPr>
      <w:hyperlink r:id="rId6" w:tooltip="Using children's information: a guide" w:history="1">
        <w:r>
          <w:rPr>
            <w:lang w:val="en" w:eastAsia="en"/>
          </w:rPr>
          <w:t>Using children's information: a guide</w:t>
        </w:r>
      </w:hyperlink>
    </w:p>
    <w:p w:rsidR="00A77B3E">
      <w:pPr>
        <w:numPr>
          <w:ilvl w:val="0"/>
          <w:numId w:val="2"/>
        </w:numPr>
        <w:ind w:left="720" w:hanging="360"/>
        <w:jc w:val="left"/>
        <w:rPr>
          <w:lang w:val="en" w:eastAsia="en"/>
        </w:rPr>
      </w:pPr>
      <w:hyperlink r:id="rId7" w:tooltip="Special category data" w:history="1">
        <w:r>
          <w:rPr>
            <w:lang w:val="en" w:eastAsia="en"/>
          </w:rPr>
          <w:t>Guide to lawful basis - special category data</w:t>
        </w:r>
      </w:hyperlink>
    </w:p>
    <w:p w:rsidR="00A77B3E">
      <w:pPr>
        <w:numPr>
          <w:ilvl w:val="0"/>
          <w:numId w:val="2"/>
        </w:numPr>
        <w:ind w:left="720" w:hanging="360"/>
        <w:jc w:val="left"/>
        <w:rPr>
          <w:lang w:val="en" w:eastAsia="en"/>
        </w:rPr>
      </w:pPr>
      <w:hyperlink r:id="rId8" w:tooltip="Criminal offence data" w:history="1">
        <w:r>
          <w:rPr>
            <w:lang w:val="en" w:eastAsia="en"/>
          </w:rPr>
          <w:t>Guide to lawful basis - criminal offence data</w:t>
        </w:r>
      </w:hyperlink>
    </w:p>
    <w:p w:rsidR="00A77B3E">
      <w:pPr>
        <w:numPr>
          <w:ilvl w:val="0"/>
          <w:numId w:val="2"/>
        </w:numPr>
        <w:ind w:left="720" w:hanging="360"/>
        <w:jc w:val="left"/>
        <w:rPr>
          <w:lang w:val="en" w:eastAsia="en"/>
        </w:rPr>
      </w:pPr>
      <w:hyperlink r:id="rId9" w:tooltip="Automated decision-making" w:history="1">
        <w:r>
          <w:rPr>
            <w:lang w:val="en" w:eastAsia="en"/>
          </w:rPr>
          <w:t>Guide to UK GDPR - profiling and automated decision-making</w:t>
        </w:r>
      </w:hyperlink>
    </w:p>
    <w:p w:rsidR="00A77B3E">
      <w:pPr>
        <w:rPr>
          <w:lang w:val="en" w:eastAsia="en"/>
        </w:rPr>
      </w:pPr>
      <w:r>
        <w:rPr>
          <w:lang w:val="en" w:eastAsia="en"/>
        </w:rPr>
        <w:t> </w:t>
      </w:r>
    </w:p>
    <w:p w:rsidR="00A77B3E">
      <w:pPr>
        <w:pStyle w:val="Heading2"/>
        <w:outlineLvl w:val="1"/>
        <w:rPr>
          <w:lang w:val="en" w:eastAsia="en"/>
        </w:rPr>
      </w:pPr>
      <w:r>
        <w:rPr>
          <w:lang w:val="en" w:eastAsia="en"/>
        </w:rPr>
        <w:t>Your answers were inconclusive for the following lawful basis</w:t>
      </w:r>
    </w:p>
    <w:p w:rsidR="00A77B3E">
      <w:pPr>
        <w:rPr>
          <w:lang w:val="en" w:eastAsia="en"/>
        </w:rPr>
      </w:pPr>
      <w:r>
        <w:rPr>
          <w:lang w:val="en" w:eastAsia="en"/>
        </w:rPr>
        <w:t> </w:t>
      </w:r>
    </w:p>
    <w:p w:rsidR="00A77B3E">
      <w:pPr>
        <w:pStyle w:val="Heading2"/>
        <w:outlineLvl w:val="1"/>
        <w:rPr>
          <w:lang w:val="en" w:eastAsia="en"/>
        </w:rPr>
      </w:pPr>
      <w:r>
        <w:rPr>
          <w:lang w:val="en" w:eastAsia="en"/>
        </w:rPr>
        <w:t>The lawful basis below are not appropriate for your data processing activities</w:t>
      </w:r>
    </w:p>
    <w:p w:rsidR="00A77B3E">
      <w:pPr>
        <w:rPr>
          <w:lang w:val="en" w:eastAsia="en"/>
        </w:rPr>
      </w:pPr>
      <w:r>
        <w:rPr>
          <w:lang w:val="en" w:eastAsia="en"/>
        </w:rPr>
        <w:t> </w:t>
      </w:r>
    </w:p>
    <w:p w:rsidR="00A77B3E">
      <w:pPr>
        <w:pStyle w:val="Heading2"/>
        <w:outlineLvl w:val="1"/>
        <w:rPr>
          <w:lang w:val="en" w:eastAsia="en"/>
        </w:rPr>
      </w:pPr>
      <w:r>
        <w:rPr>
          <w:lang w:val="en" w:eastAsia="en"/>
        </w:rPr>
        <w:t>Contract: Your answers indicate that contract is not an appropriate lawful basis.</w:t>
      </w:r>
    </w:p>
    <w:p w:rsidR="00A77B3E">
      <w:pPr>
        <w:pStyle w:val="Heading3"/>
        <w:outlineLvl w:val="2"/>
        <w:rPr>
          <w:lang w:val="en" w:eastAsia="en"/>
        </w:rPr>
      </w:pPr>
      <w:r>
        <w:rPr>
          <w:lang w:val="en" w:eastAsia="en"/>
        </w:rPr>
        <w:t>Suggested actions</w:t>
      </w:r>
    </w:p>
    <w:p w:rsidR="00A77B3E">
      <w:pPr>
        <w:rPr>
          <w:lang w:val="en" w:eastAsia="en"/>
        </w:rPr>
      </w:pPr>
      <w:r>
        <w:rPr>
          <w:lang w:val="en" w:eastAsia="en"/>
        </w:rPr>
        <w:t>You should look for another lawful basis for this processing.</w:t>
      </w:r>
    </w:p>
    <w:p w:rsidR="00A77B3E">
      <w:pPr>
        <w:pStyle w:val="Heading3"/>
        <w:outlineLvl w:val="2"/>
        <w:rPr>
          <w:lang w:val="en" w:eastAsia="en"/>
        </w:rPr>
      </w:pPr>
      <w:r>
        <w:rPr>
          <w:lang w:val="en" w:eastAsia="en"/>
        </w:rPr>
        <w:t>Guidance</w:t>
      </w:r>
    </w:p>
    <w:p w:rsidR="00A77B3E">
      <w:pPr>
        <w:rPr>
          <w:lang w:val="en" w:eastAsia="en"/>
        </w:rPr>
      </w:pPr>
      <w:hyperlink r:id="rId10" w:tooltip="A guide to lawful basis" w:history="1">
        <w:r>
          <w:rPr>
            <w:lang w:val="en" w:eastAsia="en"/>
          </w:rPr>
          <w:t>Guide to lawful basis</w:t>
        </w:r>
      </w:hyperlink>
    </w:p>
    <w:p w:rsidR="00A77B3E">
      <w:pPr>
        <w:rPr>
          <w:lang w:val="en" w:eastAsia="en"/>
        </w:rPr>
      </w:pPr>
      <w:r>
        <w:rPr>
          <w:lang w:val="en" w:eastAsia="en"/>
        </w:rPr>
        <w:t> </w:t>
      </w:r>
    </w:p>
    <w:p w:rsidR="00A77B3E">
      <w:pPr>
        <w:pStyle w:val="Heading2"/>
        <w:outlineLvl w:val="1"/>
        <w:rPr>
          <w:lang w:val="en" w:eastAsia="en"/>
        </w:rPr>
      </w:pPr>
      <w:r>
        <w:rPr>
          <w:lang w:val="en" w:eastAsia="en"/>
        </w:rPr>
        <w:t>Legal obligation: Your answers indicate that legal obligation is not an appropriate lawful basis.</w:t>
      </w:r>
    </w:p>
    <w:p w:rsidR="00A77B3E">
      <w:pPr>
        <w:pStyle w:val="Heading3"/>
        <w:outlineLvl w:val="2"/>
        <w:rPr>
          <w:lang w:val="en" w:eastAsia="en"/>
        </w:rPr>
      </w:pPr>
      <w:r>
        <w:rPr>
          <w:lang w:val="en" w:eastAsia="en"/>
        </w:rPr>
        <w:t>Suggested actions</w:t>
      </w:r>
    </w:p>
    <w:p w:rsidR="00A77B3E">
      <w:pPr>
        <w:rPr>
          <w:lang w:val="en" w:eastAsia="en"/>
        </w:rPr>
      </w:pPr>
      <w:r>
        <w:rPr>
          <w:lang w:val="en" w:eastAsia="en"/>
        </w:rPr>
        <w:t>You need to be able to identify a clear legal basis for the obligation. Seek legal advice if necessary. If you cannot point to a clear source for the obligation in question, you should consider another lawful basis or else rethink your processing.</w:t>
      </w:r>
    </w:p>
    <w:p w:rsidR="00A77B3E">
      <w:pPr>
        <w:pStyle w:val="Heading3"/>
        <w:outlineLvl w:val="2"/>
        <w:rPr>
          <w:lang w:val="en" w:eastAsia="en"/>
        </w:rPr>
      </w:pPr>
      <w:r>
        <w:rPr>
          <w:lang w:val="en" w:eastAsia="en"/>
        </w:rPr>
        <w:t>Guidance</w:t>
      </w:r>
    </w:p>
    <w:p w:rsidR="00A77B3E">
      <w:pPr>
        <w:rPr>
          <w:lang w:val="en" w:eastAsia="en"/>
        </w:rPr>
      </w:pPr>
      <w:hyperlink r:id="rId11" w:tooltip="Legal obligation" w:history="1">
        <w:r>
          <w:rPr>
            <w:lang w:val="en" w:eastAsia="en"/>
          </w:rPr>
          <w:t>Guide to lawful basis - legal obligation</w:t>
        </w:r>
      </w:hyperlink>
    </w:p>
    <w:p w:rsidR="00A77B3E">
      <w:pPr>
        <w:rPr>
          <w:lang w:val="en" w:eastAsia="en"/>
        </w:rPr>
      </w:pPr>
      <w:r>
        <w:rPr>
          <w:lang w:val="en" w:eastAsia="en"/>
        </w:rPr>
        <w:t> </w:t>
      </w:r>
    </w:p>
    <w:p w:rsidR="00A77B3E">
      <w:pPr>
        <w:pStyle w:val="Heading2"/>
        <w:outlineLvl w:val="1"/>
        <w:rPr>
          <w:lang w:val="en" w:eastAsia="en"/>
        </w:rPr>
      </w:pPr>
      <w:r>
        <w:rPr>
          <w:lang w:val="en" w:eastAsia="en"/>
        </w:rPr>
        <w:t>Vital interest: Your answers indicate that vital interests is not an appropriate lawful basis.</w:t>
      </w:r>
    </w:p>
    <w:p w:rsidR="00A77B3E">
      <w:pPr>
        <w:pStyle w:val="Heading3"/>
        <w:outlineLvl w:val="2"/>
        <w:rPr>
          <w:lang w:val="en" w:eastAsia="en"/>
        </w:rPr>
      </w:pPr>
      <w:r>
        <w:rPr>
          <w:lang w:val="en" w:eastAsia="en"/>
        </w:rPr>
        <w:t>Suggested actions</w:t>
      </w:r>
    </w:p>
    <w:p w:rsidR="00A77B3E">
      <w:pPr>
        <w:rPr>
          <w:lang w:val="en" w:eastAsia="en"/>
        </w:rPr>
      </w:pPr>
      <w:r>
        <w:rPr>
          <w:lang w:val="en" w:eastAsia="en"/>
        </w:rPr>
        <w:t>You should look for another lawful basis for this processing.</w:t>
      </w:r>
    </w:p>
    <w:p w:rsidR="00A77B3E">
      <w:pPr>
        <w:pStyle w:val="Heading3"/>
        <w:outlineLvl w:val="2"/>
        <w:rPr>
          <w:lang w:val="en" w:eastAsia="en"/>
        </w:rPr>
      </w:pPr>
      <w:r>
        <w:rPr>
          <w:lang w:val="en" w:eastAsia="en"/>
        </w:rPr>
        <w:t>Guidance</w:t>
      </w:r>
    </w:p>
    <w:p w:rsidR="00A77B3E">
      <w:pPr>
        <w:rPr>
          <w:lang w:val="en" w:eastAsia="en"/>
        </w:rPr>
      </w:pPr>
      <w:hyperlink r:id="rId10" w:tooltip="A guide to lawful basis" w:history="1">
        <w:r>
          <w:rPr>
            <w:lang w:val="en" w:eastAsia="en"/>
          </w:rPr>
          <w:t>Guide to lawful basis</w:t>
        </w:r>
      </w:hyperlink>
    </w:p>
    <w:p w:rsidR="00A77B3E">
      <w:pPr>
        <w:rPr>
          <w:lang w:val="en" w:eastAsia="en"/>
        </w:rPr>
      </w:pPr>
      <w:r>
        <w:rPr>
          <w:lang w:val="en" w:eastAsia="en"/>
        </w:rPr>
        <w:t> </w:t>
      </w:r>
    </w:p>
    <w:p w:rsidR="00A77B3E">
      <w:pPr>
        <w:pStyle w:val="Heading2"/>
        <w:outlineLvl w:val="1"/>
        <w:rPr>
          <w:lang w:val="en" w:eastAsia="en"/>
        </w:rPr>
      </w:pPr>
      <w:r>
        <w:rPr>
          <w:lang w:val="en" w:eastAsia="en"/>
        </w:rPr>
        <w:t>Public task: Your answers indicate that public task is not an appropriate lawful basis.</w:t>
      </w:r>
    </w:p>
    <w:p w:rsidR="00A77B3E">
      <w:pPr>
        <w:pStyle w:val="Heading3"/>
        <w:outlineLvl w:val="2"/>
        <w:rPr>
          <w:lang w:val="en" w:eastAsia="en"/>
        </w:rPr>
      </w:pPr>
      <w:r>
        <w:rPr>
          <w:lang w:val="en" w:eastAsia="en"/>
        </w:rPr>
        <w:t>Suggested actions</w:t>
      </w:r>
    </w:p>
    <w:p w:rsidR="00A77B3E">
      <w:pPr>
        <w:rPr>
          <w:lang w:val="en" w:eastAsia="en"/>
        </w:rPr>
      </w:pPr>
      <w:r>
        <w:rPr>
          <w:lang w:val="en" w:eastAsia="en"/>
        </w:rPr>
        <w:t>You should consider another lawful basis for this processing. Even if you are a public authority, legitimate interests is still available for processing which falls outside your tasks as a public authority. Other bases may also be available.</w:t>
      </w:r>
    </w:p>
    <w:p w:rsidR="00A77B3E">
      <w:pPr>
        <w:pStyle w:val="Heading3"/>
        <w:outlineLvl w:val="2"/>
        <w:rPr>
          <w:lang w:val="en" w:eastAsia="en"/>
        </w:rPr>
      </w:pPr>
      <w:r>
        <w:rPr>
          <w:lang w:val="en" w:eastAsia="en"/>
        </w:rPr>
        <w:t>Guidance</w:t>
      </w:r>
    </w:p>
    <w:p w:rsidR="00A77B3E">
      <w:pPr>
        <w:rPr>
          <w:lang w:val="en" w:eastAsia="en"/>
        </w:rPr>
      </w:pPr>
      <w:hyperlink r:id="rId10" w:tooltip="A guide to lawful basis" w:history="1">
        <w:r>
          <w:rPr>
            <w:lang w:val="en" w:eastAsia="en"/>
          </w:rPr>
          <w:t>Guide to lawful basis</w:t>
        </w:r>
      </w:hyperlink>
    </w:p>
    <w:p w:rsidR="00A77B3E">
      <w:pPr>
        <w:rPr>
          <w:lang w:val="en" w:eastAsia="en"/>
        </w:rPr>
      </w:pPr>
      <w:r>
        <w:rPr>
          <w:lang w:val="en" w:eastAsia="en"/>
        </w:rPr>
        <w:t> </w:t>
      </w:r>
    </w:p>
    <w:p w:rsidR="00A77B3E">
      <w:pPr>
        <w:pStyle w:val="Heading2"/>
        <w:outlineLvl w:val="1"/>
        <w:rPr>
          <w:lang w:val="en" w:eastAsia="en"/>
        </w:rPr>
      </w:pPr>
      <w:r>
        <w:rPr>
          <w:lang w:val="en" w:eastAsia="en"/>
        </w:rPr>
        <w:t>Recognised legitimate interest: Your answers indicate that recognised legitimate interest is not an appropriate lawful basis.</w:t>
      </w:r>
    </w:p>
    <w:p w:rsidR="00A77B3E">
      <w:pPr>
        <w:pStyle w:val="Heading3"/>
        <w:outlineLvl w:val="2"/>
        <w:rPr>
          <w:lang w:val="en" w:eastAsia="en"/>
        </w:rPr>
      </w:pPr>
      <w:r>
        <w:rPr>
          <w:lang w:val="en" w:eastAsia="en"/>
        </w:rPr>
        <w:t>Suggested actions</w:t>
      </w:r>
    </w:p>
    <w:p w:rsidR="00A77B3E">
      <w:pPr>
        <w:rPr>
          <w:lang w:val="en" w:eastAsia="en"/>
        </w:rPr>
      </w:pPr>
      <w:r>
        <w:rPr>
          <w:lang w:val="en" w:eastAsia="en"/>
        </w:rPr>
        <w:t>You should look for another lawful basis for this processing.</w:t>
      </w:r>
    </w:p>
    <w:p w:rsidR="00A77B3E">
      <w:pPr>
        <w:pStyle w:val="Heading3"/>
        <w:outlineLvl w:val="2"/>
        <w:rPr>
          <w:lang w:val="en" w:eastAsia="en"/>
        </w:rPr>
      </w:pPr>
      <w:r>
        <w:rPr>
          <w:lang w:val="en" w:eastAsia="en"/>
        </w:rPr>
        <w:t>Guidance</w:t>
      </w:r>
    </w:p>
    <w:p w:rsidR="00A77B3E">
      <w:pPr>
        <w:numPr>
          <w:ilvl w:val="0"/>
          <w:numId w:val="3"/>
        </w:numPr>
        <w:ind w:left="720" w:hanging="360"/>
        <w:jc w:val="left"/>
        <w:rPr>
          <w:lang w:val="en" w:eastAsia="en"/>
        </w:rPr>
      </w:pPr>
      <w:hyperlink r:id="rId10" w:tooltip="A guide to lawful basis" w:history="1">
        <w:r>
          <w:rPr>
            <w:lang w:val="en" w:eastAsia="en"/>
          </w:rPr>
          <w:t>Guide to lawful basis</w:t>
        </w:r>
      </w:hyperlink>
    </w:p>
    <w:p w:rsidR="00A77B3E">
      <w:pPr>
        <w:rPr>
          <w:lang w:val="en" w:eastAsia="en"/>
        </w:rPr>
      </w:pPr>
      <w:r>
        <w:rPr>
          <w:lang w:val="en" w:eastAsia="en"/>
        </w:rPr>
        <w:t> </w:t>
      </w:r>
    </w:p>
    <w:p w:rsidR="00A77B3E">
      <w:pPr>
        <w:rPr>
          <w:lang w:val="en" w:eastAsia="en"/>
        </w:rPr>
      </w:pPr>
      <w:r>
        <w:rPr>
          <w:lang w:val="en" w:eastAsia="en"/>
        </w:rPr>
        <w:t> </w:t>
      </w:r>
    </w:p>
    <w:p w:rsidR="00A77B3E">
      <w:pPr>
        <w:pStyle w:val="Heading2"/>
        <w:outlineLvl w:val="1"/>
        <w:rPr>
          <w:lang w:val="en" w:eastAsia="en"/>
        </w:rPr>
      </w:pPr>
      <w:r>
        <w:rPr>
          <w:lang w:val="en" w:eastAsia="en"/>
        </w:rPr>
        <w:t>Consent: Your answers indicate that consent would not be appropriate and/or is likely to be invalid.</w:t>
      </w:r>
    </w:p>
    <w:p w:rsidR="00A77B3E">
      <w:pPr>
        <w:pStyle w:val="Heading3"/>
        <w:outlineLvl w:val="2"/>
        <w:rPr>
          <w:lang w:val="en" w:eastAsia="en"/>
        </w:rPr>
      </w:pPr>
      <w:r>
        <w:rPr>
          <w:lang w:val="en" w:eastAsia="en"/>
        </w:rPr>
        <w:t>Suggested actions</w:t>
      </w:r>
    </w:p>
    <w:p w:rsidR="00A77B3E">
      <w:pPr>
        <w:rPr>
          <w:lang w:val="en" w:eastAsia="en"/>
        </w:rPr>
      </w:pPr>
      <w:r>
        <w:rPr>
          <w:lang w:val="en" w:eastAsia="en"/>
        </w:rPr>
        <w:t>If you can't offer a genuine free and ongoing choice, you should look for another lawful basis for your processing.</w:t>
      </w:r>
    </w:p>
    <w:p w:rsidR="00A77B3E">
      <w:pPr>
        <w:pStyle w:val="Heading3"/>
        <w:outlineLvl w:val="2"/>
        <w:rPr>
          <w:lang w:val="en" w:eastAsia="en"/>
        </w:rPr>
      </w:pPr>
      <w:r>
        <w:rPr>
          <w:lang w:val="en" w:eastAsia="en"/>
        </w:rPr>
        <w:t>Guidance</w:t>
      </w:r>
    </w:p>
    <w:p w:rsidR="00A77B3E">
      <w:pPr>
        <w:rPr>
          <w:lang w:val="en" w:eastAsia="en"/>
        </w:rPr>
      </w:pPr>
      <w:hyperlink r:id="rId12" w:tooltip="Consent" w:history="1">
        <w:r>
          <w:rPr>
            <w:lang w:val="en" w:eastAsia="en"/>
          </w:rPr>
          <w:t>Guide to lawful basis - consent</w:t>
        </w:r>
      </w:hyperlink>
    </w:p>
    <w:p w:rsidR="00A77B3E">
      <w:pPr>
        <w:rPr>
          <w:lang w:val="en" w:eastAsia="en"/>
        </w:rPr>
      </w:pPr>
      <w:r>
        <w:rPr>
          <w:lang w:val="en" w:eastAsia="en"/>
        </w:rPr>
        <w:t> </w:t>
      </w:r>
    </w:p>
    <w:p w:rsidR="00A77B3E">
      <w:pPr>
        <w:rPr>
          <w:lang w:val="en" w:eastAsia="en"/>
        </w:rPr>
      </w:pPr>
      <w:r>
        <w:rPr>
          <w:lang w:val="en" w:eastAsia="en"/>
        </w:rPr>
        <w:t xml:space="preserve">If you have an problem downloading the report into a word document </w:t>
      </w:r>
      <w:hyperlink r:id="rId13" w:tooltip="Website feedback" w:history="1">
        <w:r>
          <w:rPr>
            <w:lang w:val="en" w:eastAsia="en"/>
          </w:rPr>
          <w:t>please let us know</w:t>
        </w:r>
      </w:hyperlink>
      <w:r>
        <w:rPr>
          <w:lang w:val="en" w:eastAsia="en"/>
        </w:rPr>
        <w:t>.</w:t>
      </w:r>
    </w:p>
    <w:p w:rsidR="00A77B3E">
      <w:pPr>
        <w:rPr>
          <w:lang w:val="en" w:eastAsia="en"/>
        </w:rPr>
      </w:pPr>
      <w:r>
        <w:rPr>
          <w:lang w:val="en" w:eastAsia="en"/>
        </w:rPr>
        <w:t> </w:t>
      </w:r>
    </w:p>
    <w:p w:rsidR="00A77B3E">
      <w:pPr>
        <w:rPr>
          <w:lang w:val="en" w:eastAsia="en"/>
        </w:rPr>
      </w:pPr>
      <w:r>
        <w:rPr>
          <w:lang w:val="en" w:eastAsia="en"/>
        </w:rPr>
        <w:t> </w:t>
      </w:r>
    </w:p>
    <w:p w:rsidR="00A77B3E">
      <w:pPr>
        <w:rPr>
          <w:lang w:val="en" w:eastAsia="en"/>
        </w:rPr>
      </w:pPr>
      <w:r>
        <w:rPr>
          <w:lang w:val="en" w:eastAsia="en"/>
        </w:rPr>
        <w:t> </w:t>
      </w:r>
    </w:p>
    <w:p w:rsidR="00A77B3E"/>
    <w:sectPr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tabs>
        <w:tab w:val="right" w:pos="9026"/>
      </w:tabs>
      <w:rPr>
        <w:rFonts w:ascii="Verdana" w:eastAsia="Verdana" w:hAnsi="Verdana" w:cs="Verdana"/>
        <w:color w:val="808080"/>
        <w:sz w:val="20"/>
      </w:rPr>
    </w:pPr>
    <w:r>
      <w:rPr>
        <w:rFonts w:ascii="Verdana" w:eastAsia="Verdana" w:hAnsi="Verdana" w:cs="Verdana"/>
        <w:color w:val="808080"/>
        <w:sz w:val="20"/>
      </w:rPr>
      <w:t>26 August 2026</w:t>
    </w:r>
    <w:r>
      <w:rPr>
        <w:rFonts w:ascii="Verdana" w:eastAsia="Verdana" w:hAnsi="Verdana" w:cs="Verdana"/>
        <w:color w:val="808080"/>
        <w:sz w:val="20"/>
      </w:rPr>
      <w:tab/>
    </w:r>
    <w:r>
      <w:rPr>
        <w:rFonts w:ascii="Verdana" w:eastAsia="Verdana" w:hAnsi="Verdana" w:cs="Verdana"/>
        <w:color w:val="808080"/>
        <w:sz w:val="20"/>
      </w:rPr>
      <w:fldChar w:fldCharType="begin"/>
    </w:r>
    <w:r>
      <w:rPr>
        <w:rFonts w:ascii="Verdana" w:eastAsia="Verdana" w:hAnsi="Verdana" w:cs="Verdana"/>
        <w:color w:val="808080"/>
        <w:sz w:val="20"/>
      </w:rPr>
      <w:instrText>PAGE</w:instrText>
    </w:r>
    <w:r>
      <w:rPr>
        <w:rFonts w:ascii="Verdana" w:eastAsia="Verdana" w:hAnsi="Verdana" w:cs="Verdana"/>
        <w:color w:val="808080"/>
        <w:sz w:val="20"/>
      </w:rPr>
      <w:fldChar w:fldCharType="separate"/>
    </w:r>
    <w:r>
      <w:rPr>
        <w:rFonts w:ascii="Verdana" w:eastAsia="Verdana" w:hAnsi="Verdana" w:cs="Verdana"/>
        <w:color w:val="808080"/>
        <w:sz w:val="20"/>
      </w:rPr>
      <w:t>Page</w:t>
    </w:r>
    <w:r>
      <w:rPr>
        <w:rFonts w:ascii="Verdana" w:eastAsia="Verdana" w:hAnsi="Verdana" w:cs="Verdana"/>
        <w:color w:val="808080"/>
        <w:sz w:val="20"/>
      </w:rP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ico.org.uk/for-organisations/uk-gdpr-guidance-and-resources/lawful-basis/a-guide-to-lawful-basis/" TargetMode="External" /><Relationship Id="rId11" Type="http://schemas.openxmlformats.org/officeDocument/2006/relationships/hyperlink" Target="https://ico.org.uk/for-organisations/uk-gdpr-guidance-and-resources/lawful-basis/a-guide-to-lawful-basis/legal-obligation/" TargetMode="External" /><Relationship Id="rId12" Type="http://schemas.openxmlformats.org/officeDocument/2006/relationships/hyperlink" Target="https://ico.org.uk/for-organisations/uk-gdpr-guidance-and-resources/lawful-basis/a-guide-to-lawful-basis/consent/" TargetMode="External" /><Relationship Id="rId13" Type="http://schemas.openxmlformats.org/officeDocument/2006/relationships/hyperlink" Target="mailto:websitefeedback@ico.org.uk" TargetMode="External" /><Relationship Id="rId14" Type="http://schemas.openxmlformats.org/officeDocument/2006/relationships/footer" Target="footer1.xm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ico.org.uk/for-organisations/uk-gdpr-guidance-and-resources/lawful-basis/a-guide-to-lawful-basis/legitimate-interests/" TargetMode="External" /><Relationship Id="rId5" Type="http://schemas.openxmlformats.org/officeDocument/2006/relationships/hyperlink" Target="https://ico.org.uk/media2/kz5jih4c/gdpr-guidance-legitimate-interests-sample-lia-template.docx" TargetMode="External" /><Relationship Id="rId6" Type="http://schemas.openxmlformats.org/officeDocument/2006/relationships/hyperlink" Target="https://ico.org.uk/for-organisations/uk-gdpr-guidance-and-resources/childrens-information/using-childrens-information-a-guide-old/" TargetMode="External" /><Relationship Id="rId7" Type="http://schemas.openxmlformats.org/officeDocument/2006/relationships/hyperlink" Target="https://ico.org.uk/for-organisations/uk-gdpr-guidance-and-resources/lawful-basis/a-guide-to-lawful-basis/special-category-data/" TargetMode="External" /><Relationship Id="rId8" Type="http://schemas.openxmlformats.org/officeDocument/2006/relationships/hyperlink" Target="https://ico.org.uk/for-organisations/uk-gdpr-guidance-and-resources/lawful-basis/a-guide-to-lawful-basis/criminal-offence-data/" TargetMode="External" /><Relationship Id="rId9" Type="http://schemas.openxmlformats.org/officeDocument/2006/relationships/hyperlink" Target="https://ico.org.uk/for-organisations/uk-gdpr-guidance-and-resources/individual-rights/automated-decision-makin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- Lawful basis assessment report</dc:title>
  <cp:revision>1</cp:revision>
</cp:coreProperties>
</file>