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Heading1"/>
        <w:outlineLvl w:val="0"/>
        <w:rPr>
          <w:lang w:val="en" w:eastAsia="en"/>
        </w:rPr>
      </w:pPr>
      <w:r>
        <w:rPr>
          <w:lang w:val="en" w:eastAsia="en"/>
        </w:rPr>
        <w:t>Lawful basis assessment report</w:t>
      </w:r>
    </w:p>
    <w:p w:rsidR="00A77B3E">
      <w:pPr>
        <w:pStyle w:val="Heading2"/>
        <w:outlineLvl w:val="1"/>
        <w:rPr>
          <w:lang w:val="en" w:eastAsia="en"/>
        </w:rPr>
      </w:pPr>
      <w:r>
        <w:rPr>
          <w:lang w:val="en" w:eastAsia="en"/>
        </w:rPr>
        <w:t>Overall ratings</w:t>
      </w:r>
    </w:p>
    <w:p w:rsidR="00A77B3E">
      <w:pPr>
        <w:pStyle w:val="Heading2"/>
        <w:outlineLvl w:val="1"/>
        <w:rPr>
          <w:lang w:val="en" w:eastAsia="en"/>
        </w:rPr>
      </w:pPr>
      <w:r>
        <w:rPr>
          <w:lang w:val="en" w:eastAsia="en"/>
        </w:rPr>
        <w:t>Contract</w:t>
      </w:r>
    </w:p>
    <w:p w:rsidR="00A77B3E">
      <w:pPr>
        <w:pStyle w:val="Heading2"/>
        <w:outlineLvl w:val="1"/>
        <w:rPr>
          <w:lang w:val="en" w:eastAsia="en"/>
        </w:rPr>
      </w:pPr>
      <w:r>
        <w:rPr>
          <w:lang w:val="en" w:eastAsia="en"/>
        </w:rPr>
        <w:t>Legal obligation</w:t>
      </w:r>
    </w:p>
    <w:p w:rsidR="00A77B3E">
      <w:pPr>
        <w:pStyle w:val="Heading2"/>
        <w:outlineLvl w:val="1"/>
        <w:rPr>
          <w:lang w:val="en" w:eastAsia="en"/>
        </w:rPr>
      </w:pPr>
      <w:r>
        <w:rPr>
          <w:lang w:val="en" w:eastAsia="en"/>
        </w:rPr>
        <w:t>Vital interests</w:t>
      </w:r>
    </w:p>
    <w:p w:rsidR="00A77B3E">
      <w:pPr>
        <w:pStyle w:val="Heading2"/>
        <w:outlineLvl w:val="1"/>
        <w:rPr>
          <w:lang w:val="en" w:eastAsia="en"/>
        </w:rPr>
      </w:pPr>
      <w:r>
        <w:rPr>
          <w:lang w:val="en" w:eastAsia="en"/>
        </w:rPr>
        <w:t>Public task</w:t>
      </w:r>
    </w:p>
    <w:p w:rsidR="00A77B3E">
      <w:pPr>
        <w:pStyle w:val="Heading2"/>
        <w:outlineLvl w:val="1"/>
        <w:rPr>
          <w:lang w:val="en" w:eastAsia="en"/>
        </w:rPr>
      </w:pPr>
      <w:r>
        <w:rPr>
          <w:lang w:val="en" w:eastAsia="en"/>
        </w:rPr>
        <w:t>Recognised legitimate interest</w:t>
      </w:r>
    </w:p>
    <w:p w:rsidR="00A77B3E">
      <w:pPr>
        <w:pStyle w:val="Heading2"/>
        <w:outlineLvl w:val="1"/>
        <w:rPr>
          <w:lang w:val="en" w:eastAsia="en"/>
        </w:rPr>
      </w:pPr>
      <w:r>
        <w:rPr>
          <w:lang w:val="en" w:eastAsia="en"/>
        </w:rPr>
        <w:t>Consent </w:t>
      </w:r>
    </w:p>
    <w:p w:rsidR="00A77B3E">
      <w:pPr>
        <w:pStyle w:val="Heading2"/>
        <w:outlineLvl w:val="1"/>
        <w:rPr>
          <w:lang w:val="en" w:eastAsia="en"/>
        </w:rPr>
      </w:pPr>
      <w:r>
        <w:rPr>
          <w:lang w:val="en" w:eastAsia="en"/>
        </w:rPr>
        <w:t>Legitimate interests</w:t>
      </w:r>
    </w:p>
    <w:p w:rsidR="00A77B3E">
      <w:pPr>
        <w:rPr>
          <w:lang w:val="en" w:eastAsia="en"/>
        </w:rPr>
      </w:pPr>
      <w:r>
        <w:rPr>
          <w:lang w:val="en" w:eastAsia="en"/>
        </w:rPr>
        <w:t> </w:t>
      </w:r>
    </w:p>
    <w:p w:rsidR="00A77B3E">
      <w:pPr>
        <w:pStyle w:val="Heading2"/>
        <w:outlineLvl w:val="1"/>
        <w:rPr>
          <w:lang w:val="en" w:eastAsia="en"/>
        </w:rPr>
      </w:pPr>
      <w:r>
        <w:rPr>
          <w:lang w:val="en" w:eastAsia="en"/>
        </w:rPr>
        <w:t>The below lawful basis are likely to be appropriate for your data processing activities</w:t>
      </w:r>
    </w:p>
    <w:p w:rsidR="00A77B3E">
      <w:pPr>
        <w:pStyle w:val="Heading2"/>
        <w:outlineLvl w:val="1"/>
        <w:rPr>
          <w:lang w:val="en" w:eastAsia="en"/>
        </w:rPr>
      </w:pPr>
      <w:r>
        <w:rPr>
          <w:lang w:val="en" w:eastAsia="en"/>
        </w:rPr>
        <w:t>Your answers were inconclusive for the following lawful basis</w:t>
      </w:r>
    </w:p>
    <w:p w:rsidR="00A77B3E">
      <w:pPr>
        <w:rPr>
          <w:lang w:val="en" w:eastAsia="en"/>
        </w:rPr>
      </w:pPr>
      <w:r>
        <w:rPr>
          <w:lang w:val="en" w:eastAsia="en"/>
        </w:rPr>
        <w:t> </w:t>
      </w:r>
    </w:p>
    <w:p w:rsidR="00A77B3E">
      <w:pPr>
        <w:pStyle w:val="Heading2"/>
        <w:outlineLvl w:val="1"/>
        <w:rPr>
          <w:lang w:val="en" w:eastAsia="en"/>
        </w:rPr>
      </w:pPr>
      <w:r>
        <w:rPr>
          <w:lang w:val="en" w:eastAsia="en"/>
        </w:rPr>
        <w:t>Consent: Your answers were inconclusive - you need to do more to make sure you have valid consent.</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If you want to rely on consent, you need to ensure that the consent request is clear, prominent, and separate from other terms and conditions. Use our consent guidance to make sure you meet the standard.</w:t>
      </w:r>
    </w:p>
    <w:p w:rsidR="00A77B3E">
      <w:pPr>
        <w:pStyle w:val="Heading3"/>
        <w:outlineLvl w:val="2"/>
        <w:rPr>
          <w:lang w:val="en" w:eastAsia="en"/>
        </w:rPr>
      </w:pPr>
      <w:r>
        <w:rPr>
          <w:lang w:val="en" w:eastAsia="en"/>
        </w:rPr>
        <w:t>Guidance</w:t>
      </w:r>
    </w:p>
    <w:p w:rsidR="00A77B3E">
      <w:pPr>
        <w:numPr>
          <w:ilvl w:val="0"/>
          <w:numId w:val="1"/>
        </w:numPr>
        <w:ind w:left="720" w:hanging="360"/>
        <w:jc w:val="left"/>
        <w:rPr>
          <w:lang w:val="en" w:eastAsia="en"/>
        </w:rPr>
      </w:pPr>
      <w:hyperlink r:id="rId4" w:tooltip="Consent" w:history="1">
        <w:r>
          <w:rPr>
            <w:lang w:val="en" w:eastAsia="en"/>
          </w:rPr>
          <w:t>Guide to lawful basis - consent</w:t>
        </w:r>
      </w:hyperlink>
    </w:p>
    <w:p w:rsidR="00A77B3E">
      <w:pPr>
        <w:rPr>
          <w:lang w:val="en" w:eastAsia="en"/>
        </w:rPr>
      </w:pPr>
      <w:r>
        <w:rPr>
          <w:lang w:val="en" w:eastAsia="en"/>
        </w:rPr>
        <w:t> </w:t>
      </w:r>
    </w:p>
    <w:p w:rsidR="00A77B3E">
      <w:pPr>
        <w:pStyle w:val="Heading2"/>
        <w:outlineLvl w:val="1"/>
        <w:rPr>
          <w:lang w:val="en" w:eastAsia="en"/>
        </w:rPr>
      </w:pPr>
      <w:r>
        <w:rPr>
          <w:lang w:val="en" w:eastAsia="en"/>
        </w:rPr>
        <w:t>The lawful basis below are not appropriate for your data processing activities</w:t>
      </w:r>
    </w:p>
    <w:p w:rsidR="00A77B3E">
      <w:pPr>
        <w:rPr>
          <w:lang w:val="en" w:eastAsia="en"/>
        </w:rPr>
      </w:pPr>
      <w:r>
        <w:rPr>
          <w:lang w:val="en" w:eastAsia="en"/>
        </w:rPr>
        <w:t> </w:t>
      </w:r>
    </w:p>
    <w:p w:rsidR="00A77B3E">
      <w:pPr>
        <w:pStyle w:val="Heading2"/>
        <w:outlineLvl w:val="1"/>
        <w:rPr>
          <w:lang w:val="en" w:eastAsia="en"/>
        </w:rPr>
      </w:pPr>
      <w:r>
        <w:rPr>
          <w:lang w:val="en" w:eastAsia="en"/>
        </w:rPr>
        <w:t>Contract: Your answers indicate that contract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Legal obligation: Your answers indicate that legal obligation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need to be able to identify a clear legal basis for the obligation. Seek legal advice if necessary. If you cannot point to a clear source for the obligation in question, you should consider another lawful basis or else rethink your processing.</w:t>
      </w:r>
    </w:p>
    <w:p w:rsidR="00A77B3E">
      <w:pPr>
        <w:pStyle w:val="Heading3"/>
        <w:outlineLvl w:val="2"/>
        <w:rPr>
          <w:lang w:val="en" w:eastAsia="en"/>
        </w:rPr>
      </w:pPr>
      <w:r>
        <w:rPr>
          <w:lang w:val="en" w:eastAsia="en"/>
        </w:rPr>
        <w:t>Guidance</w:t>
      </w:r>
    </w:p>
    <w:p w:rsidR="00A77B3E">
      <w:pPr>
        <w:rPr>
          <w:lang w:val="en" w:eastAsia="en"/>
        </w:rPr>
      </w:pPr>
      <w:hyperlink r:id="rId6" w:tooltip="Legal obligation" w:history="1">
        <w:r>
          <w:rPr>
            <w:lang w:val="en" w:eastAsia="en"/>
          </w:rPr>
          <w:t>Guide to lawful basis - legal obligation</w:t>
        </w:r>
      </w:hyperlink>
    </w:p>
    <w:p w:rsidR="00A77B3E">
      <w:pPr>
        <w:rPr>
          <w:lang w:val="en" w:eastAsia="en"/>
        </w:rPr>
      </w:pPr>
      <w:r>
        <w:rPr>
          <w:lang w:val="en" w:eastAsia="en"/>
        </w:rPr>
        <w:t> </w:t>
      </w:r>
    </w:p>
    <w:p w:rsidR="00A77B3E">
      <w:pPr>
        <w:pStyle w:val="Heading2"/>
        <w:outlineLvl w:val="1"/>
        <w:rPr>
          <w:lang w:val="en" w:eastAsia="en"/>
        </w:rPr>
      </w:pPr>
      <w:r>
        <w:rPr>
          <w:lang w:val="en" w:eastAsia="en"/>
        </w:rPr>
        <w:t>Vital interest: Your answers indicate that vital interests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Public task: Your answers indicate that public task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consider another lawful basis for this processing. Even if you are a public authority, legitimate interests is still available for processing which falls outside your tasks as a public authority. Other bases may also be available.</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pStyle w:val="Heading2"/>
        <w:outlineLvl w:val="1"/>
        <w:rPr>
          <w:lang w:val="en" w:eastAsia="en"/>
        </w:rPr>
      </w:pPr>
      <w:r>
        <w:rPr>
          <w:lang w:val="en" w:eastAsia="en"/>
        </w:rPr>
        <w:t>Recognised legitimate interest: Your answers indicate that recognised legitimate interest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should look for another lawful basis for this processing.</w:t>
      </w:r>
    </w:p>
    <w:p w:rsidR="00A77B3E">
      <w:pPr>
        <w:pStyle w:val="Heading3"/>
        <w:outlineLvl w:val="2"/>
        <w:rPr>
          <w:lang w:val="en" w:eastAsia="en"/>
        </w:rPr>
      </w:pPr>
      <w:r>
        <w:rPr>
          <w:lang w:val="en" w:eastAsia="en"/>
        </w:rPr>
        <w:t>Guidance</w:t>
      </w:r>
    </w:p>
    <w:p w:rsidR="00A77B3E">
      <w:pPr>
        <w:numPr>
          <w:ilvl w:val="0"/>
          <w:numId w:val="2"/>
        </w:numPr>
        <w:ind w:left="720" w:hanging="360"/>
        <w:jc w:val="left"/>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w:t>
      </w:r>
    </w:p>
    <w:p w:rsidR="00A77B3E">
      <w:pPr>
        <w:rPr>
          <w:lang w:val="en" w:eastAsia="en"/>
        </w:rPr>
      </w:pPr>
      <w:r>
        <w:rPr>
          <w:lang w:val="en" w:eastAsia="en"/>
        </w:rPr>
        <w:t> </w:t>
      </w:r>
    </w:p>
    <w:p w:rsidR="00A77B3E">
      <w:pPr>
        <w:pStyle w:val="Heading2"/>
        <w:outlineLvl w:val="1"/>
        <w:rPr>
          <w:lang w:val="en" w:eastAsia="en"/>
        </w:rPr>
      </w:pPr>
      <w:r>
        <w:rPr>
          <w:lang w:val="en" w:eastAsia="en"/>
        </w:rPr>
        <w:t>Legitimate interest: Your answers indicate that legitimate interests is not an appropriate lawful basis.</w:t>
      </w:r>
    </w:p>
    <w:p w:rsidR="00A77B3E">
      <w:pPr>
        <w:pStyle w:val="Heading3"/>
        <w:outlineLvl w:val="2"/>
        <w:rPr>
          <w:lang w:val="en" w:eastAsia="en"/>
        </w:rPr>
      </w:pPr>
      <w:r>
        <w:rPr>
          <w:lang w:val="en" w:eastAsia="en"/>
        </w:rPr>
        <w:t>Suggested actions</w:t>
      </w:r>
    </w:p>
    <w:p w:rsidR="00A77B3E">
      <w:pPr>
        <w:rPr>
          <w:lang w:val="en" w:eastAsia="en"/>
        </w:rPr>
      </w:pPr>
      <w:r>
        <w:rPr>
          <w:lang w:val="en" w:eastAsia="en"/>
        </w:rPr>
        <w:t>You must be able to justify your processing, including any impact on individuals. If you aren't happy to do this, you need to look for another lawful basis, or else rethink your processing.</w:t>
      </w:r>
    </w:p>
    <w:p w:rsidR="00A77B3E">
      <w:pPr>
        <w:pStyle w:val="Heading3"/>
        <w:outlineLvl w:val="2"/>
        <w:rPr>
          <w:lang w:val="en" w:eastAsia="en"/>
        </w:rPr>
      </w:pPr>
      <w:r>
        <w:rPr>
          <w:lang w:val="en" w:eastAsia="en"/>
        </w:rPr>
        <w:t>Guidance</w:t>
      </w:r>
    </w:p>
    <w:p w:rsidR="00A77B3E">
      <w:pPr>
        <w:rPr>
          <w:lang w:val="en" w:eastAsia="en"/>
        </w:rPr>
      </w:pPr>
      <w:hyperlink r:id="rId5" w:tooltip="A guide to lawful basis" w:history="1">
        <w:r>
          <w:rPr>
            <w:lang w:val="en" w:eastAsia="en"/>
          </w:rPr>
          <w:t>Guide to lawful basis</w:t>
        </w:r>
      </w:hyperlink>
    </w:p>
    <w:p w:rsidR="00A77B3E">
      <w:pPr>
        <w:rPr>
          <w:lang w:val="en" w:eastAsia="en"/>
        </w:rPr>
      </w:pPr>
      <w:r>
        <w:rPr>
          <w:lang w:val="en" w:eastAsia="en"/>
        </w:rPr>
        <w:t xml:space="preserve">If you have an problem downloading the report into a word document </w:t>
      </w:r>
      <w:hyperlink r:id="rId7" w:tooltip="Website feedback" w:history="1">
        <w:r>
          <w:rPr>
            <w:lang w:val="en" w:eastAsia="en"/>
          </w:rPr>
          <w:t>please let us know</w:t>
        </w:r>
      </w:hyperlink>
      <w:r>
        <w:rPr>
          <w:lang w:val="en" w:eastAsia="en"/>
        </w:rPr>
        <w:t>.</w:t>
      </w:r>
    </w:p>
    <w:p w:rsidR="00A77B3E">
      <w:pPr>
        <w:rPr>
          <w:lang w:val="en" w:eastAsia="en"/>
        </w:rPr>
      </w:pPr>
      <w:r>
        <w:rPr>
          <w:lang w:val="en" w:eastAsia="en"/>
        </w:rPr>
        <w:t> </w:t>
      </w:r>
    </w:p>
    <w:p w:rsidR="00A77B3E">
      <w:pPr>
        <w:rPr>
          <w:lang w:val="en" w:eastAsia="en"/>
        </w:rPr>
      </w:pPr>
      <w:r>
        <w:rPr>
          <w:lang w:val="en" w:eastAsia="en"/>
        </w:rPr>
        <w:t> </w:t>
      </w:r>
    </w:p>
    <w:p w:rsidR="00A77B3E">
      <w:pPr>
        <w:rPr>
          <w:lang w:val="en" w:eastAsia="en"/>
        </w:rPr>
      </w:pPr>
      <w:r>
        <w:rPr>
          <w:lang w:val="en" w:eastAsia="en"/>
        </w:rPr>
        <w:t> </w:t>
      </w:r>
    </w:p>
    <w:p w:rsidR="00A77B3E"/>
    <w:sectPr>
      <w:footerReference w:type="default" r:id="rId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tabs>
        <w:tab w:val="right" w:pos="9026"/>
      </w:tabs>
      <w:rPr>
        <w:rFonts w:ascii="Verdana" w:eastAsia="Verdana" w:hAnsi="Verdana" w:cs="Verdana"/>
        <w:color w:val="808080"/>
        <w:sz w:val="20"/>
      </w:rPr>
    </w:pPr>
    <w:r>
      <w:rPr>
        <w:rFonts w:ascii="Verdana" w:eastAsia="Verdana" w:hAnsi="Verdana" w:cs="Verdana"/>
        <w:color w:val="808080"/>
        <w:sz w:val="20"/>
      </w:rPr>
      <w:t>26 August 2026</w:t>
    </w:r>
    <w:r>
      <w:rPr>
        <w:rFonts w:ascii="Verdana" w:eastAsia="Verdana" w:hAnsi="Verdana" w:cs="Verdana"/>
        <w:color w:val="808080"/>
        <w:sz w:val="20"/>
      </w:rPr>
      <w:tab/>
    </w:r>
    <w:r>
      <w:rPr>
        <w:rFonts w:ascii="Verdana" w:eastAsia="Verdana" w:hAnsi="Verdana" w:cs="Verdana"/>
        <w:color w:val="808080"/>
        <w:sz w:val="20"/>
      </w:rPr>
      <w:fldChar w:fldCharType="begin"/>
    </w:r>
    <w:r>
      <w:rPr>
        <w:rFonts w:ascii="Verdana" w:eastAsia="Verdana" w:hAnsi="Verdana" w:cs="Verdana"/>
        <w:color w:val="808080"/>
        <w:sz w:val="20"/>
      </w:rPr>
      <w:instrText>PAGE</w:instrText>
    </w:r>
    <w:r>
      <w:rPr>
        <w:rFonts w:ascii="Verdana" w:eastAsia="Verdana" w:hAnsi="Verdana" w:cs="Verdana"/>
        <w:color w:val="808080"/>
        <w:sz w:val="20"/>
      </w:rPr>
      <w:fldChar w:fldCharType="separate"/>
    </w:r>
    <w:r>
      <w:rPr>
        <w:rFonts w:ascii="Verdana" w:eastAsia="Verdana" w:hAnsi="Verdana" w:cs="Verdana"/>
        <w:color w:val="808080"/>
        <w:sz w:val="20"/>
      </w:rPr>
      <w:t>Page</w:t>
    </w:r>
    <w:r>
      <w:rPr>
        <w:rFonts w:ascii="Verdana" w:eastAsia="Verdana" w:hAnsi="Verdana" w:cs="Verdana"/>
        <w:color w:val="808080"/>
        <w:sz w:val="2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ico.org.uk/for-organisations/uk-gdpr-guidance-and-resources/lawful-basis/a-guide-to-lawful-basis/consent/" TargetMode="External" /><Relationship Id="rId5" Type="http://schemas.openxmlformats.org/officeDocument/2006/relationships/hyperlink" Target="https://ico.org.uk/for-organisations/uk-gdpr-guidance-and-resources/lawful-basis/a-guide-to-lawful-basis/" TargetMode="External" /><Relationship Id="rId6" Type="http://schemas.openxmlformats.org/officeDocument/2006/relationships/hyperlink" Target="https://ico.org.uk/for-organisations/uk-gdpr-guidance-and-resources/lawful-basis/a-guide-to-lawful-basis/legal-obligation/" TargetMode="External" /><Relationship Id="rId7" Type="http://schemas.openxmlformats.org/officeDocument/2006/relationships/hyperlink" Target="mailto:websitefeedback@ico.org.uk" TargetMode="External" /><Relationship Id="rId8" Type="http://schemas.openxmlformats.org/officeDocument/2006/relationships/footer" Target="footer1.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 Lawful basis assessment report</dc:title>
  <cp:revision>1</cp:revision>
</cp:coreProperties>
</file>