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mb-8"/>
        <w:spacing w:before="240" w:after="480" w:line="600" w:lineRule="atLeast"/>
        <w:ind w:left="0" w:right="0"/>
        <w:outlineLvl w:val="0"/>
        <w:rPr>
          <w:rFonts w:ascii="Georgia" w:eastAsia="Georgia" w:hAnsi="Georgia" w:cs="Georgia"/>
          <w:sz w:val="48"/>
          <w:szCs w:val="48"/>
          <w:lang w:val="en" w:eastAsia="en"/>
        </w:rPr>
      </w:pPr>
      <w:r>
        <w:rPr>
          <w:rFonts w:ascii="Georgia" w:eastAsia="Georgia" w:hAnsi="Georgia" w:cs="Georgia"/>
          <w:sz w:val="48"/>
          <w:szCs w:val="48"/>
          <w:lang w:val="en" w:eastAsia="en"/>
        </w:rPr>
        <w:t>Lawful basis assessment report</w:t>
      </w:r>
    </w:p>
    <w:p w:rsidR="00A77B3E">
      <w:pPr>
        <w:pStyle w:val="prosenth-child1"/>
        <w:spacing w:before="240" w:after="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Overall ratings</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Contract</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Legal obligation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Vital interests</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Public task</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Recognised legitimate interest</w:t>
      </w:r>
    </w:p>
    <w:p w:rsidR="00A77B3E">
      <w:pPr>
        <w:pStyle w:val="prosert-blockany"/>
        <w:pBdr>
          <w:top w:val="none" w:sz="0" w:space="12" w:color="auto"/>
          <w:left w:val="none" w:sz="0" w:space="12" w:color="auto"/>
          <w:bottom w:val="none" w:sz="0" w:space="12" w:color="auto"/>
          <w:right w:val="none" w:sz="0" w:space="12" w:color="auto"/>
        </w:pBdr>
        <w:shd w:val="clear" w:color="auto" w:fill="FBE7D1"/>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Consent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Legitimate interests</w:t>
      </w:r>
    </w:p>
    <w:p w:rsidR="00A77B3E">
      <w:pPr>
        <w:pStyle w:val="prosenth-child1"/>
        <w:spacing w:before="0" w:after="240" w:line="342" w:lineRule="atLeast"/>
        <w:ind w:left="0" w:right="0"/>
        <w:rPr>
          <w:sz w:val="23"/>
          <w:szCs w:val="23"/>
          <w:lang w:val="en" w:eastAsia="en"/>
        </w:rPr>
      </w:pPr>
      <w:r>
        <w:rPr>
          <w:sz w:val="23"/>
          <w:szCs w:val="23"/>
          <w:lang w:val="en" w:eastAsia="en"/>
        </w:rPr>
        <w:t> </w:t>
      </w:r>
    </w:p>
    <w:p w:rsidR="00A77B3E">
      <w:pPr>
        <w:pStyle w:val="prosenth-last-child1"/>
        <w:spacing w:before="240" w:after="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The below lawful basis are likely to be appropriate for your data processing activities</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Legal obligation: Your answers indicate that legal obligation is likely to be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need to ensure that you can demonstrate how and why processing is necessary for compliance. Remember to:</w:t>
      </w:r>
    </w:p>
    <w:p w:rsidR="00A77B3E">
      <w:pPr>
        <w:pStyle w:val="any"/>
        <w:numPr>
          <w:ilvl w:val="0"/>
          <w:numId w:val="1"/>
        </w:numPr>
        <w:spacing w:before="240" w:line="342" w:lineRule="atLeast"/>
        <w:ind w:left="600" w:right="0" w:hanging="360"/>
        <w:jc w:val="left"/>
        <w:rPr>
          <w:sz w:val="23"/>
          <w:szCs w:val="23"/>
          <w:lang w:val="en" w:eastAsia="en"/>
        </w:rPr>
      </w:pPr>
      <w:r>
        <w:rPr>
          <w:sz w:val="23"/>
          <w:szCs w:val="23"/>
          <w:lang w:val="en" w:eastAsia="en"/>
        </w:rPr>
        <w:t>document your decision that processing is necessary for compliance with a legal obligation;</w:t>
      </w:r>
    </w:p>
    <w:p w:rsidR="00A77B3E">
      <w:pPr>
        <w:pStyle w:val="any"/>
        <w:numPr>
          <w:ilvl w:val="0"/>
          <w:numId w:val="1"/>
        </w:numPr>
        <w:spacing w:line="342" w:lineRule="atLeast"/>
        <w:ind w:left="600" w:right="0" w:hanging="360"/>
        <w:jc w:val="left"/>
        <w:rPr>
          <w:sz w:val="23"/>
          <w:szCs w:val="23"/>
          <w:lang w:val="en" w:eastAsia="en"/>
        </w:rPr>
      </w:pPr>
      <w:r>
        <w:rPr>
          <w:sz w:val="23"/>
          <w:szCs w:val="23"/>
          <w:lang w:val="en" w:eastAsia="en"/>
        </w:rPr>
        <w:t>identify an appropriate source for the obligation in question; and</w:t>
      </w:r>
    </w:p>
    <w:p w:rsidR="00A77B3E">
      <w:pPr>
        <w:pStyle w:val="any"/>
        <w:numPr>
          <w:ilvl w:val="0"/>
          <w:numId w:val="1"/>
        </w:numPr>
        <w:spacing w:after="240" w:line="342" w:lineRule="atLeast"/>
        <w:ind w:left="600" w:right="0" w:hanging="360"/>
        <w:jc w:val="left"/>
        <w:rPr>
          <w:sz w:val="23"/>
          <w:szCs w:val="23"/>
          <w:lang w:val="en" w:eastAsia="en"/>
        </w:rPr>
      </w:pPr>
      <w:r>
        <w:rPr>
          <w:sz w:val="23"/>
          <w:szCs w:val="23"/>
          <w:lang w:val="en" w:eastAsia="en"/>
        </w:rPr>
        <w:t>include information about your purposes and lawful basis in your privacy notice.</w:t>
      </w:r>
    </w:p>
    <w:p w:rsidR="00A77B3E">
      <w:pPr>
        <w:pStyle w:val="proseany"/>
        <w:spacing w:before="240" w:after="240" w:line="342" w:lineRule="atLeast"/>
        <w:ind w:left="0" w:right="0"/>
        <w:rPr>
          <w:sz w:val="23"/>
          <w:szCs w:val="23"/>
          <w:lang w:val="en" w:eastAsia="en"/>
        </w:rPr>
      </w:pPr>
      <w:r>
        <w:rPr>
          <w:sz w:val="23"/>
          <w:szCs w:val="23"/>
          <w:lang w:val="en" w:eastAsia="en"/>
        </w:rPr>
        <w:t>If you are processing special category data or criminal offence data, you also need to identify a separate condition to allow you to process this type of data. </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any"/>
        <w:numPr>
          <w:ilvl w:val="0"/>
          <w:numId w:val="2"/>
        </w:numPr>
        <w:spacing w:before="240" w:line="342" w:lineRule="atLeast"/>
        <w:ind w:left="600" w:right="0" w:hanging="360"/>
        <w:jc w:val="left"/>
        <w:rPr>
          <w:sz w:val="23"/>
          <w:szCs w:val="23"/>
          <w:lang w:val="en" w:eastAsia="en"/>
        </w:rPr>
      </w:pPr>
      <w:hyperlink r:id="rId4" w:tooltip="Legal obligation" w:history="1">
        <w:r>
          <w:rPr>
            <w:rStyle w:val="prosea"/>
            <w:color w:val="005098"/>
            <w:sz w:val="23"/>
            <w:szCs w:val="23"/>
            <w:lang w:val="en" w:eastAsia="en"/>
          </w:rPr>
          <w:t>Guide to lawful basis - legal obligation</w:t>
        </w:r>
      </w:hyperlink>
    </w:p>
    <w:p w:rsidR="00A77B3E">
      <w:pPr>
        <w:pStyle w:val="any"/>
        <w:numPr>
          <w:ilvl w:val="0"/>
          <w:numId w:val="2"/>
        </w:numPr>
        <w:spacing w:line="342" w:lineRule="atLeast"/>
        <w:ind w:left="600" w:right="0" w:hanging="360"/>
        <w:jc w:val="left"/>
        <w:rPr>
          <w:sz w:val="23"/>
          <w:szCs w:val="23"/>
          <w:lang w:val="en" w:eastAsia="en"/>
        </w:rPr>
      </w:pPr>
      <w:hyperlink r:id="rId5" w:tooltip="Special category data" w:history="1">
        <w:r>
          <w:rPr>
            <w:rStyle w:val="prosea"/>
            <w:color w:val="005098"/>
            <w:sz w:val="23"/>
            <w:szCs w:val="23"/>
            <w:lang w:val="en" w:eastAsia="en"/>
          </w:rPr>
          <w:t>Guide to lawful basis - special category data</w:t>
        </w:r>
      </w:hyperlink>
    </w:p>
    <w:p w:rsidR="00A77B3E">
      <w:pPr>
        <w:pStyle w:val="any"/>
        <w:numPr>
          <w:ilvl w:val="0"/>
          <w:numId w:val="2"/>
        </w:numPr>
        <w:spacing w:after="240" w:line="342" w:lineRule="atLeast"/>
        <w:ind w:left="600" w:right="0" w:hanging="360"/>
        <w:jc w:val="left"/>
        <w:rPr>
          <w:sz w:val="23"/>
          <w:szCs w:val="23"/>
          <w:lang w:val="en" w:eastAsia="en"/>
        </w:rPr>
      </w:pPr>
      <w:hyperlink r:id="rId6" w:tooltip="Criminal offence data" w:history="1">
        <w:r>
          <w:rPr>
            <w:rStyle w:val="prosea"/>
            <w:color w:val="005098"/>
            <w:sz w:val="23"/>
            <w:szCs w:val="23"/>
            <w:lang w:val="en" w:eastAsia="en"/>
          </w:rPr>
          <w:t>Guide to lawful basis - criminal offence data</w:t>
        </w:r>
      </w:hyperlink>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Public task: Your answers indicate that public task is likely to be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need to be sure that you can demonstrate why processing is necessary to perform a task in the public interest or exercise your official authority. Remember to:</w:t>
      </w:r>
    </w:p>
    <w:p w:rsidR="00A77B3E">
      <w:pPr>
        <w:pStyle w:val="any"/>
        <w:numPr>
          <w:ilvl w:val="0"/>
          <w:numId w:val="3"/>
        </w:numPr>
        <w:spacing w:before="240" w:line="342" w:lineRule="atLeast"/>
        <w:ind w:left="600" w:right="0" w:hanging="360"/>
        <w:jc w:val="left"/>
        <w:rPr>
          <w:sz w:val="23"/>
          <w:szCs w:val="23"/>
          <w:lang w:val="en" w:eastAsia="en"/>
        </w:rPr>
      </w:pPr>
      <w:r>
        <w:rPr>
          <w:sz w:val="23"/>
          <w:szCs w:val="23"/>
          <w:lang w:val="en" w:eastAsia="en"/>
        </w:rPr>
        <w:t>document your decision that the processing is necessary for you to perform a task in the public interest or exercise your official authority;</w:t>
      </w:r>
    </w:p>
    <w:p w:rsidR="00A77B3E">
      <w:pPr>
        <w:pStyle w:val="any"/>
        <w:numPr>
          <w:ilvl w:val="0"/>
          <w:numId w:val="3"/>
        </w:numPr>
        <w:spacing w:line="342" w:lineRule="atLeast"/>
        <w:ind w:left="600" w:right="0" w:hanging="360"/>
        <w:jc w:val="left"/>
        <w:rPr>
          <w:sz w:val="23"/>
          <w:szCs w:val="23"/>
          <w:lang w:val="en" w:eastAsia="en"/>
        </w:rPr>
      </w:pPr>
      <w:r>
        <w:rPr>
          <w:sz w:val="23"/>
          <w:szCs w:val="23"/>
          <w:lang w:val="en" w:eastAsia="en"/>
        </w:rPr>
        <w:t>identify the relevant task or authority and its basis in common law or statute; and</w:t>
      </w:r>
    </w:p>
    <w:p w:rsidR="00A77B3E">
      <w:pPr>
        <w:pStyle w:val="any"/>
        <w:numPr>
          <w:ilvl w:val="0"/>
          <w:numId w:val="3"/>
        </w:numPr>
        <w:spacing w:after="240" w:line="342" w:lineRule="atLeast"/>
        <w:ind w:left="600" w:right="0" w:hanging="360"/>
        <w:jc w:val="left"/>
        <w:rPr>
          <w:sz w:val="23"/>
          <w:szCs w:val="23"/>
          <w:lang w:val="en" w:eastAsia="en"/>
        </w:rPr>
      </w:pPr>
      <w:r>
        <w:rPr>
          <w:sz w:val="23"/>
          <w:szCs w:val="23"/>
          <w:lang w:val="en" w:eastAsia="en"/>
        </w:rPr>
        <w:t>include information about your purposes and lawful basis in your privacy notice.</w:t>
      </w:r>
    </w:p>
    <w:p w:rsidR="00A77B3E">
      <w:pPr>
        <w:pStyle w:val="proseany"/>
        <w:spacing w:before="240" w:after="240" w:line="342" w:lineRule="atLeast"/>
        <w:ind w:left="0" w:right="0"/>
        <w:rPr>
          <w:sz w:val="23"/>
          <w:szCs w:val="23"/>
          <w:lang w:val="en" w:eastAsia="en"/>
        </w:rPr>
      </w:pPr>
      <w:r>
        <w:rPr>
          <w:sz w:val="23"/>
          <w:szCs w:val="23"/>
          <w:lang w:val="en" w:eastAsia="en"/>
        </w:rPr>
        <w:t>If you are processing special category data or criminal offence data, you also need to identify a separate condition to allow you to process this type of data. There are specific conditions for parliamentary, statutory or governmental functions in the substantial public interest.</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 </w:t>
      </w:r>
    </w:p>
    <w:p w:rsidR="00A77B3E">
      <w:pPr>
        <w:pStyle w:val="any"/>
        <w:numPr>
          <w:ilvl w:val="0"/>
          <w:numId w:val="4"/>
        </w:numPr>
        <w:spacing w:before="240" w:line="342" w:lineRule="atLeast"/>
        <w:ind w:left="600" w:right="0" w:hanging="360"/>
        <w:jc w:val="left"/>
        <w:rPr>
          <w:sz w:val="23"/>
          <w:szCs w:val="23"/>
          <w:lang w:val="en" w:eastAsia="en"/>
        </w:rPr>
      </w:pPr>
      <w:hyperlink r:id="rId7" w:tooltip="Public task" w:history="1">
        <w:r>
          <w:rPr>
            <w:rStyle w:val="prosea"/>
            <w:color w:val="005098"/>
            <w:sz w:val="23"/>
            <w:szCs w:val="23"/>
            <w:lang w:val="en" w:eastAsia="en"/>
          </w:rPr>
          <w:t>Guide to lawful basis - public task</w:t>
        </w:r>
      </w:hyperlink>
    </w:p>
    <w:p w:rsidR="00A77B3E">
      <w:pPr>
        <w:pStyle w:val="any"/>
        <w:numPr>
          <w:ilvl w:val="0"/>
          <w:numId w:val="4"/>
        </w:numPr>
        <w:spacing w:line="342" w:lineRule="atLeast"/>
        <w:ind w:left="600" w:right="0" w:hanging="360"/>
        <w:jc w:val="left"/>
        <w:rPr>
          <w:sz w:val="23"/>
          <w:szCs w:val="23"/>
          <w:lang w:val="en" w:eastAsia="en"/>
        </w:rPr>
      </w:pPr>
      <w:hyperlink r:id="rId5" w:tooltip="Special category data" w:history="1">
        <w:r>
          <w:rPr>
            <w:rStyle w:val="prosea"/>
            <w:color w:val="005098"/>
            <w:sz w:val="23"/>
            <w:szCs w:val="23"/>
            <w:lang w:val="en" w:eastAsia="en"/>
          </w:rPr>
          <w:t>Guide to lawful basis - special category data</w:t>
        </w:r>
      </w:hyperlink>
    </w:p>
    <w:p w:rsidR="00A77B3E">
      <w:pPr>
        <w:pStyle w:val="any"/>
        <w:numPr>
          <w:ilvl w:val="0"/>
          <w:numId w:val="4"/>
        </w:numPr>
        <w:spacing w:after="240" w:line="342" w:lineRule="atLeast"/>
        <w:ind w:left="600" w:right="0" w:hanging="360"/>
        <w:jc w:val="left"/>
        <w:rPr>
          <w:sz w:val="23"/>
          <w:szCs w:val="23"/>
          <w:lang w:val="en" w:eastAsia="en"/>
        </w:rPr>
      </w:pPr>
      <w:hyperlink r:id="rId6" w:tooltip="Criminal offence data" w:history="1">
        <w:r>
          <w:rPr>
            <w:rStyle w:val="prosea"/>
            <w:color w:val="005098"/>
            <w:sz w:val="23"/>
            <w:szCs w:val="23"/>
            <w:lang w:val="en" w:eastAsia="en"/>
          </w:rPr>
          <w:t>Guide to lawful basis - criminal offence data</w:t>
        </w:r>
      </w:hyperlink>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Your answers were inconclusive for the following lawful basis</w:t>
      </w:r>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FBE7D1"/>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Consent: Your answers were inconclusive - you need to do more to make sure you have valid consent.</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need to make sure the consent specifically covers the controller, the purpose and the type of activity. Use our consent guidance to make sure you meet the standard.</w:t>
      </w:r>
    </w:p>
    <w:p w:rsidR="00A77B3E">
      <w:pPr>
        <w:pStyle w:val="proseany"/>
        <w:spacing w:before="240" w:after="240" w:line="342" w:lineRule="atLeast"/>
        <w:ind w:left="0" w:right="0"/>
        <w:rPr>
          <w:sz w:val="23"/>
          <w:szCs w:val="23"/>
          <w:lang w:val="en" w:eastAsia="en"/>
        </w:rPr>
      </w:pPr>
      <w:r>
        <w:rPr>
          <w:sz w:val="23"/>
          <w:szCs w:val="23"/>
          <w:lang w:val="en" w:eastAsia="en"/>
        </w:rPr>
        <w:t>If the consent does not name a particular controller, purpose or type of processing, you need to look for another lawful basis for that processing.</w:t>
      </w:r>
    </w:p>
    <w:p w:rsidR="00A77B3E">
      <w:pPr>
        <w:pStyle w:val="proseany"/>
        <w:spacing w:before="240" w:after="240" w:line="342" w:lineRule="atLeast"/>
        <w:ind w:left="0" w:right="0"/>
        <w:rPr>
          <w:sz w:val="23"/>
          <w:szCs w:val="23"/>
          <w:lang w:val="en" w:eastAsia="en"/>
        </w:rPr>
      </w:pPr>
      <w:r>
        <w:rPr>
          <w:sz w:val="23"/>
          <w:szCs w:val="23"/>
          <w:lang w:val="en" w:eastAsia="en"/>
        </w:rPr>
        <w:t>If you want to get blanket consent for a large number of parties, purposes or processes, you may not be able to provide prominent, concise and readable information that is also specific and granular enough. You may need to consider whether you can rely on another lawful basis for some elements of the processing, so that you can focus your consent request. </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any"/>
        <w:numPr>
          <w:ilvl w:val="0"/>
          <w:numId w:val="5"/>
        </w:numPr>
        <w:spacing w:before="240" w:line="342" w:lineRule="atLeast"/>
        <w:ind w:left="600" w:right="0" w:hanging="360"/>
        <w:jc w:val="left"/>
        <w:rPr>
          <w:sz w:val="23"/>
          <w:szCs w:val="23"/>
          <w:lang w:val="en" w:eastAsia="en"/>
        </w:rPr>
      </w:pPr>
      <w:hyperlink r:id="rId8" w:tooltip="Consent" w:history="1">
        <w:r>
          <w:rPr>
            <w:rStyle w:val="prosea"/>
            <w:color w:val="005098"/>
            <w:sz w:val="23"/>
            <w:szCs w:val="23"/>
            <w:lang w:val="en" w:eastAsia="en"/>
          </w:rPr>
          <w:t>Guide to lawful basis - consent</w:t>
        </w:r>
      </w:hyperlink>
    </w:p>
    <w:p w:rsidR="00A77B3E">
      <w:pPr>
        <w:pStyle w:val="any"/>
        <w:numPr>
          <w:ilvl w:val="0"/>
          <w:numId w:val="5"/>
        </w:numPr>
        <w:spacing w:after="240" w:line="342" w:lineRule="atLeast"/>
        <w:ind w:left="600" w:right="0" w:hanging="360"/>
        <w:jc w:val="left"/>
        <w:rPr>
          <w:sz w:val="23"/>
          <w:szCs w:val="23"/>
          <w:lang w:val="en" w:eastAsia="en"/>
        </w:rPr>
      </w:pPr>
      <w:hyperlink r:id="rId9" w:tooltip="A guide to lawful basis" w:history="1">
        <w:r>
          <w:rPr>
            <w:rStyle w:val="prosea"/>
            <w:color w:val="005098"/>
            <w:sz w:val="23"/>
            <w:szCs w:val="23"/>
            <w:lang w:val="en" w:eastAsia="en"/>
          </w:rPr>
          <w:t>Guide to lawful basis</w:t>
        </w:r>
      </w:hyperlink>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The lawful basis below are not appropriate for your data processing activities</w:t>
      </w:r>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Contract: Your answers indicate that contract is not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should look for another lawful basis for this processing.</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proseany"/>
        <w:spacing w:before="240" w:after="240" w:line="342" w:lineRule="atLeast"/>
        <w:ind w:left="0" w:right="0"/>
        <w:rPr>
          <w:sz w:val="23"/>
          <w:szCs w:val="23"/>
          <w:lang w:val="en" w:eastAsia="en"/>
        </w:rPr>
      </w:pPr>
      <w:hyperlink r:id="rId9" w:tooltip="A guide to lawful basis" w:history="1">
        <w:r>
          <w:rPr>
            <w:rStyle w:val="prosea"/>
            <w:color w:val="005098"/>
            <w:sz w:val="23"/>
            <w:szCs w:val="23"/>
            <w:lang w:val="en" w:eastAsia="en"/>
          </w:rPr>
          <w:t>Guide to lawful basis</w:t>
        </w:r>
      </w:hyperlink>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Vital interest: Your answers indicate that vital interests is not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should look for another lawful basis for this processing.</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proseany"/>
        <w:spacing w:before="240" w:after="240" w:line="342" w:lineRule="atLeast"/>
        <w:ind w:left="0" w:right="0"/>
        <w:rPr>
          <w:sz w:val="23"/>
          <w:szCs w:val="23"/>
          <w:lang w:val="en" w:eastAsia="en"/>
        </w:rPr>
      </w:pPr>
      <w:hyperlink r:id="rId9" w:tooltip="A guide to lawful basis" w:history="1">
        <w:r>
          <w:rPr>
            <w:rStyle w:val="prosea"/>
            <w:color w:val="005098"/>
            <w:sz w:val="23"/>
            <w:szCs w:val="23"/>
            <w:lang w:val="en" w:eastAsia="en"/>
          </w:rPr>
          <w:t>Guide to lawful basis</w:t>
        </w:r>
      </w:hyperlink>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Recognised legitimate interest: Your answers indicate that recognised legitimate interest is not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should look for another lawful basis for this processing.</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any"/>
        <w:numPr>
          <w:ilvl w:val="0"/>
          <w:numId w:val="6"/>
        </w:numPr>
        <w:spacing w:before="240" w:after="240" w:line="342" w:lineRule="atLeast"/>
        <w:ind w:left="600" w:right="0" w:hanging="360"/>
        <w:jc w:val="left"/>
        <w:rPr>
          <w:sz w:val="23"/>
          <w:szCs w:val="23"/>
          <w:lang w:val="en" w:eastAsia="en"/>
        </w:rPr>
      </w:pPr>
      <w:hyperlink r:id="rId9" w:tooltip="A guide to lawful basis" w:history="1">
        <w:r>
          <w:rPr>
            <w:rStyle w:val="prosea"/>
            <w:color w:val="005098"/>
            <w:sz w:val="23"/>
            <w:szCs w:val="23"/>
            <w:lang w:val="en" w:eastAsia="en"/>
          </w:rPr>
          <w:t>Guide to lawful basis</w:t>
        </w:r>
      </w:hyperlink>
    </w:p>
    <w:p w:rsidR="00A77B3E">
      <w:pPr>
        <w:pStyle w:val="proseany"/>
        <w:spacing w:before="240" w:after="240" w:line="342" w:lineRule="atLeast"/>
        <w:ind w:left="0" w:right="0"/>
        <w:rPr>
          <w:sz w:val="23"/>
          <w:szCs w:val="23"/>
          <w:lang w:val="en" w:eastAsia="en"/>
        </w:rPr>
      </w:pPr>
      <w:r>
        <w:rPr>
          <w:sz w:val="23"/>
          <w:szCs w:val="23"/>
          <w:lang w:val="en" w:eastAsia="en"/>
        </w:rPr>
        <w:t> </w:t>
      </w:r>
    </w:p>
    <w:p w:rsidR="00A77B3E">
      <w:pPr>
        <w:pStyle w:val="prosenth-last-child1"/>
        <w:spacing w:before="240" w:after="0" w:line="342" w:lineRule="atLeast"/>
        <w:ind w:left="0" w:right="0"/>
        <w:rPr>
          <w:sz w:val="23"/>
          <w:szCs w:val="23"/>
          <w:lang w:val="en" w:eastAsia="en"/>
        </w:rPr>
      </w:pPr>
      <w:r>
        <w:rPr>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480" w:line="428" w:lineRule="atLeast"/>
        <w:ind w:left="240" w:right="240"/>
        <w:outlineLvl w:val="1"/>
        <w:rPr>
          <w:rFonts w:ascii="Georgia" w:eastAsia="Georgia" w:hAnsi="Georgia" w:cs="Georgia"/>
          <w:sz w:val="34"/>
          <w:szCs w:val="34"/>
          <w:lang w:val="en" w:eastAsia="en"/>
        </w:rPr>
      </w:pPr>
      <w:r>
        <w:rPr>
          <w:rFonts w:ascii="Georgia" w:eastAsia="Georgia" w:hAnsi="Georgia" w:cs="Georgia"/>
          <w:sz w:val="34"/>
          <w:szCs w:val="34"/>
          <w:lang w:val="en" w:eastAsia="en"/>
        </w:rPr>
        <w:t>Legitimate interest: Your answers indicate that legitimate interests is not an appropriate lawful basis.</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Suggested actions</w:t>
      </w:r>
    </w:p>
    <w:p w:rsidR="00A77B3E">
      <w:pPr>
        <w:pStyle w:val="proseany"/>
        <w:spacing w:before="240" w:after="240" w:line="342" w:lineRule="atLeast"/>
        <w:ind w:left="0" w:right="0"/>
        <w:rPr>
          <w:sz w:val="23"/>
          <w:szCs w:val="23"/>
          <w:lang w:val="en" w:eastAsia="en"/>
        </w:rPr>
      </w:pPr>
      <w:r>
        <w:rPr>
          <w:sz w:val="23"/>
          <w:szCs w:val="23"/>
          <w:lang w:val="en" w:eastAsia="en"/>
        </w:rPr>
        <w:t>You must be able to justify your processing, including any impact on individuals. If you aren't happy to do this, you need to look for another lawful basis, or else rethink your processing.</w:t>
      </w:r>
    </w:p>
    <w:p w:rsidR="00A77B3E">
      <w:pPr>
        <w:pStyle w:val="proseany"/>
        <w:spacing w:before="24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Guidance</w:t>
      </w:r>
    </w:p>
    <w:p w:rsidR="00A77B3E">
      <w:pPr>
        <w:pStyle w:val="prosenth-last-child1"/>
        <w:spacing w:before="240" w:after="0" w:line="342" w:lineRule="atLeast"/>
        <w:ind w:left="0" w:right="0"/>
        <w:rPr>
          <w:sz w:val="23"/>
          <w:szCs w:val="23"/>
          <w:lang w:val="en" w:eastAsia="en"/>
        </w:rPr>
      </w:pPr>
      <w:hyperlink r:id="rId9" w:tooltip="A guide to lawful basis" w:history="1">
        <w:r>
          <w:rPr>
            <w:rStyle w:val="prosea"/>
            <w:color w:val="005098"/>
            <w:sz w:val="23"/>
            <w:szCs w:val="23"/>
            <w:lang w:val="en" w:eastAsia="en"/>
          </w:rPr>
          <w:t>Guide to lawful basis</w:t>
        </w:r>
      </w:hyperlink>
    </w:p>
    <w:p w:rsidR="00A77B3E">
      <w:pPr>
        <w:pStyle w:val="prosenth-child1"/>
        <w:spacing w:before="0" w:after="240" w:line="342" w:lineRule="atLeast"/>
        <w:ind w:left="0" w:right="0"/>
        <w:rPr>
          <w:sz w:val="23"/>
          <w:szCs w:val="23"/>
          <w:lang w:val="en" w:eastAsia="en"/>
        </w:rPr>
      </w:pPr>
      <w:r>
        <w:rPr>
          <w:sz w:val="23"/>
          <w:szCs w:val="23"/>
          <w:lang w:val="en" w:eastAsia="en"/>
        </w:rPr>
        <w:t xml:space="preserve">If you have an problem downloading the report into a word document </w:t>
      </w:r>
      <w:hyperlink r:id="rId10" w:tooltip="Website feedback" w:history="1">
        <w:r>
          <w:rPr>
            <w:rStyle w:val="prosea"/>
            <w:color w:val="005098"/>
            <w:sz w:val="23"/>
            <w:szCs w:val="23"/>
            <w:lang w:val="en" w:eastAsia="en"/>
          </w:rPr>
          <w:t>please let us know</w:t>
        </w:r>
      </w:hyperlink>
      <w:r>
        <w:rPr>
          <w:sz w:val="23"/>
          <w:szCs w:val="23"/>
          <w:lang w:val="en" w:eastAsia="en"/>
        </w:rPr>
        <w:t>.</w:t>
      </w:r>
    </w:p>
    <w:p w:rsidR="00A77B3E">
      <w:pPr>
        <w:pStyle w:val="prosenth-child1"/>
        <w:spacing w:before="240" w:after="240" w:line="342" w:lineRule="atLeast"/>
        <w:ind w:left="0" w:right="0"/>
        <w:rPr>
          <w:sz w:val="23"/>
          <w:szCs w:val="23"/>
          <w:lang w:val="en" w:eastAsia="en"/>
        </w:rPr>
      </w:pPr>
      <w:r>
        <w:rPr>
          <w:sz w:val="23"/>
          <w:szCs w:val="23"/>
          <w:lang w:val="en" w:eastAsia="en"/>
        </w:rPr>
        <w:t> </w:t>
      </w:r>
    </w:p>
    <w:p w:rsidR="00A77B3E">
      <w:pPr>
        <w:pStyle w:val="proseany"/>
        <w:spacing w:before="240" w:after="240" w:line="342" w:lineRule="atLeast"/>
        <w:ind w:left="0" w:right="0"/>
        <w:rPr>
          <w:sz w:val="23"/>
          <w:szCs w:val="23"/>
          <w:lang w:val="en" w:eastAsia="en"/>
        </w:rPr>
      </w:pPr>
      <w:r>
        <w:rPr>
          <w:sz w:val="23"/>
          <w:szCs w:val="23"/>
          <w:lang w:val="en" w:eastAsia="en"/>
        </w:rPr>
        <w:t> </w:t>
      </w:r>
    </w:p>
    <w:p w:rsidR="00A77B3E">
      <w:pPr>
        <w:pStyle w:val="prosenth-last-child1"/>
        <w:spacing w:before="240" w:after="240" w:line="342" w:lineRule="atLeast"/>
        <w:ind w:left="0" w:right="0"/>
        <w:rPr>
          <w:sz w:val="23"/>
          <w:szCs w:val="23"/>
          <w:lang w:val="en" w:eastAsia="en"/>
        </w:rPr>
      </w:pPr>
      <w:r>
        <w:rPr>
          <w:sz w:val="23"/>
          <w:szCs w:val="23"/>
          <w:lang w:val="en" w:eastAsia="en"/>
        </w:rPr>
        <w:t> </w:t>
      </w:r>
    </w:p>
    <w:p w:rsidR="00A77B3E"/>
    <w:sectPr>
      <w:footerReference w:type="default" r:id="rId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24 August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b-8">
    <w:name w:val="mb-8"/>
    <w:basedOn w:val="Normal"/>
  </w:style>
  <w:style w:type="paragraph" w:customStyle="1" w:styleId="bodyany">
    <w:name w:val="body &gt; any"/>
    <w:basedOn w:val="Normal"/>
  </w:style>
  <w:style w:type="paragraph" w:customStyle="1" w:styleId="any">
    <w:name w:val="any"/>
    <w:basedOn w:val="Normal"/>
  </w:style>
  <w:style w:type="paragraph" w:customStyle="1" w:styleId="prose">
    <w:name w:val="prose"/>
    <w:basedOn w:val="Normal"/>
    <w:pPr>
      <w:spacing w:line="342" w:lineRule="atLeast"/>
    </w:pPr>
    <w:rPr>
      <w:sz w:val="23"/>
      <w:szCs w:val="23"/>
    </w:rPr>
  </w:style>
  <w:style w:type="paragraph" w:customStyle="1" w:styleId="prosenth-child1">
    <w:name w:val="prose &gt; nth-child(1)"/>
    <w:basedOn w:val="Normal"/>
  </w:style>
  <w:style w:type="paragraph" w:customStyle="1" w:styleId="prosert-blockany">
    <w:name w:val="prose_rt-block &gt; any"/>
    <w:basedOn w:val="Normal"/>
    <w:pPr>
      <w:pBdr>
        <w:top w:val="none" w:sz="0" w:space="12" w:color="auto"/>
        <w:left w:val="none" w:sz="0" w:space="12" w:color="auto"/>
        <w:bottom w:val="none" w:sz="0" w:space="12" w:color="auto"/>
        <w:right w:val="none" w:sz="0" w:space="12" w:color="auto"/>
      </w:pBdr>
    </w:pPr>
  </w:style>
  <w:style w:type="paragraph" w:customStyle="1" w:styleId="prosenth-last-child1">
    <w:name w:val="prose &gt; nth-last-child(1)"/>
    <w:basedOn w:val="Normal"/>
  </w:style>
  <w:style w:type="paragraph" w:customStyle="1" w:styleId="proseany">
    <w:name w:val="prose &gt; any"/>
    <w:basedOn w:val="Normal"/>
  </w:style>
  <w:style w:type="character" w:customStyle="1" w:styleId="prosea">
    <w:name w:val="prose_a"/>
    <w:basedOn w:val="DefaultParagraphFont"/>
    <w:rPr>
      <w:color w:val="00509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websitefeedback@ico.org.uk" TargetMode="Externa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for-organisations/uk-gdpr-guidance-and-resources/lawful-basis/a-guide-to-lawful-basis/legal-obligation/" TargetMode="External" /><Relationship Id="rId5" Type="http://schemas.openxmlformats.org/officeDocument/2006/relationships/hyperlink" Target="https://ico.org.uk/for-organisations/uk-gdpr-guidance-and-resources/lawful-basis/a-guide-to-lawful-basis/special-category-data/" TargetMode="External" /><Relationship Id="rId6" Type="http://schemas.openxmlformats.org/officeDocument/2006/relationships/hyperlink" Target="https://ico.org.uk/for-organisations/uk-gdpr-guidance-and-resources/lawful-basis/a-guide-to-lawful-basis/criminal-offence-data/" TargetMode="External" /><Relationship Id="rId7" Type="http://schemas.openxmlformats.org/officeDocument/2006/relationships/hyperlink" Target="https://ico.org.uk/for-organisations/uk-gdpr-guidance-and-resources/lawful-basis/a-guide-to-lawful-basis/public-task/" TargetMode="External" /><Relationship Id="rId8" Type="http://schemas.openxmlformats.org/officeDocument/2006/relationships/hyperlink" Target="https://ico.org.uk/for-organisations/uk-gdpr-guidance-and-resources/lawful-basis/a-guide-to-lawful-basis/consent/" TargetMode="External" /><Relationship Id="rId9" Type="http://schemas.openxmlformats.org/officeDocument/2006/relationships/hyperlink" Target="https://ico.org.uk/for-organisations/uk-gdpr-guidance-and-resources/lawful-basis/a-guide-to-lawful-ba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Lawful basis assessment report</dc:title>
  <cp:revision>1</cp:revision>
</cp:coreProperties>
</file>