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360" w:lineRule="auto"/>
        <w:jc w:val="both"/>
      </w:pPr>
      <w:r>
        <w:rPr>
          <w:rFonts w:ascii="Times New Roman" w:hAnsi="Times New Roman"/>
          <w:b w:val="0"/>
          <w:i w:val="0"/>
          <w:sz w:val="24"/>
        </w:rPr>
      </w:r>
    </w:p>
    <w:p>
      <w:pPr>
        <w:spacing w:before="800" w:after="120" w:line="360" w:lineRule="auto"/>
        <w:jc w:val="center"/>
      </w:pPr>
      <w:r>
        <w:rPr>
          <w:rFonts w:ascii="Times New Roman" w:hAnsi="Times New Roman"/>
          <w:b/>
          <w:i w:val="0"/>
          <w:sz w:val="32"/>
        </w:rPr>
        <w:t>INTERNSHIP REPORT ON</w:t>
      </w:r>
    </w:p>
    <w:p>
      <w:pPr>
        <w:spacing w:before="200" w:after="120" w:line="360" w:lineRule="auto"/>
        <w:jc w:val="center"/>
      </w:pPr>
      <w:r>
        <w:rPr>
          <w:rFonts w:ascii="Times New Roman" w:hAnsi="Times New Roman"/>
          <w:b/>
          <w:i w:val="0"/>
          <w:color w:val="1F3864"/>
          <w:sz w:val="36"/>
        </w:rPr>
        <w:t>BEACONHOUSE SCHOOL SYSTEM</w:t>
      </w:r>
    </w:p>
    <w:p>
      <w:pPr>
        <w:spacing w:before="120" w:after="120" w:line="360" w:lineRule="auto"/>
        <w:jc w:val="both"/>
      </w:pPr>
      <w:r>
        <w:rPr>
          <w:rFonts w:ascii="Times New Roman" w:hAnsi="Times New Roman"/>
          <w:b w:val="0"/>
          <w:i w:val="0"/>
          <w:sz w:val="24"/>
        </w:rPr>
      </w:r>
    </w:p>
    <w:p>
      <w:pPr>
        <w:spacing w:before="120" w:after="120" w:line="360" w:lineRule="auto"/>
        <w:jc w:val="center"/>
      </w:pPr>
      <w:r>
        <w:rPr>
          <w:rFonts w:ascii="Times New Roman" w:hAnsi="Times New Roman"/>
          <w:b/>
          <w:i w:val="0"/>
          <w:sz w:val="26"/>
        </w:rPr>
        <w:t>SUBMITTED TO:</w:t>
      </w:r>
    </w:p>
    <w:p>
      <w:pPr>
        <w:spacing w:before="120" w:after="120" w:line="360" w:lineRule="auto"/>
        <w:jc w:val="center"/>
      </w:pPr>
      <w:r>
        <w:rPr>
          <w:rFonts w:ascii="Times New Roman" w:hAnsi="Times New Roman"/>
          <w:b/>
          <w:i w:val="0"/>
          <w:sz w:val="24"/>
        </w:rPr>
        <w:t>DIRECTOR</w:t>
      </w:r>
    </w:p>
    <w:p>
      <w:pPr>
        <w:spacing w:before="120" w:after="120" w:line="360" w:lineRule="auto"/>
        <w:jc w:val="center"/>
      </w:pPr>
      <w:r>
        <w:rPr>
          <w:rFonts w:ascii="Times New Roman" w:hAnsi="Times New Roman"/>
          <w:b/>
          <w:i w:val="0"/>
          <w:sz w:val="24"/>
        </w:rPr>
        <w:t>DR. MUQQADAS REHMAN</w:t>
      </w:r>
    </w:p>
    <w:p>
      <w:pPr>
        <w:spacing w:before="120" w:after="120" w:line="360" w:lineRule="auto"/>
        <w:jc w:val="both"/>
      </w:pPr>
      <w:r>
        <w:rPr>
          <w:rFonts w:ascii="Times New Roman" w:hAnsi="Times New Roman"/>
          <w:b w:val="0"/>
          <w:i w:val="0"/>
          <w:sz w:val="24"/>
        </w:rPr>
      </w:r>
    </w:p>
    <w:p>
      <w:pPr>
        <w:spacing w:before="120" w:after="120" w:line="360" w:lineRule="auto"/>
        <w:jc w:val="center"/>
      </w:pPr>
      <w:r>
        <w:rPr>
          <w:rFonts w:ascii="Times New Roman" w:hAnsi="Times New Roman"/>
          <w:b/>
          <w:i w:val="0"/>
          <w:sz w:val="26"/>
        </w:rPr>
        <w:t>SUBMITTED BY:</w:t>
      </w:r>
    </w:p>
    <w:p>
      <w:pPr>
        <w:spacing w:before="120" w:after="120" w:line="360" w:lineRule="auto"/>
        <w:jc w:val="center"/>
      </w:pPr>
      <w:r>
        <w:rPr>
          <w:rFonts w:ascii="Times New Roman" w:hAnsi="Times New Roman"/>
          <w:b/>
          <w:i w:val="0"/>
          <w:sz w:val="24"/>
        </w:rPr>
        <w:t>BASEERAT KAMRAN</w:t>
      </w:r>
    </w:p>
    <w:p>
      <w:pPr>
        <w:spacing w:before="120" w:after="120" w:line="360" w:lineRule="auto"/>
        <w:jc w:val="center"/>
      </w:pPr>
      <w:r>
        <w:rPr>
          <w:rFonts w:ascii="Times New Roman" w:hAnsi="Times New Roman"/>
          <w:b/>
          <w:i w:val="0"/>
          <w:sz w:val="24"/>
        </w:rPr>
        <w:t>ROLL NO:  2022-105</w:t>
      </w:r>
    </w:p>
    <w:p>
      <w:pPr>
        <w:spacing w:before="120" w:after="120" w:line="360" w:lineRule="auto"/>
        <w:jc w:val="center"/>
      </w:pPr>
      <w:r>
        <w:rPr>
          <w:rFonts w:ascii="Times New Roman" w:hAnsi="Times New Roman"/>
          <w:b/>
          <w:i w:val="0"/>
          <w:sz w:val="24"/>
        </w:rPr>
        <w:t>SESSION:  2022-2026</w:t>
      </w:r>
    </w:p>
    <w:p>
      <w:pPr>
        <w:spacing w:before="120" w:after="120" w:line="360" w:lineRule="auto"/>
        <w:jc w:val="both"/>
      </w:pPr>
      <w:r>
        <w:rPr>
          <w:rFonts w:ascii="Times New Roman" w:hAnsi="Times New Roman"/>
          <w:b w:val="0"/>
          <w:i w:val="0"/>
          <w:sz w:val="24"/>
        </w:rPr>
      </w:r>
    </w:p>
    <w:p>
      <w:pPr>
        <w:spacing w:before="120" w:after="120" w:line="360" w:lineRule="auto"/>
        <w:jc w:val="center"/>
      </w:pPr>
      <w:r>
        <w:rPr>
          <w:rFonts w:ascii="Times New Roman" w:hAnsi="Times New Roman"/>
          <w:b/>
          <w:i w:val="0"/>
          <w:sz w:val="24"/>
        </w:rPr>
        <w:t>INSTITUTE OF BUSINESS ADMINISTRATION</w:t>
      </w:r>
    </w:p>
    <w:p>
      <w:pPr>
        <w:spacing w:before="120" w:after="120" w:line="360" w:lineRule="auto"/>
        <w:jc w:val="center"/>
      </w:pPr>
      <w:r>
        <w:rPr>
          <w:rFonts w:ascii="Times New Roman" w:hAnsi="Times New Roman"/>
          <w:b/>
          <w:i w:val="0"/>
          <w:sz w:val="24"/>
        </w:rPr>
        <w:t>UNIVERSITY OF THE PUNJAB</w:t>
      </w:r>
    </w:p>
    <w:p>
      <w:pPr>
        <w:spacing w:before="120" w:after="120" w:line="360" w:lineRule="auto"/>
        <w:jc w:val="center"/>
      </w:pPr>
      <w:r>
        <w:rPr>
          <w:rFonts w:ascii="Times New Roman" w:hAnsi="Times New Roman"/>
          <w:b/>
          <w:i w:val="0"/>
          <w:sz w:val="24"/>
        </w:rPr>
        <w:t>LAHORE</w:t>
      </w:r>
    </w:p>
    <w:p>
      <w:r>
        <w:br w:type="page"/>
      </w:r>
    </w:p>
    <w:p>
      <w:pPr>
        <w:spacing w:before="280" w:after="120" w:line="360" w:lineRule="auto"/>
        <w:jc w:val="left"/>
      </w:pPr>
      <w:r>
        <w:rPr>
          <w:rFonts w:ascii="Times New Roman" w:hAnsi="Times New Roman"/>
          <w:b/>
          <w:color w:val="1F3864"/>
          <w:sz w:val="28"/>
        </w:rPr>
        <w:t>ACKNOWLEDGEMENT</w:t>
      </w:r>
    </w:p>
    <w:p>
      <w:pPr>
        <w:spacing w:before="120" w:after="120" w:line="360" w:lineRule="auto"/>
        <w:jc w:val="both"/>
      </w:pPr>
      <w:r>
        <w:rPr>
          <w:rFonts w:ascii="Times New Roman" w:hAnsi="Times New Roman"/>
          <w:b w:val="0"/>
          <w:i w:val="0"/>
          <w:sz w:val="24"/>
        </w:rPr>
        <w:t>All thanks to Almighty Allah, the most Gracious and the most Merciful, for enabling me to fulfil all the requirements for completing this internship report. It would be unjust to present this report without acknowledging the people who have been essential to its completion.</w:t>
      </w:r>
    </w:p>
    <w:p>
      <w:pPr>
        <w:spacing w:before="120" w:after="120" w:line="360" w:lineRule="auto"/>
        <w:jc w:val="both"/>
      </w:pPr>
      <w:r>
        <w:rPr>
          <w:rFonts w:ascii="Times New Roman" w:hAnsi="Times New Roman"/>
          <w:b w:val="0"/>
          <w:i w:val="0"/>
          <w:sz w:val="24"/>
        </w:rPr>
        <w:t>I am deeply grateful to my esteemed teachers at the Institute of Business Administration (IBA), University of the Punjab, whose comprehensive guidance and knowledge greatly assisted me throughout my internship. The academic foundation I received at IBA proved invaluable in every aspect of my practical training at Beaconhouse School System. The theoretical frameworks imparted in classroom settings — from human resource management to financial accounting and organizational behaviour — were directly applicable in a professional setting, affirming the relevance and quality of IBA's curriculum.</w:t>
      </w:r>
    </w:p>
    <w:p>
      <w:pPr>
        <w:spacing w:before="120" w:after="120" w:line="360" w:lineRule="auto"/>
        <w:jc w:val="both"/>
      </w:pPr>
      <w:r>
        <w:rPr>
          <w:rFonts w:ascii="Times New Roman" w:hAnsi="Times New Roman"/>
          <w:b w:val="0"/>
          <w:i w:val="0"/>
          <w:sz w:val="24"/>
        </w:rPr>
        <w:t>I would like to express my sincerest gratitude to the HR department of Beaconhouse School System for providing me with this remarkable opportunity. My supervisors and colleagues were exceptionally supportive — despite their demanding schedules, they took time to guide, mentor, and inspire me, enabling me to complete my assignments and projects with confidence. Their patience in explaining complex HR processes, sharing their professional experiences, and involving me in real workplace tasks made my internship both educationally enriching and personally rewarding.</w:t>
      </w:r>
    </w:p>
    <w:p>
      <w:pPr>
        <w:spacing w:before="120" w:after="120" w:line="360" w:lineRule="auto"/>
        <w:jc w:val="both"/>
      </w:pPr>
      <w:r>
        <w:rPr>
          <w:rFonts w:ascii="Times New Roman" w:hAnsi="Times New Roman"/>
          <w:b w:val="0"/>
          <w:i w:val="0"/>
          <w:sz w:val="24"/>
        </w:rPr>
        <w:t>I gratefully acknowledge the contributions of all those who supported me during this journey. This internship represents a significant milestone in my professional development, and I am committed to utilizing the skills and knowledge I have acquired to the best of my ability. Finally, I have no words to express my deepest gratitude to my parents for their constant moral support, prayers, and encouragement throughout my entire educational journey.</w:t>
      </w:r>
    </w:p>
    <w:p>
      <w:r>
        <w:br w:type="page"/>
      </w:r>
    </w:p>
    <w:p>
      <w:pPr>
        <w:spacing w:before="280" w:after="120" w:line="360" w:lineRule="auto"/>
        <w:jc w:val="left"/>
      </w:pPr>
      <w:r>
        <w:rPr>
          <w:rFonts w:ascii="Times New Roman" w:hAnsi="Times New Roman"/>
          <w:b/>
          <w:color w:val="1F3864"/>
          <w:sz w:val="28"/>
        </w:rPr>
        <w:t>PREFACE</w:t>
      </w:r>
    </w:p>
    <w:p>
      <w:pPr>
        <w:spacing w:before="120" w:after="120" w:line="360" w:lineRule="auto"/>
        <w:jc w:val="both"/>
      </w:pPr>
      <w:r>
        <w:rPr>
          <w:rFonts w:ascii="Times New Roman" w:hAnsi="Times New Roman"/>
          <w:b w:val="0"/>
          <w:i w:val="0"/>
          <w:sz w:val="24"/>
        </w:rPr>
        <w:t>The Institute of Business Administration (IBA) at the University of the Punjab has established itself as a premier business school, fostering the talents of countless students since its inception. The institute is dedicated to identifying and nurturing student potential, encouraging excellence, and providing practical experiences that bridge the gap between academic knowledge and professional application.</w:t>
      </w:r>
    </w:p>
    <w:p>
      <w:pPr>
        <w:spacing w:before="120" w:after="120" w:line="360" w:lineRule="auto"/>
        <w:jc w:val="both"/>
      </w:pPr>
      <w:r>
        <w:rPr>
          <w:rFonts w:ascii="Times New Roman" w:hAnsi="Times New Roman"/>
          <w:b w:val="0"/>
          <w:i w:val="0"/>
          <w:sz w:val="24"/>
        </w:rPr>
        <w:t>As part of the Bachelor of Business Administration programme at IBA, students are required to complete a mandatory six-week practical training internship. This internship, coupled with a viva-voce examination, is a critical component of the BBA (Hons) curriculum. Students must undertake their internship at a reputable company, business organization, or registered firm within Pakistan. At the end of the internship, students are expected to compile a comprehensive report detailing the organization and their work experiences. The internship programme is designed to expose students to the realities of the business world, encourage critical thinking, and build professional competencies that will serve them throughout their careers.</w:t>
      </w:r>
    </w:p>
    <w:p>
      <w:pPr>
        <w:spacing w:before="120" w:after="120" w:line="360" w:lineRule="auto"/>
        <w:jc w:val="both"/>
      </w:pPr>
      <w:r>
        <w:rPr>
          <w:rFonts w:ascii="Times New Roman" w:hAnsi="Times New Roman"/>
          <w:b w:val="0"/>
          <w:i w:val="0"/>
          <w:sz w:val="24"/>
        </w:rPr>
        <w:t>I had the privilege of completing my internship at Beaconhouse School System, one of Pakistan's most prestigious and largest private educational networks. I was placed in the Human Resources (HR) Department at the head office in Lahore. This report documents my observations, experiences, and learnings during the six-week training period. It covers the organization's history, management system, administrative styles, operational facilities, marketing strategy, and financial systems — providing a holistic view of how one of Pakistan's leading private school networks operates.</w:t>
      </w:r>
    </w:p>
    <w:p>
      <w:pPr>
        <w:spacing w:before="120" w:after="120" w:line="360" w:lineRule="auto"/>
        <w:jc w:val="both"/>
      </w:pPr>
      <w:r>
        <w:rPr>
          <w:rFonts w:ascii="Times New Roman" w:hAnsi="Times New Roman"/>
          <w:b w:val="0"/>
          <w:i w:val="0"/>
          <w:sz w:val="24"/>
        </w:rPr>
        <w:t>I extend my heartfelt thanks to my supervisors and the entire HR team at Beaconhouse School System for their valuable advice, guidance, and for arranging all necessary facilities to make my learning experience productive. My time at Beaconhouse was rich with valuable professional experiences, and this report has been presented in a clear and structured manner to make it accessible to all readers.</w:t>
      </w:r>
    </w:p>
    <w:p>
      <w:r>
        <w:br w:type="page"/>
      </w:r>
    </w:p>
    <w:p>
      <w:pPr>
        <w:spacing w:before="280" w:after="120" w:line="360" w:lineRule="auto"/>
        <w:jc w:val="left"/>
      </w:pPr>
      <w:r>
        <w:rPr>
          <w:rFonts w:ascii="Times New Roman" w:hAnsi="Times New Roman"/>
          <w:b/>
          <w:color w:val="1F3864"/>
          <w:sz w:val="28"/>
        </w:rPr>
        <w:t>EXECUTIVE SUMMARY</w:t>
      </w:r>
    </w:p>
    <w:p>
      <w:pPr>
        <w:spacing w:before="120" w:after="120" w:line="360" w:lineRule="auto"/>
        <w:jc w:val="both"/>
      </w:pPr>
      <w:r>
        <w:rPr>
          <w:rFonts w:ascii="Times New Roman" w:hAnsi="Times New Roman"/>
          <w:b w:val="0"/>
          <w:i w:val="0"/>
          <w:sz w:val="24"/>
        </w:rPr>
        <w:t>Beaconhouse School System (BSS) is one of the largest private school networks in Pakistan and the world, founded in 1975 by Mrs. Nasreen Kasuri in Lahore, Pakistan. With over four decades of academic excellence, Beaconhouse operates more than 330 campuses across Pakistan and has an international presence in countries including Belgium, Malaysia, Philippines, UAE, and Oman. The network educates over 315,000 students and employs thousands of dedicated faculty and staff members.</w:t>
      </w:r>
    </w:p>
    <w:p>
      <w:pPr>
        <w:spacing w:before="120" w:after="120" w:line="360" w:lineRule="auto"/>
        <w:jc w:val="both"/>
      </w:pPr>
      <w:r>
        <w:rPr>
          <w:rFonts w:ascii="Times New Roman" w:hAnsi="Times New Roman"/>
          <w:b w:val="0"/>
          <w:i w:val="0"/>
          <w:sz w:val="24"/>
        </w:rPr>
        <w:t>The HR department of Beaconhouse School System functions as the backbone of the organization's people management strategy. It oversees a wide range of functions including recruitment and selection, employee onboarding, performance management, compensation and benefits, training and development, employee relations, and HR compliance. The department maintains a centralized structure at the head office while coordinating with regional HR teams across the country.</w:t>
      </w:r>
    </w:p>
    <w:p>
      <w:pPr>
        <w:spacing w:before="120" w:after="120" w:line="360" w:lineRule="auto"/>
        <w:jc w:val="both"/>
      </w:pPr>
      <w:r>
        <w:rPr>
          <w:rFonts w:ascii="Times New Roman" w:hAnsi="Times New Roman"/>
          <w:b w:val="0"/>
          <w:i w:val="0"/>
          <w:sz w:val="24"/>
        </w:rPr>
        <w:t>During the six-week internship, I observed and participated in various HR functions. The management style at Beaconhouse is a blend of democratic and bureaucratic approaches, ensuring both employee participation and adherence to established policies. The organization follows a well-defined hierarchical structure with clear reporting lines from the Board of Directors through the CEO and COO (Chief Operating Officer) down to campus-level staff.</w:t>
      </w:r>
    </w:p>
    <w:p>
      <w:pPr>
        <w:spacing w:before="120" w:after="120" w:line="360" w:lineRule="auto"/>
        <w:jc w:val="both"/>
      </w:pPr>
      <w:r>
        <w:rPr>
          <w:rFonts w:ascii="Times New Roman" w:hAnsi="Times New Roman"/>
          <w:b w:val="0"/>
          <w:i w:val="0"/>
          <w:sz w:val="24"/>
        </w:rPr>
        <w:t>From a marketing perspective, Beaconhouse's brand is built on quality education, innovation, and an internationally recognized curriculum. Its pricing strategy targets the upper-middle and premium segments of society. In terms of finance, Beaconhouse generates revenue primarily through tuition fees and reinvests significantly in infrastructure, technology, and teacher training.</w:t>
      </w:r>
    </w:p>
    <w:p>
      <w:pPr>
        <w:spacing w:before="120" w:after="120" w:line="360" w:lineRule="auto"/>
        <w:jc w:val="both"/>
      </w:pPr>
      <w:r>
        <w:rPr>
          <w:rFonts w:ascii="Times New Roman" w:hAnsi="Times New Roman"/>
          <w:b w:val="0"/>
          <w:i w:val="0"/>
          <w:sz w:val="24"/>
        </w:rPr>
        <w:t>A financial analysis of Beaconhouse, including ratio analysis, horizontal and vertical analysis, reveals a financially stable organization with consistent revenue growth, healthy liquidity ratios, and moderate profitability — consistent with the private education sector in Pakistan.</w:t>
      </w:r>
    </w:p>
    <w:p>
      <w:pPr>
        <w:spacing w:before="120" w:after="120" w:line="360" w:lineRule="auto"/>
        <w:jc w:val="both"/>
      </w:pPr>
      <w:r>
        <w:rPr>
          <w:rFonts w:ascii="Times New Roman" w:hAnsi="Times New Roman"/>
          <w:b w:val="0"/>
          <w:i w:val="0"/>
          <w:sz w:val="24"/>
        </w:rPr>
        <w:t>Key strengths of Beaconhouse include its strong brand reputation, international affiliations, experienced faculty, and comprehensive curriculum. Challenges include high operational costs, intense competition from other elite school networks, and the need to adapt rapidly to digital education trends. Recommendations include investing in advanced HRIS systems, strengthening employee engagement initiatives, expanding the compensation and benefits framework, and further streamlining the recruitment process to reduce onboarding time.</w:t>
      </w:r>
    </w:p>
    <w:p>
      <w:r>
        <w:br w:type="page"/>
      </w:r>
    </w:p>
    <w:p>
      <w:pPr>
        <w:spacing w:before="280" w:after="120" w:line="360" w:lineRule="auto"/>
        <w:jc w:val="left"/>
      </w:pPr>
      <w:r>
        <w:rPr>
          <w:rFonts w:ascii="Times New Roman" w:hAnsi="Times New Roman"/>
          <w:b/>
          <w:color w:val="1F3864"/>
          <w:sz w:val="28"/>
        </w:rPr>
        <w:t>TABLE OF CONTENTS</w:t>
      </w:r>
    </w:p>
    <w:p>
      <w:pPr>
        <w:spacing w:line="360" w:lineRule="auto" w:before="60" w:after="60"/>
      </w:pPr>
      <w:r>
        <w:rPr>
          <w:rFonts w:ascii="Times New Roman" w:hAnsi="Times New Roman"/>
          <w:b/>
          <w:sz w:val="24"/>
        </w:rPr>
        <w:t>PART ONE  —  Introduction to Beaconhouse School System</w:t>
      </w:r>
    </w:p>
    <w:p>
      <w:pPr>
        <w:spacing w:line="360" w:lineRule="auto" w:before="60" w:after="60"/>
      </w:pPr>
      <w:r>
        <w:rPr>
          <w:rFonts w:ascii="Times New Roman" w:hAnsi="Times New Roman"/>
          <w:sz w:val="24"/>
        </w:rPr>
        <w:t xml:space="preserve">          History of the Organization</w:t>
      </w:r>
    </w:p>
    <w:p>
      <w:pPr>
        <w:spacing w:line="360" w:lineRule="auto" w:before="60" w:after="60"/>
      </w:pPr>
      <w:r>
        <w:rPr>
          <w:rFonts w:ascii="Times New Roman" w:hAnsi="Times New Roman"/>
          <w:sz w:val="24"/>
        </w:rPr>
        <w:t xml:space="preserve">          Mission, Vision &amp; Objectives</w:t>
      </w:r>
    </w:p>
    <w:p>
      <w:pPr>
        <w:spacing w:line="360" w:lineRule="auto" w:before="60" w:after="60"/>
      </w:pPr>
      <w:r>
        <w:rPr>
          <w:rFonts w:ascii="Times New Roman" w:hAnsi="Times New Roman"/>
          <w:sz w:val="24"/>
        </w:rPr>
        <w:t xml:space="preserve">          Products/Services Range</w:t>
      </w:r>
    </w:p>
    <w:p>
      <w:pPr>
        <w:spacing w:line="360" w:lineRule="auto" w:before="60" w:after="60"/>
      </w:pPr>
      <w:r>
        <w:rPr>
          <w:rFonts w:ascii="Times New Roman" w:hAnsi="Times New Roman"/>
          <w:sz w:val="24"/>
        </w:rPr>
        <w:t xml:space="preserve">          Comparison with Competitors</w:t>
      </w:r>
    </w:p>
    <w:p>
      <w:pPr>
        <w:spacing w:line="360" w:lineRule="auto" w:before="60" w:after="60"/>
      </w:pPr>
      <w:r>
        <w:rPr>
          <w:rFonts w:ascii="Times New Roman" w:hAnsi="Times New Roman"/>
          <w:sz w:val="24"/>
        </w:rPr>
        <w:t xml:space="preserve">          Reflection on Development Pattern</w:t>
      </w:r>
    </w:p>
    <w:p>
      <w:pPr>
        <w:spacing w:line="360" w:lineRule="auto" w:before="60" w:after="60"/>
      </w:pPr>
      <w:r>
        <w:rPr>
          <w:rFonts w:ascii="Times New Roman" w:hAnsi="Times New Roman"/>
          <w:b/>
          <w:sz w:val="24"/>
        </w:rPr>
        <w:t>PART TWO  —  Company Management System</w:t>
      </w:r>
    </w:p>
    <w:p>
      <w:pPr>
        <w:spacing w:line="360" w:lineRule="auto" w:before="60" w:after="60"/>
      </w:pPr>
      <w:r>
        <w:rPr>
          <w:rFonts w:ascii="Times New Roman" w:hAnsi="Times New Roman"/>
          <w:sz w:val="24"/>
        </w:rPr>
        <w:t xml:space="preserve">          Organizational Structure</w:t>
      </w:r>
    </w:p>
    <w:p>
      <w:pPr>
        <w:spacing w:line="360" w:lineRule="auto" w:before="60" w:after="60"/>
      </w:pPr>
      <w:r>
        <w:rPr>
          <w:rFonts w:ascii="Times New Roman" w:hAnsi="Times New Roman"/>
          <w:sz w:val="24"/>
        </w:rPr>
        <w:t xml:space="preserve">          Key Departments</w:t>
      </w:r>
    </w:p>
    <w:p>
      <w:pPr>
        <w:spacing w:line="360" w:lineRule="auto" w:before="60" w:after="60"/>
      </w:pPr>
      <w:r>
        <w:rPr>
          <w:rFonts w:ascii="Times New Roman" w:hAnsi="Times New Roman"/>
          <w:sz w:val="24"/>
        </w:rPr>
        <w:t xml:space="preserve">          Management Hierarchy</w:t>
      </w:r>
    </w:p>
    <w:p>
      <w:pPr>
        <w:spacing w:line="360" w:lineRule="auto" w:before="60" w:after="60"/>
      </w:pPr>
      <w:r>
        <w:rPr>
          <w:rFonts w:ascii="Times New Roman" w:hAnsi="Times New Roman"/>
          <w:sz w:val="24"/>
        </w:rPr>
        <w:t xml:space="preserve">          Compensation, Benefits &amp; Remuneration</w:t>
      </w:r>
    </w:p>
    <w:p>
      <w:pPr>
        <w:spacing w:line="360" w:lineRule="auto" w:before="60" w:after="60"/>
      </w:pPr>
      <w:r>
        <w:rPr>
          <w:rFonts w:ascii="Times New Roman" w:hAnsi="Times New Roman"/>
          <w:sz w:val="24"/>
        </w:rPr>
        <w:t xml:space="preserve">          Policy Formulation Process</w:t>
      </w:r>
    </w:p>
    <w:p>
      <w:pPr>
        <w:spacing w:line="360" w:lineRule="auto" w:before="60" w:after="60"/>
      </w:pPr>
      <w:r>
        <w:rPr>
          <w:rFonts w:ascii="Times New Roman" w:hAnsi="Times New Roman"/>
          <w:sz w:val="24"/>
        </w:rPr>
        <w:t xml:space="preserve">          Employees in Various Sections (incl. Finance Career Ladder)</w:t>
      </w:r>
    </w:p>
    <w:p>
      <w:pPr>
        <w:spacing w:line="360" w:lineRule="auto" w:before="60" w:after="60"/>
      </w:pPr>
      <w:r>
        <w:rPr>
          <w:rFonts w:ascii="Times New Roman" w:hAnsi="Times New Roman"/>
          <w:sz w:val="24"/>
        </w:rPr>
        <w:t xml:space="preserve">          Managerial Policies and Practices</w:t>
      </w:r>
    </w:p>
    <w:p>
      <w:pPr>
        <w:spacing w:line="360" w:lineRule="auto" w:before="60" w:after="60"/>
      </w:pPr>
      <w:r>
        <w:rPr>
          <w:rFonts w:ascii="Times New Roman" w:hAnsi="Times New Roman"/>
          <w:b/>
          <w:sz w:val="24"/>
        </w:rPr>
        <w:t>PART THREE  —  Administrative / Management Styles</w:t>
      </w:r>
    </w:p>
    <w:p>
      <w:pPr>
        <w:spacing w:line="360" w:lineRule="auto" w:before="60" w:after="60"/>
      </w:pPr>
      <w:r>
        <w:rPr>
          <w:rFonts w:ascii="Times New Roman" w:hAnsi="Times New Roman"/>
          <w:b/>
          <w:sz w:val="24"/>
        </w:rPr>
        <w:t>PART FOUR  —  Production / Operational Facilities</w:t>
      </w:r>
    </w:p>
    <w:p>
      <w:pPr>
        <w:spacing w:line="360" w:lineRule="auto" w:before="60" w:after="60"/>
      </w:pPr>
      <w:r>
        <w:rPr>
          <w:rFonts w:ascii="Times New Roman" w:hAnsi="Times New Roman"/>
          <w:b/>
          <w:sz w:val="24"/>
        </w:rPr>
        <w:t>PART FIVE  —  Marketing Mix</w:t>
      </w:r>
    </w:p>
    <w:p>
      <w:pPr>
        <w:spacing w:line="360" w:lineRule="auto" w:before="60" w:after="60"/>
      </w:pPr>
      <w:r>
        <w:rPr>
          <w:rFonts w:ascii="Times New Roman" w:hAnsi="Times New Roman"/>
          <w:b/>
          <w:sz w:val="24"/>
        </w:rPr>
        <w:t>PART SIX  —  Company Accounting / Finance System</w:t>
      </w:r>
    </w:p>
    <w:p>
      <w:pPr>
        <w:spacing w:line="360" w:lineRule="auto" w:before="60" w:after="60"/>
      </w:pPr>
      <w:r>
        <w:rPr>
          <w:rFonts w:ascii="Times New Roman" w:hAnsi="Times New Roman"/>
          <w:sz w:val="24"/>
        </w:rPr>
        <w:t xml:space="preserve">          Accounting Procedures</w:t>
      </w:r>
    </w:p>
    <w:p>
      <w:pPr>
        <w:spacing w:line="360" w:lineRule="auto" w:before="60" w:after="60"/>
      </w:pPr>
      <w:r>
        <w:rPr>
          <w:rFonts w:ascii="Times New Roman" w:hAnsi="Times New Roman"/>
          <w:sz w:val="24"/>
        </w:rPr>
        <w:t xml:space="preserve">          Financial Analysis</w:t>
      </w:r>
    </w:p>
    <w:p>
      <w:pPr>
        <w:spacing w:line="360" w:lineRule="auto" w:before="60" w:after="60"/>
      </w:pPr>
      <w:r>
        <w:rPr>
          <w:rFonts w:ascii="Times New Roman" w:hAnsi="Times New Roman"/>
          <w:sz w:val="24"/>
        </w:rPr>
        <w:t xml:space="preserve">          Vertical Analysis (Common-Size Statements)</w:t>
      </w:r>
    </w:p>
    <w:p>
      <w:pPr>
        <w:spacing w:line="360" w:lineRule="auto" w:before="60" w:after="60"/>
      </w:pPr>
      <w:r>
        <w:rPr>
          <w:rFonts w:ascii="Times New Roman" w:hAnsi="Times New Roman"/>
          <w:sz w:val="24"/>
        </w:rPr>
        <w:t xml:space="preserve">          Horizontal Analysis (Trend Analysis)</w:t>
      </w:r>
    </w:p>
    <w:p>
      <w:pPr>
        <w:spacing w:line="360" w:lineRule="auto" w:before="60" w:after="60"/>
      </w:pPr>
      <w:r>
        <w:rPr>
          <w:rFonts w:ascii="Times New Roman" w:hAnsi="Times New Roman"/>
          <w:sz w:val="24"/>
        </w:rPr>
        <w:t xml:space="preserve">          Ratio Analysis</w:t>
      </w:r>
    </w:p>
    <w:p>
      <w:pPr>
        <w:spacing w:line="360" w:lineRule="auto" w:before="60" w:after="60"/>
      </w:pPr>
      <w:r>
        <w:rPr>
          <w:rFonts w:ascii="Times New Roman" w:hAnsi="Times New Roman"/>
          <w:b/>
          <w:sz w:val="24"/>
        </w:rPr>
        <w:t>PART SEVEN  —  Training Programme</w:t>
      </w:r>
    </w:p>
    <w:p>
      <w:pPr>
        <w:spacing w:line="360" w:lineRule="auto" w:before="60" w:after="60"/>
      </w:pPr>
      <w:r>
        <w:rPr>
          <w:rFonts w:ascii="Times New Roman" w:hAnsi="Times New Roman"/>
          <w:b/>
          <w:sz w:val="24"/>
        </w:rPr>
        <w:t>PART EIGHT  —  Conclusion and Recommendations</w:t>
      </w:r>
    </w:p>
    <w:p>
      <w:r>
        <w:br w:type="page"/>
      </w:r>
    </w:p>
    <w:p>
      <w:pPr>
        <w:spacing w:before="280" w:after="120" w:line="360" w:lineRule="auto"/>
        <w:jc w:val="left"/>
      </w:pPr>
      <w:r>
        <w:rPr>
          <w:rFonts w:ascii="Times New Roman" w:hAnsi="Times New Roman"/>
          <w:b/>
          <w:color w:val="1F3864"/>
          <w:sz w:val="28"/>
        </w:rPr>
        <w:t>PART ONE</w:t>
      </w:r>
    </w:p>
    <w:p>
      <w:pPr>
        <w:spacing w:before="280" w:after="120" w:line="360" w:lineRule="auto"/>
        <w:jc w:val="left"/>
      </w:pPr>
      <w:r>
        <w:rPr>
          <w:rFonts w:ascii="Times New Roman" w:hAnsi="Times New Roman"/>
          <w:b/>
          <w:color w:val="1F3864"/>
          <w:sz w:val="26"/>
        </w:rPr>
        <w:t>INTRODUCTION TO BEACONHOUSE SCHOOL SYSTEM</w:t>
      </w:r>
    </w:p>
    <w:p>
      <w:pPr>
        <w:spacing w:before="280" w:after="120" w:line="360" w:lineRule="auto"/>
        <w:jc w:val="left"/>
      </w:pPr>
      <w:r>
        <w:rPr>
          <w:rFonts w:ascii="Times New Roman" w:hAnsi="Times New Roman"/>
          <w:b/>
          <w:color w:val="1F3864"/>
          <w:sz w:val="24"/>
        </w:rPr>
        <w:t>Overview of the Organization</w:t>
      </w:r>
    </w:p>
    <w:p>
      <w:pPr>
        <w:spacing w:before="120" w:after="120" w:line="360" w:lineRule="auto"/>
        <w:jc w:val="both"/>
      </w:pPr>
      <w:r>
        <w:rPr>
          <w:rFonts w:ascii="Times New Roman" w:hAnsi="Times New Roman"/>
          <w:b w:val="0"/>
          <w:i w:val="0"/>
          <w:sz w:val="24"/>
        </w:rPr>
        <w:t>Beaconhouse School System (BSS) is one of the largest private educational networks in Pakistan and ranks among the top private school systems globally. Founded in 1975 by Mrs. Nasreen Kasuri in Lahore, the institution started as a small tutorial centre and has since grown into a full-fledged, internationally recognized educational network. The system serves students from early childhood through secondary and higher secondary education, offering both national (Matriculation and FSc) and international (Cambridge O-Level, A-Level, and IGCSE) curricula.</w:t>
      </w:r>
    </w:p>
    <w:p>
      <w:pPr>
        <w:spacing w:before="120" w:after="120" w:line="360" w:lineRule="auto"/>
        <w:jc w:val="both"/>
      </w:pPr>
      <w:r>
        <w:rPr>
          <w:rFonts w:ascii="Times New Roman" w:hAnsi="Times New Roman"/>
          <w:b w:val="0"/>
          <w:i w:val="0"/>
          <w:sz w:val="24"/>
        </w:rPr>
        <w:t>Headquartered in Lahore at 10-11 Gurumangat Road, Gulberg III, Beaconhouse operates over 330 campuses across all major cities and towns of Pakistan, including Lahore, Karachi, Islamabad, Rawalpindi, Peshawar, Multan, Faisalabad, Quetta, Bahawalpur, Gujranwala, Hyderabad, and many others. Internationally, Beaconhouse has a presence in Belgium, Malaysia, Philippines, UAE, and Oman, making it a truly global educational brand.</w:t>
      </w:r>
    </w:p>
    <w:p>
      <w:pPr>
        <w:spacing w:before="120" w:after="120" w:line="360" w:lineRule="auto"/>
        <w:jc w:val="both"/>
      </w:pPr>
      <w:r>
        <w:rPr>
          <w:rFonts w:ascii="Times New Roman" w:hAnsi="Times New Roman"/>
          <w:b w:val="0"/>
          <w:i w:val="0"/>
          <w:sz w:val="24"/>
        </w:rPr>
        <w:t>The network employs thousands of qualified and experienced teachers, administrators, and support staff. Its commitment to academic excellence, character development, and holistic education has made it the preferred choice for hundreds of thousands of families across Pakistan and abroad. Beaconhouse School System is the flagship institution of the wider Beaconhouse Group, which encompasses multiple educational brands including Beaconhouse Newlands, The Educators (TED), Concordia Colleges, and Ryan International Schools (Pakistan).</w:t>
      </w:r>
    </w:p>
    <w:p>
      <w:pPr>
        <w:spacing w:before="120" w:after="120" w:line="360" w:lineRule="auto"/>
        <w:jc w:val="both"/>
      </w:pPr>
      <w:r>
        <w:rPr>
          <w:rFonts w:ascii="Times New Roman" w:hAnsi="Times New Roman"/>
          <w:b w:val="0"/>
          <w:i w:val="0"/>
          <w:sz w:val="24"/>
        </w:rPr>
        <w:t>The Beaconhouse Group also operates Beaconhouse Educational Services Limited (BESL), a school management company that manages the conceptualisation and construction of start-up schools, the acquisition of existing schools, and day-to-day school operations internationally. This corporate structure enables Beaconhouse to maintain consistent educational standards across its diverse international operations.</w:t>
      </w:r>
    </w:p>
    <w:p>
      <w:pPr>
        <w:spacing w:before="280" w:after="120" w:line="360" w:lineRule="auto"/>
        <w:jc w:val="left"/>
      </w:pPr>
      <w:r>
        <w:rPr>
          <w:rFonts w:ascii="Times New Roman" w:hAnsi="Times New Roman"/>
          <w:b/>
          <w:color w:val="1F3864"/>
          <w:sz w:val="24"/>
        </w:rPr>
        <w:t>History of the Organization</w:t>
      </w:r>
    </w:p>
    <w:p>
      <w:pPr>
        <w:spacing w:before="120" w:after="120" w:line="360" w:lineRule="auto"/>
        <w:jc w:val="both"/>
      </w:pPr>
      <w:r>
        <w:rPr>
          <w:rFonts w:ascii="Times New Roman" w:hAnsi="Times New Roman"/>
          <w:b w:val="0"/>
          <w:i w:val="0"/>
          <w:sz w:val="24"/>
        </w:rPr>
        <w:t>The history of Beaconhouse School System is a compelling narrative of entrepreneurial vision, strategic growth, and unwavering commitment to educational excellence. From its humble beginnings as a small tutorial centre in Gulberg, Lahore, Beaconhouse has evolved into one of the world's most recognized private school systems.</w:t>
      </w:r>
    </w:p>
    <w:p>
      <w:pPr>
        <w:spacing w:before="120" w:after="40" w:line="360" w:lineRule="auto"/>
        <w:jc w:val="both"/>
      </w:pPr>
      <w:r>
        <w:rPr>
          <w:rFonts w:ascii="Times New Roman" w:hAnsi="Times New Roman"/>
          <w:b/>
          <w:i w:val="0"/>
          <w:sz w:val="24"/>
        </w:rPr>
        <w:t>1975 – Foundation:</w:t>
      </w:r>
    </w:p>
    <w:p>
      <w:pPr>
        <w:spacing w:before="120" w:after="120" w:line="360" w:lineRule="auto"/>
        <w:jc w:val="both"/>
      </w:pPr>
      <w:r>
        <w:rPr>
          <w:rFonts w:ascii="Times New Roman" w:hAnsi="Times New Roman"/>
          <w:b w:val="0"/>
          <w:i w:val="0"/>
          <w:sz w:val="24"/>
        </w:rPr>
        <w:t>Beaconhouse was established in November 1975 by Mrs. Nasreen Kasuri — wife of former Foreign Minister of Pakistan, Khurshid Mahmud Kasuri — as a small tutorial centre, initially known as the Les Anges Montessori Academy, in Gulberg, Lahore. The very first intake consisted of only 19 toddlers. The name 'Beaconhouse' reflects the institution's founding philosophy — to serve as a beacon of light and knowledge for students, guiding them towards a brighter future. The first formal Beaconhouse Public School branch was opened in Lahore in 1978.</w:t>
      </w:r>
    </w:p>
    <w:p>
      <w:pPr>
        <w:spacing w:before="120" w:after="40" w:line="360" w:lineRule="auto"/>
        <w:jc w:val="both"/>
      </w:pPr>
      <w:r>
        <w:rPr>
          <w:rFonts w:ascii="Times New Roman" w:hAnsi="Times New Roman"/>
          <w:b/>
          <w:i w:val="0"/>
          <w:sz w:val="24"/>
        </w:rPr>
        <w:t>1980s – Early Expansion:</w:t>
      </w:r>
    </w:p>
    <w:p>
      <w:pPr>
        <w:spacing w:before="120" w:after="120" w:line="360" w:lineRule="auto"/>
        <w:jc w:val="both"/>
      </w:pPr>
      <w:r>
        <w:rPr>
          <w:rFonts w:ascii="Times New Roman" w:hAnsi="Times New Roman"/>
          <w:b w:val="0"/>
          <w:i w:val="0"/>
          <w:sz w:val="24"/>
        </w:rPr>
        <w:t>During the 1980s, Beaconhouse expanded its operations by opening new branches in Lahore and other major cities. The institution began offering a structured curriculum and established its reputation for quality education and disciplined learning environments. This decade saw the development of the first standardized Beaconhouse curriculum framework, which ensured consistency in educational delivery across all branches. The introduction of a uniform code and standardized assessment procedures further distinguished Beaconhouse from other private schools of the era.</w:t>
      </w:r>
    </w:p>
    <w:p>
      <w:pPr>
        <w:spacing w:before="120" w:after="40" w:line="360" w:lineRule="auto"/>
        <w:jc w:val="both"/>
      </w:pPr>
      <w:r>
        <w:rPr>
          <w:rFonts w:ascii="Times New Roman" w:hAnsi="Times New Roman"/>
          <w:b/>
          <w:i w:val="0"/>
          <w:sz w:val="24"/>
        </w:rPr>
        <w:t>1990s – National Growth:</w:t>
      </w:r>
    </w:p>
    <w:p>
      <w:pPr>
        <w:spacing w:before="120" w:after="120" w:line="360" w:lineRule="auto"/>
        <w:jc w:val="both"/>
      </w:pPr>
      <w:r>
        <w:rPr>
          <w:rFonts w:ascii="Times New Roman" w:hAnsi="Times New Roman"/>
          <w:b w:val="0"/>
          <w:i w:val="0"/>
          <w:sz w:val="24"/>
        </w:rPr>
        <w:t>The 1990s marked a period of rapid national expansion for Beaconhouse. The school network extended its reach to Karachi, Islamabad, and other major cities across Pakistan. A pivotal strategic decision during this decade was the introduction of the Cambridge International Curriculum (O-Levels and A-Levels), setting a new standard for private education in Pakistan. This move positioned Beaconhouse as a premium and internationally competitive institution, creating strong demand among aspirational middle-class families who sought globally recognized qualifications for their children.</w:t>
      </w:r>
    </w:p>
    <w:p>
      <w:pPr>
        <w:spacing w:before="120" w:after="40" w:line="360" w:lineRule="auto"/>
        <w:jc w:val="both"/>
      </w:pPr>
      <w:r>
        <w:rPr>
          <w:rFonts w:ascii="Times New Roman" w:hAnsi="Times New Roman"/>
          <w:b/>
          <w:i w:val="0"/>
          <w:sz w:val="24"/>
        </w:rPr>
        <w:t>2000s – International Presence:</w:t>
      </w:r>
    </w:p>
    <w:p>
      <w:pPr>
        <w:spacing w:before="120" w:after="120" w:line="360" w:lineRule="auto"/>
        <w:jc w:val="both"/>
      </w:pPr>
      <w:r>
        <w:rPr>
          <w:rFonts w:ascii="Times New Roman" w:hAnsi="Times New Roman"/>
          <w:b w:val="0"/>
          <w:i w:val="0"/>
          <w:sz w:val="24"/>
        </w:rPr>
        <w:t>The 2000s saw Beaconhouse take its proven educational model abroad. The school system established operations in Malaysia through Beaconhouse Malaysia Sdn Bhd in 2004 — making it the first Pakistani education system to cross borders and export education to another country. This was followed by the establishment of campuses in the Philippines, Belgium, UAE, and Oman. Mr. Kasim Mahmud Kasuri, the son of the founder, assumed the role of CEO in 2005, ushering in a new era of professional leadership and strategic expansion. This decade also saw significant investment in digital infrastructure and teacher training programmes across the network.</w:t>
      </w:r>
    </w:p>
    <w:p>
      <w:pPr>
        <w:spacing w:before="120" w:after="40" w:line="360" w:lineRule="auto"/>
        <w:jc w:val="both"/>
      </w:pPr>
      <w:r>
        <w:rPr>
          <w:rFonts w:ascii="Times New Roman" w:hAnsi="Times New Roman"/>
          <w:b/>
          <w:i w:val="0"/>
          <w:sz w:val="24"/>
        </w:rPr>
        <w:t>2010s – Technology and Innovation:</w:t>
      </w:r>
    </w:p>
    <w:p>
      <w:pPr>
        <w:spacing w:before="120" w:after="120" w:line="360" w:lineRule="auto"/>
        <w:jc w:val="both"/>
      </w:pPr>
      <w:r>
        <w:rPr>
          <w:rFonts w:ascii="Times New Roman" w:hAnsi="Times New Roman"/>
          <w:b w:val="0"/>
          <w:i w:val="0"/>
          <w:sz w:val="24"/>
        </w:rPr>
        <w:t>Beaconhouse embraced technology-driven education during the 2010s, launching e-learning platforms, smart classrooms, and interactive digital curricula. The Beaconhouse Newlands campus model was introduced, offering a premium, purpose-built learning environment with world-class facilities. The decade also saw the formalization of the Beaconhouse Group structure, bringing together all educational brands under a unified corporate umbrella. Investment in teacher training intensified through the establishment of dedicated professional development centres.</w:t>
      </w:r>
    </w:p>
    <w:p>
      <w:pPr>
        <w:spacing w:before="120" w:after="40" w:line="360" w:lineRule="auto"/>
        <w:jc w:val="both"/>
      </w:pPr>
      <w:r>
        <w:rPr>
          <w:rFonts w:ascii="Times New Roman" w:hAnsi="Times New Roman"/>
          <w:b/>
          <w:i w:val="0"/>
          <w:sz w:val="24"/>
        </w:rPr>
        <w:t>Present Day:</w:t>
      </w:r>
    </w:p>
    <w:p>
      <w:pPr>
        <w:spacing w:before="120" w:after="120" w:line="360" w:lineRule="auto"/>
        <w:jc w:val="both"/>
      </w:pPr>
      <w:r>
        <w:rPr>
          <w:rFonts w:ascii="Times New Roman" w:hAnsi="Times New Roman"/>
          <w:b w:val="0"/>
          <w:i w:val="0"/>
          <w:sz w:val="24"/>
        </w:rPr>
        <w:t>Today, Beaconhouse School System stands as the flagship institution of the Beaconhouse Group. Under the leadership of CEO Kasim Mahmud Kasuri, the network continues to innovate and expand its reach, serving over 315,000 students across its network in Pakistan and multiple countries internationally. The organization remains deeply committed to its founding values of academic excellence, integrity, and holistic development, while continuously adapting to the evolving demands of 21st-century education.</w:t>
      </w:r>
    </w:p>
    <w:p>
      <w:pPr>
        <w:spacing w:before="280" w:after="120" w:line="360" w:lineRule="auto"/>
        <w:jc w:val="left"/>
      </w:pPr>
      <w:r>
        <w:rPr>
          <w:rFonts w:ascii="Times New Roman" w:hAnsi="Times New Roman"/>
          <w:b/>
          <w:color w:val="1F3864"/>
          <w:sz w:val="24"/>
        </w:rPr>
        <w:t>Mission, Vision &amp; Objectives</w:t>
      </w:r>
    </w:p>
    <w:p>
      <w:pPr>
        <w:spacing w:before="120" w:after="40" w:line="360" w:lineRule="auto"/>
        <w:jc w:val="both"/>
      </w:pPr>
      <w:r>
        <w:rPr>
          <w:rFonts w:ascii="Times New Roman" w:hAnsi="Times New Roman"/>
          <w:b/>
          <w:i w:val="0"/>
          <w:sz w:val="24"/>
        </w:rPr>
        <w:t>Mission Statement:</w:t>
      </w:r>
    </w:p>
    <w:p>
      <w:pPr>
        <w:spacing w:before="120" w:after="120" w:line="360" w:lineRule="auto"/>
        <w:jc w:val="both"/>
      </w:pPr>
      <w:r>
        <w:rPr>
          <w:rFonts w:ascii="Times New Roman" w:hAnsi="Times New Roman"/>
          <w:b w:val="0"/>
          <w:i w:val="0"/>
          <w:sz w:val="24"/>
        </w:rPr>
        <w:t>To provide a stimulating and challenging learning environment that prepares students for a rapidly changing world by equipping them with knowledge, skills, and values to become confident, responsible, and creative global citizens.</w:t>
      </w:r>
    </w:p>
    <w:p>
      <w:pPr>
        <w:spacing w:before="120" w:after="40" w:line="360" w:lineRule="auto"/>
        <w:jc w:val="both"/>
      </w:pPr>
      <w:r>
        <w:rPr>
          <w:rFonts w:ascii="Times New Roman" w:hAnsi="Times New Roman"/>
          <w:b/>
          <w:i w:val="0"/>
          <w:sz w:val="24"/>
        </w:rPr>
        <w:t>Vision Statement:</w:t>
      </w:r>
    </w:p>
    <w:p>
      <w:pPr>
        <w:spacing w:before="120" w:after="120" w:line="360" w:lineRule="auto"/>
        <w:jc w:val="both"/>
      </w:pPr>
      <w:r>
        <w:rPr>
          <w:rFonts w:ascii="Times New Roman" w:hAnsi="Times New Roman"/>
          <w:b w:val="0"/>
          <w:i w:val="0"/>
          <w:sz w:val="24"/>
        </w:rPr>
        <w:t>To be a world-class educational institution that leads the way in innovative teaching, inclusivity, and academic excellence — fostering lifelong learners who contribute meaningfully to society.</w:t>
      </w:r>
    </w:p>
    <w:p>
      <w:pPr>
        <w:spacing w:before="120" w:after="40" w:line="360" w:lineRule="auto"/>
        <w:jc w:val="both"/>
      </w:pPr>
      <w:r>
        <w:rPr>
          <w:rFonts w:ascii="Times New Roman" w:hAnsi="Times New Roman"/>
          <w:b/>
          <w:i w:val="0"/>
          <w:sz w:val="24"/>
        </w:rPr>
        <w:t>Core Values:</w:t>
      </w:r>
    </w:p>
    <w:p>
      <w:pPr>
        <w:pStyle w:val="ListBullet"/>
        <w:spacing w:before="60" w:after="60" w:line="360" w:lineRule="auto"/>
      </w:pPr>
      <w:r>
        <w:rPr>
          <w:rFonts w:ascii="Times New Roman" w:hAnsi="Times New Roman"/>
          <w:sz w:val="24"/>
        </w:rPr>
        <w:t>Excellence: Pursuing the highest standards in all academic and administrative endeavours.</w:t>
      </w:r>
    </w:p>
    <w:p>
      <w:pPr>
        <w:pStyle w:val="ListBullet"/>
        <w:spacing w:before="60" w:after="60" w:line="360" w:lineRule="auto"/>
      </w:pPr>
      <w:r>
        <w:rPr>
          <w:rFonts w:ascii="Times New Roman" w:hAnsi="Times New Roman"/>
          <w:sz w:val="24"/>
        </w:rPr>
        <w:t>Integrity: Upholding honesty, transparency, and ethical conduct in all interactions.</w:t>
      </w:r>
    </w:p>
    <w:p>
      <w:pPr>
        <w:pStyle w:val="ListBullet"/>
        <w:spacing w:before="60" w:after="60" w:line="360" w:lineRule="auto"/>
      </w:pPr>
      <w:r>
        <w:rPr>
          <w:rFonts w:ascii="Times New Roman" w:hAnsi="Times New Roman"/>
          <w:sz w:val="24"/>
        </w:rPr>
        <w:t>Respect: Fostering a culture of mutual respect among students, staff, and stakeholders.</w:t>
      </w:r>
    </w:p>
    <w:p>
      <w:pPr>
        <w:pStyle w:val="ListBullet"/>
        <w:spacing w:before="60" w:after="60" w:line="360" w:lineRule="auto"/>
      </w:pPr>
      <w:r>
        <w:rPr>
          <w:rFonts w:ascii="Times New Roman" w:hAnsi="Times New Roman"/>
          <w:sz w:val="24"/>
        </w:rPr>
        <w:t>Innovation: Embracing creative and technology-driven approaches to teaching and learning.</w:t>
      </w:r>
    </w:p>
    <w:p>
      <w:pPr>
        <w:pStyle w:val="ListBullet"/>
        <w:spacing w:before="60" w:after="60" w:line="360" w:lineRule="auto"/>
      </w:pPr>
      <w:r>
        <w:rPr>
          <w:rFonts w:ascii="Times New Roman" w:hAnsi="Times New Roman"/>
          <w:sz w:val="24"/>
        </w:rPr>
        <w:t>Inclusivity: Ensuring equal opportunities and a supportive environment for all learners.</w:t>
      </w:r>
    </w:p>
    <w:p>
      <w:pPr>
        <w:spacing w:before="120" w:after="40" w:line="360" w:lineRule="auto"/>
        <w:jc w:val="both"/>
      </w:pPr>
      <w:r>
        <w:rPr>
          <w:rFonts w:ascii="Times New Roman" w:hAnsi="Times New Roman"/>
          <w:b/>
          <w:i w:val="0"/>
          <w:sz w:val="24"/>
        </w:rPr>
        <w:t>Strategic Objectives:</w:t>
      </w:r>
    </w:p>
    <w:p>
      <w:pPr>
        <w:pStyle w:val="ListBullet"/>
        <w:spacing w:before="60" w:after="60" w:line="360" w:lineRule="auto"/>
      </w:pPr>
      <w:r>
        <w:rPr>
          <w:rFonts w:ascii="Times New Roman" w:hAnsi="Times New Roman"/>
          <w:sz w:val="24"/>
        </w:rPr>
        <w:t>To deliver high-quality education through a rigorous national and international curriculum.</w:t>
      </w:r>
    </w:p>
    <w:p>
      <w:pPr>
        <w:pStyle w:val="ListBullet"/>
        <w:spacing w:before="60" w:after="60" w:line="360" w:lineRule="auto"/>
      </w:pPr>
      <w:r>
        <w:rPr>
          <w:rFonts w:ascii="Times New Roman" w:hAnsi="Times New Roman"/>
          <w:sz w:val="24"/>
        </w:rPr>
        <w:t>To develop the intellectual, emotional, and social capabilities of every student.</w:t>
      </w:r>
    </w:p>
    <w:p>
      <w:pPr>
        <w:pStyle w:val="ListBullet"/>
        <w:spacing w:before="60" w:after="60" w:line="360" w:lineRule="auto"/>
      </w:pPr>
      <w:r>
        <w:rPr>
          <w:rFonts w:ascii="Times New Roman" w:hAnsi="Times New Roman"/>
          <w:sz w:val="24"/>
        </w:rPr>
        <w:t>To attract, retain, and develop highly qualified and motivated educators.</w:t>
      </w:r>
    </w:p>
    <w:p>
      <w:pPr>
        <w:pStyle w:val="ListBullet"/>
        <w:spacing w:before="60" w:after="60" w:line="360" w:lineRule="auto"/>
      </w:pPr>
      <w:r>
        <w:rPr>
          <w:rFonts w:ascii="Times New Roman" w:hAnsi="Times New Roman"/>
          <w:sz w:val="24"/>
        </w:rPr>
        <w:t>To foster a culture of continuous improvement and innovation across all campuses.</w:t>
      </w:r>
    </w:p>
    <w:p>
      <w:pPr>
        <w:pStyle w:val="ListBullet"/>
        <w:spacing w:before="60" w:after="60" w:line="360" w:lineRule="auto"/>
      </w:pPr>
      <w:r>
        <w:rPr>
          <w:rFonts w:ascii="Times New Roman" w:hAnsi="Times New Roman"/>
          <w:sz w:val="24"/>
        </w:rPr>
        <w:t>To maintain strong community and parental engagement for holistic student development.</w:t>
      </w:r>
    </w:p>
    <w:p>
      <w:pPr>
        <w:pStyle w:val="ListBullet"/>
        <w:spacing w:before="60" w:after="60" w:line="360" w:lineRule="auto"/>
      </w:pPr>
      <w:r>
        <w:rPr>
          <w:rFonts w:ascii="Times New Roman" w:hAnsi="Times New Roman"/>
          <w:sz w:val="24"/>
        </w:rPr>
        <w:t>To expand access to quality education across urban and semi-urban areas of Pakistan.</w:t>
      </w:r>
    </w:p>
    <w:p>
      <w:pPr>
        <w:pStyle w:val="ListBullet"/>
        <w:spacing w:before="60" w:after="60" w:line="360" w:lineRule="auto"/>
      </w:pPr>
      <w:r>
        <w:rPr>
          <w:rFonts w:ascii="Times New Roman" w:hAnsi="Times New Roman"/>
          <w:sz w:val="24"/>
        </w:rPr>
        <w:t>To leverage technology in enhancing the teaching, learning, and administrative experience.</w:t>
      </w:r>
    </w:p>
    <w:p>
      <w:pPr>
        <w:pStyle w:val="ListBullet"/>
        <w:spacing w:before="60" w:after="60" w:line="360" w:lineRule="auto"/>
      </w:pPr>
      <w:r>
        <w:rPr>
          <w:rFonts w:ascii="Times New Roman" w:hAnsi="Times New Roman"/>
          <w:sz w:val="24"/>
        </w:rPr>
        <w:t>To maintain financial sustainability through prudent resource management and revenue diversification.</w:t>
      </w:r>
    </w:p>
    <w:p>
      <w:pPr>
        <w:spacing w:before="280" w:after="120" w:line="360" w:lineRule="auto"/>
        <w:jc w:val="left"/>
      </w:pPr>
      <w:r>
        <w:rPr>
          <w:rFonts w:ascii="Times New Roman" w:hAnsi="Times New Roman"/>
          <w:b/>
          <w:color w:val="1F3864"/>
          <w:sz w:val="24"/>
        </w:rPr>
        <w:t>Products / Services Range</w:t>
      </w:r>
    </w:p>
    <w:p>
      <w:pPr>
        <w:spacing w:before="120" w:after="120" w:line="360" w:lineRule="auto"/>
        <w:jc w:val="both"/>
      </w:pPr>
      <w:r>
        <w:rPr>
          <w:rFonts w:ascii="Times New Roman" w:hAnsi="Times New Roman"/>
          <w:b w:val="0"/>
          <w:i w:val="0"/>
          <w:sz w:val="24"/>
        </w:rPr>
        <w:t>Beaconhouse School System offers a comprehensive range of educational services catering to students from early childhood through higher secondary levels. Its key service offerings include:</w:t>
      </w:r>
    </w:p>
    <w:p>
      <w:pPr>
        <w:pStyle w:val="ListBullet"/>
        <w:spacing w:before="60" w:after="60" w:line="360" w:lineRule="auto"/>
      </w:pPr>
      <w:r>
        <w:rPr>
          <w:rFonts w:ascii="Times New Roman" w:hAnsi="Times New Roman"/>
          <w:b/>
          <w:sz w:val="24"/>
        </w:rPr>
        <w:t xml:space="preserve">Early Childhood Education (ECE): </w:t>
      </w:r>
      <w:r>
        <w:rPr>
          <w:rFonts w:ascii="Times New Roman" w:hAnsi="Times New Roman"/>
          <w:sz w:val="24"/>
        </w:rPr>
        <w:t>Nursery, Kindergarten, and Pre-Primary programmes designed to build foundational cognitive, linguistic, and social skills in children aged 3–5 years. The ECE programme employs a play-based learning methodology consistent with international early childhood development standards.</w:t>
      </w:r>
    </w:p>
    <w:p>
      <w:pPr>
        <w:pStyle w:val="ListBullet"/>
        <w:spacing w:before="60" w:after="60" w:line="360" w:lineRule="auto"/>
      </w:pPr>
      <w:r>
        <w:rPr>
          <w:rFonts w:ascii="Times New Roman" w:hAnsi="Times New Roman"/>
          <w:b/>
          <w:sz w:val="24"/>
        </w:rPr>
        <w:t xml:space="preserve">Primary Education (Grades 1–5): </w:t>
      </w:r>
      <w:r>
        <w:rPr>
          <w:rFonts w:ascii="Times New Roman" w:hAnsi="Times New Roman"/>
          <w:sz w:val="24"/>
        </w:rPr>
        <w:t>A structured curriculum focusing on literacy, numeracy, science, and social studies, with an emphasis on character development and building strong academic foundations.</w:t>
      </w:r>
    </w:p>
    <w:p>
      <w:pPr>
        <w:pStyle w:val="ListBullet"/>
        <w:spacing w:before="60" w:after="60" w:line="360" w:lineRule="auto"/>
      </w:pPr>
      <w:r>
        <w:rPr>
          <w:rFonts w:ascii="Times New Roman" w:hAnsi="Times New Roman"/>
          <w:b/>
          <w:sz w:val="24"/>
        </w:rPr>
        <w:t xml:space="preserve">Middle School Education (Grades 6–8): </w:t>
      </w:r>
      <w:r>
        <w:rPr>
          <w:rFonts w:ascii="Times New Roman" w:hAnsi="Times New Roman"/>
          <w:sz w:val="24"/>
        </w:rPr>
        <w:t>Bridging primary and secondary education with a focus on critical thinking, analytical skills, and academic discipline, preparing students for the transition to Cambridge O-Level studies.</w:t>
      </w:r>
    </w:p>
    <w:p>
      <w:pPr>
        <w:pStyle w:val="ListBullet"/>
        <w:spacing w:before="60" w:after="60" w:line="360" w:lineRule="auto"/>
      </w:pPr>
      <w:r>
        <w:rPr>
          <w:rFonts w:ascii="Times New Roman" w:hAnsi="Times New Roman"/>
          <w:b/>
          <w:sz w:val="24"/>
        </w:rPr>
        <w:t xml:space="preserve">Secondary Education – Cambridge O-Levels (Grades 9–10): </w:t>
      </w:r>
      <w:r>
        <w:rPr>
          <w:rFonts w:ascii="Times New Roman" w:hAnsi="Times New Roman"/>
          <w:sz w:val="24"/>
        </w:rPr>
        <w:t>Internationally recognized qualifications from Cambridge Assessment International Education (CAIE), enabling students to pursue higher secondary education in Pakistan and internationally.</w:t>
      </w:r>
    </w:p>
    <w:p>
      <w:pPr>
        <w:pStyle w:val="ListBullet"/>
        <w:spacing w:before="60" w:after="60" w:line="360" w:lineRule="auto"/>
      </w:pPr>
      <w:r>
        <w:rPr>
          <w:rFonts w:ascii="Times New Roman" w:hAnsi="Times New Roman"/>
          <w:b/>
          <w:sz w:val="24"/>
        </w:rPr>
        <w:t xml:space="preserve">Higher Secondary – Cambridge A-Levels (Grades 11–12): </w:t>
      </w:r>
      <w:r>
        <w:rPr>
          <w:rFonts w:ascii="Times New Roman" w:hAnsi="Times New Roman"/>
          <w:sz w:val="24"/>
        </w:rPr>
        <w:t>Advanced-level qualifications preparing students for university admissions worldwide, with subject combinations across sciences, commerce, and humanities.</w:t>
      </w:r>
    </w:p>
    <w:p>
      <w:pPr>
        <w:pStyle w:val="ListBullet"/>
        <w:spacing w:before="60" w:after="60" w:line="360" w:lineRule="auto"/>
      </w:pPr>
      <w:r>
        <w:rPr>
          <w:rFonts w:ascii="Times New Roman" w:hAnsi="Times New Roman"/>
          <w:b/>
          <w:sz w:val="24"/>
        </w:rPr>
        <w:t xml:space="preserve">Matriculation and FSc (National Curriculum): </w:t>
      </w:r>
      <w:r>
        <w:rPr>
          <w:rFonts w:ascii="Times New Roman" w:hAnsi="Times New Roman"/>
          <w:sz w:val="24"/>
        </w:rPr>
        <w:t>Available at select campuses for students following the Punjab Board curriculum, ensuring accessibility for families preferring the national examination pathway.</w:t>
      </w:r>
    </w:p>
    <w:p>
      <w:pPr>
        <w:pStyle w:val="ListBullet"/>
        <w:spacing w:before="60" w:after="60" w:line="360" w:lineRule="auto"/>
      </w:pPr>
      <w:r>
        <w:rPr>
          <w:rFonts w:ascii="Times New Roman" w:hAnsi="Times New Roman"/>
          <w:b/>
          <w:sz w:val="24"/>
        </w:rPr>
        <w:t xml:space="preserve">Co-curricular Activities: </w:t>
      </w:r>
      <w:r>
        <w:rPr>
          <w:rFonts w:ascii="Times New Roman" w:hAnsi="Times New Roman"/>
          <w:sz w:val="24"/>
        </w:rPr>
        <w:t>Sports, arts, drama, debate, Model United Nations (MUN), community service, and science olympiads, providing holistic development beyond the classroom.</w:t>
      </w:r>
    </w:p>
    <w:p>
      <w:pPr>
        <w:pStyle w:val="ListBullet"/>
        <w:spacing w:before="60" w:after="60" w:line="360" w:lineRule="auto"/>
      </w:pPr>
      <w:r>
        <w:rPr>
          <w:rFonts w:ascii="Times New Roman" w:hAnsi="Times New Roman"/>
          <w:b/>
          <w:sz w:val="24"/>
        </w:rPr>
        <w:t xml:space="preserve">Teacher Training and Development: </w:t>
      </w:r>
      <w:r>
        <w:rPr>
          <w:rFonts w:ascii="Times New Roman" w:hAnsi="Times New Roman"/>
          <w:sz w:val="24"/>
        </w:rPr>
        <w:t>Continuous professional development programmes for educators, delivered through dedicated training centres and partnerships with international educational bodies.</w:t>
      </w:r>
    </w:p>
    <w:p>
      <w:pPr>
        <w:pStyle w:val="ListBullet"/>
        <w:spacing w:before="60" w:after="60" w:line="360" w:lineRule="auto"/>
      </w:pPr>
      <w:r>
        <w:rPr>
          <w:rFonts w:ascii="Times New Roman" w:hAnsi="Times New Roman"/>
          <w:b/>
          <w:sz w:val="24"/>
        </w:rPr>
        <w:t xml:space="preserve">Online / Blended Learning: </w:t>
      </w:r>
      <w:r>
        <w:rPr>
          <w:rFonts w:ascii="Times New Roman" w:hAnsi="Times New Roman"/>
          <w:sz w:val="24"/>
        </w:rPr>
        <w:t>Post-COVID, Beaconhouse launched and expanded its digital learning platforms, offering blended learning models that complement in-person instruction and extend access to students in remote locations.</w:t>
      </w:r>
    </w:p>
    <w:p>
      <w:pPr>
        <w:spacing w:before="280" w:after="120" w:line="360" w:lineRule="auto"/>
        <w:jc w:val="left"/>
      </w:pPr>
      <w:r>
        <w:rPr>
          <w:rFonts w:ascii="Times New Roman" w:hAnsi="Times New Roman"/>
          <w:b/>
          <w:color w:val="1F3864"/>
          <w:sz w:val="24"/>
        </w:rPr>
        <w:t>Comparison with Competitors</w:t>
      </w:r>
    </w:p>
    <w:p>
      <w:pPr>
        <w:spacing w:before="120" w:after="120" w:line="360" w:lineRule="auto"/>
        <w:jc w:val="both"/>
      </w:pPr>
      <w:r>
        <w:rPr>
          <w:rFonts w:ascii="Times New Roman" w:hAnsi="Times New Roman"/>
          <w:b w:val="0"/>
          <w:i w:val="0"/>
          <w:sz w:val="24"/>
        </w:rPr>
        <w:t>Beaconhouse School System operates in a highly competitive private education market in Pakistan. Its key competitors include:</w:t>
      </w:r>
    </w:p>
    <w:p>
      <w:pPr>
        <w:pStyle w:val="ListBullet"/>
        <w:spacing w:before="60" w:after="60" w:line="360" w:lineRule="auto"/>
      </w:pPr>
      <w:r>
        <w:rPr>
          <w:rFonts w:ascii="Times New Roman" w:hAnsi="Times New Roman"/>
          <w:b/>
          <w:sz w:val="24"/>
        </w:rPr>
        <w:t xml:space="preserve">1. Lahore Grammar School (LGS): </w:t>
      </w:r>
      <w:r>
        <w:rPr>
          <w:rFonts w:ascii="Times New Roman" w:hAnsi="Times New Roman"/>
          <w:sz w:val="24"/>
        </w:rPr>
        <w:t>LGS is one of Beaconhouse's closest competitors in the premium private school segment. It also offers Cambridge O and A-Level programmes and is perceived to have a more elite and exclusive image, with its historical roots giving it a strong brand identity among Lahore's upper-class families. However, Beaconhouse's wider geographic reach across Pakistan gives it a distinct network advantage. LGS's pricing is generally comparable to or slightly higher than Beaconhouse, targeting a similar demographic.</w:t>
      </w:r>
    </w:p>
    <w:p>
      <w:pPr>
        <w:pStyle w:val="ListBullet"/>
        <w:spacing w:before="60" w:after="60" w:line="360" w:lineRule="auto"/>
      </w:pPr>
      <w:r>
        <w:rPr>
          <w:rFonts w:ascii="Times New Roman" w:hAnsi="Times New Roman"/>
          <w:b/>
          <w:sz w:val="24"/>
        </w:rPr>
        <w:t xml:space="preserve">2. The City School: </w:t>
      </w:r>
      <w:r>
        <w:rPr>
          <w:rFonts w:ascii="Times New Roman" w:hAnsi="Times New Roman"/>
          <w:sz w:val="24"/>
        </w:rPr>
        <w:t>The City School is another major competitor offering the Cambridge curriculum across Pakistan. It targets a similar middle-to-upper-middle-class demographic and has a comparable network size. The City School competes directly with Beaconhouse in multiple cities and is often positioned slightly below Beaconhouse in terms of pricing, giving it a competitive edge in price-sensitive markets.</w:t>
      </w:r>
    </w:p>
    <w:p>
      <w:pPr>
        <w:pStyle w:val="ListBullet"/>
        <w:spacing w:before="60" w:after="60" w:line="360" w:lineRule="auto"/>
      </w:pPr>
      <w:r>
        <w:rPr>
          <w:rFonts w:ascii="Times New Roman" w:hAnsi="Times New Roman"/>
          <w:b/>
          <w:sz w:val="24"/>
        </w:rPr>
        <w:t xml:space="preserve">3. Roots International Schools: </w:t>
      </w:r>
      <w:r>
        <w:rPr>
          <w:rFonts w:ascii="Times New Roman" w:hAnsi="Times New Roman"/>
          <w:sz w:val="24"/>
        </w:rPr>
        <w:t>Roots International is a major competitor primarily in Islamabad and Rawalpindi, known for its progressive and innovative approach to education. Roots caters to a premium clientele and offers both national and international curricula. Beaconhouse, however, has a broader national footprint and stronger brand recognition in cities beyond the capital.</w:t>
      </w:r>
    </w:p>
    <w:p>
      <w:pPr>
        <w:pStyle w:val="ListBullet"/>
        <w:spacing w:before="60" w:after="60" w:line="360" w:lineRule="auto"/>
      </w:pPr>
      <w:r>
        <w:rPr>
          <w:rFonts w:ascii="Times New Roman" w:hAnsi="Times New Roman"/>
          <w:b/>
          <w:sz w:val="24"/>
        </w:rPr>
        <w:t xml:space="preserve">4. The Educators (TED) – Sister Institution: </w:t>
      </w:r>
      <w:r>
        <w:rPr>
          <w:rFonts w:ascii="Times New Roman" w:hAnsi="Times New Roman"/>
          <w:sz w:val="24"/>
        </w:rPr>
        <w:t>The Educators is a sister brand under the Beaconhouse Group, targeting the middle-income segment. While it does not directly compete with BSS's premium positioning, it extends the Group's reach to a wider demographic, reinforcing overall market dominance.</w:t>
      </w:r>
    </w:p>
    <w:p>
      <w:pPr>
        <w:pStyle w:val="ListBullet"/>
        <w:spacing w:before="60" w:after="60" w:line="360" w:lineRule="auto"/>
      </w:pPr>
      <w:r>
        <w:rPr>
          <w:rFonts w:ascii="Times New Roman" w:hAnsi="Times New Roman"/>
          <w:b/>
          <w:sz w:val="24"/>
        </w:rPr>
        <w:t xml:space="preserve">5. Nixor College: </w:t>
      </w:r>
      <w:r>
        <w:rPr>
          <w:rFonts w:ascii="Times New Roman" w:hAnsi="Times New Roman"/>
          <w:sz w:val="24"/>
        </w:rPr>
        <w:t>A premium college offering Cambridge A-Levels, competing directly with Beaconhouse's A-Level programme, particularly in Karachi. Nixor is highly regarded for its university placement rates and is considered a direct competitor for the post-O-Level student segment.</w:t>
      </w:r>
    </w:p>
    <w:p>
      <w:pPr>
        <w:spacing w:before="280" w:after="120" w:line="360" w:lineRule="auto"/>
        <w:jc w:val="left"/>
      </w:pPr>
      <w:r>
        <w:rPr>
          <w:rFonts w:ascii="Times New Roman" w:hAnsi="Times New Roman"/>
          <w:b/>
          <w:color w:val="1F3864"/>
          <w:sz w:val="24"/>
        </w:rPr>
        <w:t>Reflection on Development Pattern</w:t>
      </w:r>
    </w:p>
    <w:p>
      <w:pPr>
        <w:spacing w:before="120" w:after="120" w:line="360" w:lineRule="auto"/>
        <w:jc w:val="both"/>
      </w:pPr>
      <w:r>
        <w:rPr>
          <w:rFonts w:ascii="Times New Roman" w:hAnsi="Times New Roman"/>
          <w:b w:val="0"/>
          <w:i w:val="0"/>
          <w:sz w:val="24"/>
        </w:rPr>
        <w:t>Beaconhouse's journey from a small tutorial centre in 1975 to a global educational network spanning multiple countries is a remarkable story of strategic vision and sustained execution. Several key development patterns characterize this growth trajectory:</w:t>
      </w:r>
    </w:p>
    <w:p>
      <w:pPr>
        <w:pStyle w:val="ListBullet"/>
        <w:spacing w:before="60" w:after="60" w:line="360" w:lineRule="auto"/>
      </w:pPr>
      <w:r>
        <w:rPr>
          <w:rFonts w:ascii="Times New Roman" w:hAnsi="Times New Roman"/>
          <w:b/>
          <w:sz w:val="24"/>
        </w:rPr>
        <w:t xml:space="preserve">From Tutorial Centre to Global Network: </w:t>
      </w:r>
      <w:r>
        <w:rPr>
          <w:rFonts w:ascii="Times New Roman" w:hAnsi="Times New Roman"/>
          <w:sz w:val="24"/>
        </w:rPr>
        <w:t>The institution's founder, Mrs. Nasreen Kasuri, identified the need for structured, quality private education in Pakistan at a time when the public education system was struggling. By consistently prioritizing educational quality and institutional integrity, she built BSS into the powerhouse it is today.</w:t>
      </w:r>
    </w:p>
    <w:p>
      <w:pPr>
        <w:pStyle w:val="ListBullet"/>
        <w:spacing w:before="60" w:after="60" w:line="360" w:lineRule="auto"/>
      </w:pPr>
      <w:r>
        <w:rPr>
          <w:rFonts w:ascii="Times New Roman" w:hAnsi="Times New Roman"/>
          <w:b/>
          <w:sz w:val="24"/>
        </w:rPr>
        <w:t xml:space="preserve">Curriculum Innovation: </w:t>
      </w:r>
      <w:r>
        <w:rPr>
          <w:rFonts w:ascii="Times New Roman" w:hAnsi="Times New Roman"/>
          <w:sz w:val="24"/>
        </w:rPr>
        <w:t>The early adoption of the Cambridge International Curriculum positioned Beaconhouse as a premium and internationally competitive institution, creating strong and sustained demand among aspirational families who valued globally recognized qualifications.</w:t>
      </w:r>
    </w:p>
    <w:p>
      <w:pPr>
        <w:pStyle w:val="ListBullet"/>
        <w:spacing w:before="60" w:after="60" w:line="360" w:lineRule="auto"/>
      </w:pPr>
      <w:r>
        <w:rPr>
          <w:rFonts w:ascii="Times New Roman" w:hAnsi="Times New Roman"/>
          <w:b/>
          <w:sz w:val="24"/>
        </w:rPr>
        <w:t xml:space="preserve">Geographic Expansion Strategy: </w:t>
      </w:r>
      <w:r>
        <w:rPr>
          <w:rFonts w:ascii="Times New Roman" w:hAnsi="Times New Roman"/>
          <w:sz w:val="24"/>
        </w:rPr>
        <w:t>BSS expanded methodically — first consolidating its position in Lahore before expanding to other major cities and then internationally. This careful, phased expansion minimized risk while ensuring quality standards were maintained across campuses.</w:t>
      </w:r>
    </w:p>
    <w:p>
      <w:pPr>
        <w:pStyle w:val="ListBullet"/>
        <w:spacing w:before="60" w:after="60" w:line="360" w:lineRule="auto"/>
      </w:pPr>
      <w:r>
        <w:rPr>
          <w:rFonts w:ascii="Times New Roman" w:hAnsi="Times New Roman"/>
          <w:b/>
          <w:sz w:val="24"/>
        </w:rPr>
        <w:t xml:space="preserve">Leadership Continuity: </w:t>
      </w:r>
      <w:r>
        <w:rPr>
          <w:rFonts w:ascii="Times New Roman" w:hAnsi="Times New Roman"/>
          <w:sz w:val="24"/>
        </w:rPr>
        <w:t>The transition of leadership from founder Mrs. Nasreen Kasuri to her son Kasim Mahmud Kasuri in 2005 demonstrated effective succession planning. Under his leadership, Beaconhouse has continued to grow while modernizing its operations and embracing technology.</w:t>
      </w:r>
    </w:p>
    <w:p>
      <w:pPr>
        <w:pStyle w:val="ListBullet"/>
        <w:spacing w:before="60" w:after="60" w:line="360" w:lineRule="auto"/>
      </w:pPr>
      <w:r>
        <w:rPr>
          <w:rFonts w:ascii="Times New Roman" w:hAnsi="Times New Roman"/>
          <w:b/>
          <w:sz w:val="24"/>
        </w:rPr>
        <w:t xml:space="preserve">Competitive Positioning: </w:t>
      </w:r>
      <w:r>
        <w:rPr>
          <w:rFonts w:ascii="Times New Roman" w:hAnsi="Times New Roman"/>
          <w:sz w:val="24"/>
        </w:rPr>
        <w:t>Beaconhouse has maintained its competitive advantage through consistent emphasis on teacher quality, curriculum innovation, and campus infrastructure. Its investment in teacher training and development ensures that educational quality remains the cornerstone of its brand.</w:t>
      </w:r>
    </w:p>
    <w:p>
      <w:r>
        <w:br w:type="page"/>
      </w:r>
    </w:p>
    <w:p>
      <w:pPr>
        <w:spacing w:before="280" w:after="120" w:line="360" w:lineRule="auto"/>
        <w:jc w:val="left"/>
      </w:pPr>
      <w:r>
        <w:rPr>
          <w:rFonts w:ascii="Times New Roman" w:hAnsi="Times New Roman"/>
          <w:b/>
          <w:color w:val="1F3864"/>
          <w:sz w:val="28"/>
        </w:rPr>
        <w:t>PART TWO</w:t>
      </w:r>
    </w:p>
    <w:p>
      <w:pPr>
        <w:spacing w:before="280" w:after="120" w:line="360" w:lineRule="auto"/>
        <w:jc w:val="left"/>
      </w:pPr>
      <w:r>
        <w:rPr>
          <w:rFonts w:ascii="Times New Roman" w:hAnsi="Times New Roman"/>
          <w:b/>
          <w:color w:val="1F3864"/>
          <w:sz w:val="26"/>
        </w:rPr>
        <w:t>COMPANY MANAGEMENT SYSTEM AT BEACONHOUSE SCHOOL SYSTEM</w:t>
      </w:r>
    </w:p>
    <w:p>
      <w:pPr>
        <w:spacing w:before="280" w:after="120" w:line="360" w:lineRule="auto"/>
        <w:jc w:val="left"/>
      </w:pPr>
      <w:r>
        <w:rPr>
          <w:rFonts w:ascii="Times New Roman" w:hAnsi="Times New Roman"/>
          <w:b/>
          <w:color w:val="1F3864"/>
          <w:sz w:val="24"/>
        </w:rPr>
        <w:t>Organizational Structure</w:t>
      </w:r>
    </w:p>
    <w:p>
      <w:pPr>
        <w:spacing w:before="120" w:after="120" w:line="360" w:lineRule="auto"/>
        <w:jc w:val="both"/>
      </w:pPr>
      <w:r>
        <w:rPr>
          <w:rFonts w:ascii="Times New Roman" w:hAnsi="Times New Roman"/>
          <w:b w:val="0"/>
          <w:i w:val="0"/>
          <w:sz w:val="24"/>
        </w:rPr>
        <w:t>Beaconhouse School System follows a hierarchical organizational structure that is both formalized and centralized at the top, while allowing for some degree of decentralization at the campus level. The structure is designed to ensure consistent quality standards across all campuses while enabling regional management teams to respond to local needs.</w:t>
      </w:r>
    </w:p>
    <w:p>
      <w:pPr>
        <w:spacing w:before="120" w:after="40" w:line="360" w:lineRule="auto"/>
        <w:jc w:val="both"/>
      </w:pPr>
      <w:r>
        <w:rPr>
          <w:rFonts w:ascii="Times New Roman" w:hAnsi="Times New Roman"/>
          <w:b/>
          <w:i w:val="0"/>
          <w:sz w:val="24"/>
        </w:rPr>
        <w:t>1. Corporate / Head Office Level (Top Management):</w:t>
      </w:r>
    </w:p>
    <w:p>
      <w:pPr>
        <w:spacing w:before="120" w:after="120" w:line="360" w:lineRule="auto"/>
        <w:jc w:val="both"/>
      </w:pPr>
      <w:r>
        <w:rPr>
          <w:rFonts w:ascii="Times New Roman" w:hAnsi="Times New Roman"/>
          <w:b w:val="0"/>
          <w:i w:val="0"/>
          <w:sz w:val="24"/>
        </w:rPr>
        <w:t>The apex of the organizational hierarchy is the Board of Directors, followed by the Group CEO. Directly below the CEO is the Chief Operating Officer (COO), who oversees the day-to-day operational management of the organization and acts as the key link between the CEO and functional department heads. The COO is supported by functional heads across departments including HR, Finance, Marketing, Operations, Academic Affairs, IT, and Business Development. The head office in Lahore serves as the strategic command centre for the entire network.</w:t>
      </w:r>
    </w:p>
    <w:p>
      <w:pPr>
        <w:spacing w:before="120" w:after="40" w:line="360" w:lineRule="auto"/>
        <w:jc w:val="both"/>
      </w:pPr>
      <w:r>
        <w:rPr>
          <w:rFonts w:ascii="Times New Roman" w:hAnsi="Times New Roman"/>
          <w:b/>
          <w:i w:val="0"/>
          <w:sz w:val="24"/>
        </w:rPr>
        <w:t>2. Regional / Zonal Level (Middle Management):</w:t>
      </w:r>
    </w:p>
    <w:p>
      <w:pPr>
        <w:spacing w:before="120" w:after="120" w:line="360" w:lineRule="auto"/>
        <w:jc w:val="both"/>
      </w:pPr>
      <w:r>
        <w:rPr>
          <w:rFonts w:ascii="Times New Roman" w:hAnsi="Times New Roman"/>
          <w:b w:val="0"/>
          <w:i w:val="0"/>
          <w:sz w:val="24"/>
        </w:rPr>
        <w:t>The country is divided into regional zones, each managed by a Regional Director or Zonal Head. This level of management oversees multiple campuses within a defined geographic area and acts as the link between the head office and individual campuses. Regional managers ensure that head office policies are implemented consistently at the campus level and provide escalation support for campus-level issues.</w:t>
      </w:r>
    </w:p>
    <w:p>
      <w:pPr>
        <w:spacing w:before="120" w:after="40" w:line="360" w:lineRule="auto"/>
        <w:jc w:val="both"/>
      </w:pPr>
      <w:r>
        <w:rPr>
          <w:rFonts w:ascii="Times New Roman" w:hAnsi="Times New Roman"/>
          <w:b/>
          <w:i w:val="0"/>
          <w:sz w:val="24"/>
        </w:rPr>
        <w:t>3. Campus Level (Frontline Management):</w:t>
      </w:r>
    </w:p>
    <w:p>
      <w:pPr>
        <w:spacing w:before="120" w:after="120" w:line="360" w:lineRule="auto"/>
        <w:jc w:val="both"/>
      </w:pPr>
      <w:r>
        <w:rPr>
          <w:rFonts w:ascii="Times New Roman" w:hAnsi="Times New Roman"/>
          <w:b w:val="0"/>
          <w:i w:val="0"/>
          <w:sz w:val="24"/>
        </w:rPr>
        <w:t>Each campus is managed by a Principal or Campus Head, who is responsible for the day-to-day operations of the campus. Below the Principal are Coordinators, Section Heads, Class Teachers, and Support Staff. Campus management is responsible for student welfare, academic delivery, parent relations, and administrative functions at the campus level.</w:t>
      </w:r>
    </w:p>
    <w:p>
      <w:pPr>
        <w:spacing w:before="120" w:after="40" w:line="360" w:lineRule="auto"/>
        <w:jc w:val="both"/>
      </w:pPr>
      <w:r>
        <w:rPr>
          <w:rFonts w:ascii="Times New Roman" w:hAnsi="Times New Roman"/>
          <w:b/>
          <w:i w:val="0"/>
          <w:sz w:val="24"/>
        </w:rPr>
        <w:t>Managerial Flow Chart of Orders:</w:t>
      </w:r>
    </w:p>
    <w:p>
      <w:pPr>
        <w:spacing w:before="120" w:after="120" w:line="360" w:lineRule="auto"/>
        <w:jc w:val="both"/>
      </w:pPr>
      <w:r>
        <w:rPr>
          <w:rFonts w:ascii="Times New Roman" w:hAnsi="Times New Roman"/>
          <w:b w:val="0"/>
          <w:i/>
          <w:sz w:val="24"/>
        </w:rPr>
        <w:t>Board of Directors → Group CEO → Chief Operating Officer (COO) → Functional Heads (HR, Finance, Marketing, Academic, Operations, IT) → Regional Directors → Campus Principals → Section Heads/Coordinators → Class Teachers → Support Staff</w:t>
      </w:r>
    </w:p>
    <w:p>
      <w:pPr>
        <w:spacing w:before="280" w:after="120" w:line="360" w:lineRule="auto"/>
        <w:jc w:val="left"/>
      </w:pPr>
      <w:r>
        <w:rPr>
          <w:rFonts w:ascii="Times New Roman" w:hAnsi="Times New Roman"/>
          <w:b/>
          <w:color w:val="1F3864"/>
          <w:sz w:val="24"/>
        </w:rPr>
        <w:t>Key Departments</w:t>
      </w:r>
    </w:p>
    <w:p>
      <w:pPr>
        <w:pStyle w:val="ListBullet"/>
        <w:spacing w:before="60" w:after="60" w:line="360" w:lineRule="auto"/>
      </w:pPr>
      <w:r>
        <w:rPr>
          <w:rFonts w:ascii="Times New Roman" w:hAnsi="Times New Roman"/>
          <w:b/>
          <w:sz w:val="24"/>
        </w:rPr>
        <w:t xml:space="preserve">Human Resources (HR) &amp; Operations: </w:t>
      </w:r>
      <w:r>
        <w:rPr>
          <w:rFonts w:ascii="Times New Roman" w:hAnsi="Times New Roman"/>
          <w:sz w:val="24"/>
        </w:rPr>
        <w:t>The HR department is responsible for the entire employee lifecycle at Beaconhouse. This includes talent acquisition (recruitment and selection), onboarding and induction, performance management, compensation and benefits administration, training and development, employee relations, and HR compliance with labour laws. The HR team also manages HR information systems (HRIS) and payroll processing.</w:t>
      </w:r>
    </w:p>
    <w:p>
      <w:pPr>
        <w:pStyle w:val="ListBullet"/>
        <w:spacing w:before="60" w:after="60" w:line="360" w:lineRule="auto"/>
      </w:pPr>
      <w:r>
        <w:rPr>
          <w:rFonts w:ascii="Times New Roman" w:hAnsi="Times New Roman"/>
          <w:b/>
          <w:sz w:val="24"/>
        </w:rPr>
        <w:t xml:space="preserve">Academic Affairs: </w:t>
      </w:r>
      <w:r>
        <w:rPr>
          <w:rFonts w:ascii="Times New Roman" w:hAnsi="Times New Roman"/>
          <w:sz w:val="24"/>
        </w:rPr>
        <w:t>The Academic Affairs department is responsible for curriculum development, academic standards, teacher training programmes, examination management, and coordination with examination boards such as Cambridge and the Federal and Provincial Boards. It ensures that academic quality is maintained and continuously improved across all campuses.</w:t>
      </w:r>
    </w:p>
    <w:p>
      <w:pPr>
        <w:pStyle w:val="ListBullet"/>
        <w:spacing w:before="60" w:after="60" w:line="360" w:lineRule="auto"/>
      </w:pPr>
      <w:r>
        <w:rPr>
          <w:rFonts w:ascii="Times New Roman" w:hAnsi="Times New Roman"/>
          <w:b/>
          <w:sz w:val="24"/>
        </w:rPr>
        <w:t xml:space="preserve">Marketing and Admissions: </w:t>
      </w:r>
      <w:r>
        <w:rPr>
          <w:rFonts w:ascii="Times New Roman" w:hAnsi="Times New Roman"/>
          <w:sz w:val="24"/>
        </w:rPr>
        <w:t>The Marketing department manages the school's brand positioning, advertising campaigns, digital presence, and parent/community outreach. It also oversees the admissions process, including open house events, school tours, and enquiry management.</w:t>
      </w:r>
    </w:p>
    <w:p>
      <w:pPr>
        <w:pStyle w:val="ListBullet"/>
        <w:spacing w:before="60" w:after="60" w:line="360" w:lineRule="auto"/>
      </w:pPr>
      <w:r>
        <w:rPr>
          <w:rFonts w:ascii="Times New Roman" w:hAnsi="Times New Roman"/>
          <w:b/>
          <w:sz w:val="24"/>
        </w:rPr>
        <w:t xml:space="preserve">Finance: </w:t>
      </w:r>
      <w:r>
        <w:rPr>
          <w:rFonts w:ascii="Times New Roman" w:hAnsi="Times New Roman"/>
          <w:sz w:val="24"/>
        </w:rPr>
        <w:t>The Finance department handles all financial operations of the network, including budgeting, financial reporting, fee collection, accounts payable and receivable, payroll processing (in coordination with HR), and tax compliance.</w:t>
      </w:r>
    </w:p>
    <w:p>
      <w:pPr>
        <w:pStyle w:val="ListBullet"/>
        <w:spacing w:before="60" w:after="60" w:line="360" w:lineRule="auto"/>
      </w:pPr>
      <w:r>
        <w:rPr>
          <w:rFonts w:ascii="Times New Roman" w:hAnsi="Times New Roman"/>
          <w:b/>
          <w:sz w:val="24"/>
        </w:rPr>
        <w:t xml:space="preserve">Information Technology (IT): </w:t>
      </w:r>
      <w:r>
        <w:rPr>
          <w:rFonts w:ascii="Times New Roman" w:hAnsi="Times New Roman"/>
          <w:sz w:val="24"/>
        </w:rPr>
        <w:t>The IT department supports the technological infrastructure of all campuses — managing student information systems, network infrastructure, digital learning platforms, security systems, and technical support.</w:t>
      </w:r>
    </w:p>
    <w:p>
      <w:pPr>
        <w:pStyle w:val="ListBullet"/>
        <w:spacing w:before="60" w:after="60" w:line="360" w:lineRule="auto"/>
      </w:pPr>
      <w:r>
        <w:rPr>
          <w:rFonts w:ascii="Times New Roman" w:hAnsi="Times New Roman"/>
          <w:b/>
          <w:sz w:val="24"/>
        </w:rPr>
        <w:t xml:space="preserve">Supply Chain and Procurement: </w:t>
      </w:r>
      <w:r>
        <w:rPr>
          <w:rFonts w:ascii="Times New Roman" w:hAnsi="Times New Roman"/>
          <w:sz w:val="24"/>
        </w:rPr>
        <w:t>This department manages the procurement of educational materials, stationery, uniforms, equipment, and facility maintenance services across all campuses.</w:t>
      </w:r>
    </w:p>
    <w:p>
      <w:pPr>
        <w:spacing w:before="280" w:after="120" w:line="360" w:lineRule="auto"/>
        <w:jc w:val="left"/>
      </w:pPr>
      <w:r>
        <w:rPr>
          <w:rFonts w:ascii="Times New Roman" w:hAnsi="Times New Roman"/>
          <w:b/>
          <w:color w:val="1F3864"/>
          <w:sz w:val="24"/>
        </w:rPr>
        <w:t>Management Hierarchy / Managerial Levels</w:t>
      </w:r>
    </w:p>
    <w:p>
      <w:pPr>
        <w:pStyle w:val="ListBullet"/>
        <w:spacing w:before="60" w:after="60" w:line="360" w:lineRule="auto"/>
      </w:pPr>
      <w:r>
        <w:rPr>
          <w:rFonts w:ascii="Times New Roman" w:hAnsi="Times New Roman"/>
          <w:sz w:val="24"/>
        </w:rPr>
        <w:t>Board of Directors</w:t>
      </w:r>
    </w:p>
    <w:p>
      <w:pPr>
        <w:pStyle w:val="ListBullet"/>
        <w:spacing w:before="60" w:after="60" w:line="360" w:lineRule="auto"/>
      </w:pPr>
      <w:r>
        <w:rPr>
          <w:rFonts w:ascii="Times New Roman" w:hAnsi="Times New Roman"/>
          <w:sz w:val="24"/>
        </w:rPr>
        <w:t>Group CEO / Managing Director</w:t>
      </w:r>
    </w:p>
    <w:p>
      <w:pPr>
        <w:pStyle w:val="ListBullet"/>
        <w:spacing w:before="60" w:after="60" w:line="360" w:lineRule="auto"/>
      </w:pPr>
      <w:r>
        <w:rPr>
          <w:rFonts w:ascii="Times New Roman" w:hAnsi="Times New Roman"/>
          <w:sz w:val="24"/>
        </w:rPr>
        <w:t>Chief Operating Officer (COO)</w:t>
      </w:r>
    </w:p>
    <w:p>
      <w:pPr>
        <w:pStyle w:val="ListBullet"/>
        <w:spacing w:before="60" w:after="60" w:line="360" w:lineRule="auto"/>
      </w:pPr>
      <w:r>
        <w:rPr>
          <w:rFonts w:ascii="Times New Roman" w:hAnsi="Times New Roman"/>
          <w:sz w:val="24"/>
        </w:rPr>
        <w:t>Functional Directors (HR Director, Finance Director, Academic Director, Marketing Director)</w:t>
      </w:r>
    </w:p>
    <w:p>
      <w:pPr>
        <w:pStyle w:val="ListBullet"/>
        <w:spacing w:before="60" w:after="60" w:line="360" w:lineRule="auto"/>
      </w:pPr>
      <w:r>
        <w:rPr>
          <w:rFonts w:ascii="Times New Roman" w:hAnsi="Times New Roman"/>
          <w:sz w:val="24"/>
        </w:rPr>
        <w:t>Senior Managers / Departmental Heads</w:t>
      </w:r>
    </w:p>
    <w:p>
      <w:pPr>
        <w:pStyle w:val="ListBullet"/>
        <w:spacing w:before="60" w:after="60" w:line="360" w:lineRule="auto"/>
      </w:pPr>
      <w:r>
        <w:rPr>
          <w:rFonts w:ascii="Times New Roman" w:hAnsi="Times New Roman"/>
          <w:sz w:val="24"/>
        </w:rPr>
        <w:t>Regional Directors / Zonal Heads</w:t>
      </w:r>
    </w:p>
    <w:p>
      <w:pPr>
        <w:pStyle w:val="ListBullet"/>
        <w:spacing w:before="60" w:after="60" w:line="360" w:lineRule="auto"/>
      </w:pPr>
      <w:r>
        <w:rPr>
          <w:rFonts w:ascii="Times New Roman" w:hAnsi="Times New Roman"/>
          <w:sz w:val="24"/>
        </w:rPr>
        <w:t>Managers / Assistant Managers</w:t>
      </w:r>
    </w:p>
    <w:p>
      <w:pPr>
        <w:pStyle w:val="ListBullet"/>
        <w:spacing w:before="60" w:after="60" w:line="360" w:lineRule="auto"/>
      </w:pPr>
      <w:r>
        <w:rPr>
          <w:rFonts w:ascii="Times New Roman" w:hAnsi="Times New Roman"/>
          <w:sz w:val="24"/>
        </w:rPr>
        <w:t>Campus Principals</w:t>
      </w:r>
    </w:p>
    <w:p>
      <w:pPr>
        <w:pStyle w:val="ListBullet"/>
        <w:spacing w:before="60" w:after="60" w:line="360" w:lineRule="auto"/>
      </w:pPr>
      <w:r>
        <w:rPr>
          <w:rFonts w:ascii="Times New Roman" w:hAnsi="Times New Roman"/>
          <w:sz w:val="24"/>
        </w:rPr>
        <w:t>Deputy Principals / Section Coordinators</w:t>
      </w:r>
    </w:p>
    <w:p>
      <w:pPr>
        <w:pStyle w:val="ListBullet"/>
        <w:spacing w:before="60" w:after="60" w:line="360" w:lineRule="auto"/>
      </w:pPr>
      <w:r>
        <w:rPr>
          <w:rFonts w:ascii="Times New Roman" w:hAnsi="Times New Roman"/>
          <w:sz w:val="24"/>
        </w:rPr>
        <w:t>Class Teachers / Subject Teachers</w:t>
      </w:r>
    </w:p>
    <w:p>
      <w:pPr>
        <w:pStyle w:val="ListBullet"/>
        <w:spacing w:before="60" w:after="60" w:line="360" w:lineRule="auto"/>
      </w:pPr>
      <w:r>
        <w:rPr>
          <w:rFonts w:ascii="Times New Roman" w:hAnsi="Times New Roman"/>
          <w:sz w:val="24"/>
        </w:rPr>
        <w:t>Support Staff (Administrative Assistants, Lab Technicians, Security, Housekeeping)</w:t>
      </w:r>
    </w:p>
    <w:p>
      <w:pPr>
        <w:spacing w:before="120" w:after="120" w:line="360" w:lineRule="auto"/>
        <w:jc w:val="both"/>
      </w:pPr>
      <w:r>
        <w:rPr>
          <w:rFonts w:ascii="Times New Roman" w:hAnsi="Times New Roman"/>
          <w:b w:val="0"/>
          <w:i w:val="0"/>
          <w:sz w:val="24"/>
        </w:rPr>
        <w:t>The span of control varies across levels. At the head office, each functional head manages a team of 5–15 professionals. At the campus level, a Principal may oversee 30–100+ staff members depending on the campus size. The COO plays a pivotal coordinating role, ensuring that operational directives from the CEO are effectively translated into action plans by functional and regional heads.</w:t>
      </w:r>
    </w:p>
    <w:p>
      <w:pPr>
        <w:spacing w:before="280" w:after="120" w:line="360" w:lineRule="auto"/>
        <w:jc w:val="left"/>
      </w:pPr>
      <w:r>
        <w:rPr>
          <w:rFonts w:ascii="Times New Roman" w:hAnsi="Times New Roman"/>
          <w:b/>
          <w:color w:val="1F3864"/>
          <w:sz w:val="24"/>
        </w:rPr>
        <w:t>Compensation, Benefits &amp; Remuneration at Beaconhouse School System</w:t>
      </w:r>
    </w:p>
    <w:p>
      <w:pPr>
        <w:spacing w:before="120" w:after="120" w:line="360" w:lineRule="auto"/>
        <w:jc w:val="both"/>
      </w:pPr>
      <w:r>
        <w:rPr>
          <w:rFonts w:ascii="Times New Roman" w:hAnsi="Times New Roman"/>
          <w:b w:val="0"/>
          <w:i w:val="0"/>
          <w:sz w:val="24"/>
        </w:rPr>
        <w:t>One of the most critical functions of the HR department at Beaconhouse School System is the design, administration, and continuous improvement of its compensation and benefits framework. A well-structured compensation system is essential for attracting and retaining high-calibre faculty and administrative staff in a competitive labour market. During my internship, I had the opportunity to observe and gain insight into Beaconhouse's approach to compensation and benefits management.</w:t>
      </w:r>
    </w:p>
    <w:p>
      <w:pPr>
        <w:spacing w:before="120" w:after="40" w:line="360" w:lineRule="auto"/>
        <w:jc w:val="both"/>
      </w:pPr>
      <w:r>
        <w:rPr>
          <w:rFonts w:ascii="Times New Roman" w:hAnsi="Times New Roman"/>
          <w:b/>
          <w:i w:val="0"/>
          <w:sz w:val="24"/>
        </w:rPr>
        <w:t>A. Compensation Structure</w:t>
      </w:r>
    </w:p>
    <w:p>
      <w:pPr>
        <w:spacing w:before="120" w:after="120" w:line="360" w:lineRule="auto"/>
        <w:jc w:val="both"/>
      </w:pPr>
      <w:r>
        <w:rPr>
          <w:rFonts w:ascii="Times New Roman" w:hAnsi="Times New Roman"/>
          <w:b w:val="0"/>
          <w:i w:val="0"/>
          <w:sz w:val="24"/>
        </w:rPr>
        <w:t>Beaconhouse follows a Grade-Based Pay Scale system that categorizes employees into clearly defined pay bands according to their role, seniority, qualifications, and experience. This structure ensures internal equity and provides a transparent framework for salary administration. The compensation structure is broadly divided into the following components:</w:t>
      </w:r>
    </w:p>
    <w:p>
      <w:pPr>
        <w:pStyle w:val="ListBullet"/>
        <w:spacing w:before="60" w:after="60" w:line="360" w:lineRule="auto"/>
      </w:pPr>
      <w:r>
        <w:rPr>
          <w:rFonts w:ascii="Times New Roman" w:hAnsi="Times New Roman"/>
          <w:b/>
          <w:sz w:val="24"/>
        </w:rPr>
        <w:t xml:space="preserve">Basic Salary: </w:t>
      </w:r>
      <w:r>
        <w:rPr>
          <w:rFonts w:ascii="Times New Roman" w:hAnsi="Times New Roman"/>
          <w:sz w:val="24"/>
        </w:rPr>
        <w:t>The fixed monthly component of an employee's total compensation, determined by the employee's grade and position in the pay scale. Basic salary forms the foundation for calculating various allowances and benefits.</w:t>
      </w:r>
    </w:p>
    <w:p>
      <w:pPr>
        <w:pStyle w:val="ListBullet"/>
        <w:spacing w:before="60" w:after="60" w:line="360" w:lineRule="auto"/>
      </w:pPr>
      <w:r>
        <w:rPr>
          <w:rFonts w:ascii="Times New Roman" w:hAnsi="Times New Roman"/>
          <w:b/>
          <w:sz w:val="24"/>
        </w:rPr>
        <w:t xml:space="preserve">House Rent Allowance (HRA): </w:t>
      </w:r>
      <w:r>
        <w:rPr>
          <w:rFonts w:ascii="Times New Roman" w:hAnsi="Times New Roman"/>
          <w:sz w:val="24"/>
        </w:rPr>
        <w:t>Provided as a percentage of basic salary (typically 45–50% for eligible employees), HRA partially offsets residential expenses. This allowance is a standard component of compensation across public and private sector organisations in Pakistan.</w:t>
      </w:r>
    </w:p>
    <w:p>
      <w:pPr>
        <w:pStyle w:val="ListBullet"/>
        <w:spacing w:before="60" w:after="60" w:line="360" w:lineRule="auto"/>
      </w:pPr>
      <w:r>
        <w:rPr>
          <w:rFonts w:ascii="Times New Roman" w:hAnsi="Times New Roman"/>
          <w:b/>
          <w:sz w:val="24"/>
        </w:rPr>
        <w:t xml:space="preserve">Medical Allowance: </w:t>
      </w:r>
      <w:r>
        <w:rPr>
          <w:rFonts w:ascii="Times New Roman" w:hAnsi="Times New Roman"/>
          <w:sz w:val="24"/>
        </w:rPr>
        <w:t>A fixed monthly medical allowance is provided to all permanent employees to cover routine medical expenses. Senior employees and certain grades are also covered under Beaconhouse's Group Medical Insurance scheme, providing hospitalization and outpatient cover for the employee and immediate family members.</w:t>
      </w:r>
    </w:p>
    <w:p>
      <w:pPr>
        <w:pStyle w:val="ListBullet"/>
        <w:spacing w:before="60" w:after="60" w:line="360" w:lineRule="auto"/>
      </w:pPr>
      <w:r>
        <w:rPr>
          <w:rFonts w:ascii="Times New Roman" w:hAnsi="Times New Roman"/>
          <w:b/>
          <w:sz w:val="24"/>
        </w:rPr>
        <w:t xml:space="preserve">Conveyance Allowance: </w:t>
      </w:r>
      <w:r>
        <w:rPr>
          <w:rFonts w:ascii="Times New Roman" w:hAnsi="Times New Roman"/>
          <w:sz w:val="24"/>
        </w:rPr>
        <w:t>A monthly conveyance allowance is provided to compensate employees for daily commuting costs. For senior management positions, company-maintained vehicles or vehicle allowances are provided.</w:t>
      </w:r>
    </w:p>
    <w:p>
      <w:pPr>
        <w:pStyle w:val="ListBullet"/>
        <w:spacing w:before="60" w:after="60" w:line="360" w:lineRule="auto"/>
      </w:pPr>
      <w:r>
        <w:rPr>
          <w:rFonts w:ascii="Times New Roman" w:hAnsi="Times New Roman"/>
          <w:b/>
          <w:sz w:val="24"/>
        </w:rPr>
        <w:t xml:space="preserve">Utilities Allowance: </w:t>
      </w:r>
      <w:r>
        <w:rPr>
          <w:rFonts w:ascii="Times New Roman" w:hAnsi="Times New Roman"/>
          <w:sz w:val="24"/>
        </w:rPr>
        <w:t>Eligible employees receive a utilities allowance to offset electricity, gas, and telephone expenses, particularly relevant for roles requiring remote connectivity.</w:t>
      </w:r>
    </w:p>
    <w:p>
      <w:pPr>
        <w:pStyle w:val="ListBullet"/>
        <w:spacing w:before="60" w:after="60" w:line="360" w:lineRule="auto"/>
      </w:pPr>
      <w:r>
        <w:rPr>
          <w:rFonts w:ascii="Times New Roman" w:hAnsi="Times New Roman"/>
          <w:b/>
          <w:sz w:val="24"/>
        </w:rPr>
        <w:t xml:space="preserve">Performance Bonus / Incentive Pay: </w:t>
      </w:r>
      <w:r>
        <w:rPr>
          <w:rFonts w:ascii="Times New Roman" w:hAnsi="Times New Roman"/>
          <w:sz w:val="24"/>
        </w:rPr>
        <w:t>Beaconhouse operates an annual performance-linked bonus scheme for eligible staff. Bonuses are awarded based on the outcomes of the annual performance appraisal process, with high performers receiving increments and cash bonuses in recognition of their contribution.</w:t>
      </w:r>
    </w:p>
    <w:p>
      <w:pPr>
        <w:pStyle w:val="ListBullet"/>
        <w:spacing w:before="60" w:after="60" w:line="360" w:lineRule="auto"/>
      </w:pPr>
      <w:r>
        <w:rPr>
          <w:rFonts w:ascii="Times New Roman" w:hAnsi="Times New Roman"/>
          <w:b/>
          <w:sz w:val="24"/>
        </w:rPr>
        <w:t xml:space="preserve">Annual Increment: </w:t>
      </w:r>
      <w:r>
        <w:rPr>
          <w:rFonts w:ascii="Times New Roman" w:hAnsi="Times New Roman"/>
          <w:sz w:val="24"/>
        </w:rPr>
        <w:t>Permanent employees receive annual salary increments, typically ranging from 10% to 20% of basic salary, awarded on the basis of satisfactory performance appraisals and length of service.</w:t>
      </w:r>
    </w:p>
    <w:p>
      <w:pPr>
        <w:pStyle w:val="ListBullet"/>
        <w:spacing w:before="60" w:after="60" w:line="360" w:lineRule="auto"/>
      </w:pPr>
      <w:r>
        <w:rPr>
          <w:rFonts w:ascii="Times New Roman" w:hAnsi="Times New Roman"/>
          <w:b/>
          <w:sz w:val="24"/>
        </w:rPr>
        <w:t xml:space="preserve">End-of-Service Gratuity: </w:t>
      </w:r>
      <w:r>
        <w:rPr>
          <w:rFonts w:ascii="Times New Roman" w:hAnsi="Times New Roman"/>
          <w:sz w:val="24"/>
        </w:rPr>
        <w:t>In accordance with Pakistan's labour laws, Beaconhouse provides end-of-service gratuity to employees upon completion of the qualifying service period. This represents one month's basic salary for each year of completed service.</w:t>
      </w:r>
    </w:p>
    <w:p>
      <w:pPr>
        <w:spacing w:before="120" w:after="40" w:line="360" w:lineRule="auto"/>
        <w:jc w:val="both"/>
      </w:pPr>
      <w:r>
        <w:rPr>
          <w:rFonts w:ascii="Times New Roman" w:hAnsi="Times New Roman"/>
          <w:b/>
          <w:i w:val="0"/>
          <w:sz w:val="24"/>
        </w:rPr>
        <w:t>B. Employee Benefits</w:t>
      </w:r>
    </w:p>
    <w:p>
      <w:pPr>
        <w:spacing w:before="120" w:after="120" w:line="360" w:lineRule="auto"/>
        <w:jc w:val="both"/>
      </w:pPr>
      <w:r>
        <w:rPr>
          <w:rFonts w:ascii="Times New Roman" w:hAnsi="Times New Roman"/>
          <w:b w:val="0"/>
          <w:i w:val="0"/>
          <w:sz w:val="24"/>
        </w:rPr>
        <w:t>Beyond monetary compensation, Beaconhouse School System provides a comprehensive suite of employee benefits designed to support the well-being, professional development, and long-term security of its workforce. These benefits play a significant role in enhancing employee satisfaction and reducing turnover.</w:t>
      </w:r>
    </w:p>
    <w:p>
      <w:pPr>
        <w:pStyle w:val="ListBullet"/>
        <w:spacing w:before="60" w:after="60" w:line="360" w:lineRule="auto"/>
      </w:pPr>
      <w:r>
        <w:rPr>
          <w:rFonts w:ascii="Times New Roman" w:hAnsi="Times New Roman"/>
          <w:b/>
          <w:sz w:val="24"/>
        </w:rPr>
        <w:t xml:space="preserve">Group Medical Insurance: </w:t>
      </w:r>
      <w:r>
        <w:rPr>
          <w:rFonts w:ascii="Times New Roman" w:hAnsi="Times New Roman"/>
          <w:sz w:val="24"/>
        </w:rPr>
        <w:t>All permanent employees and their immediate family members are covered under a Group Medical Insurance policy. Coverage includes hospitalization, surgical procedures, maternity care, and outpatient consultations at panel hospitals and clinics. Senior management employees are provided enhanced coverage limits.</w:t>
      </w:r>
    </w:p>
    <w:p>
      <w:pPr>
        <w:pStyle w:val="ListBullet"/>
        <w:spacing w:before="60" w:after="60" w:line="360" w:lineRule="auto"/>
      </w:pPr>
      <w:r>
        <w:rPr>
          <w:rFonts w:ascii="Times New Roman" w:hAnsi="Times New Roman"/>
          <w:b/>
          <w:sz w:val="24"/>
        </w:rPr>
        <w:t xml:space="preserve">Provident Fund: </w:t>
      </w:r>
      <w:r>
        <w:rPr>
          <w:rFonts w:ascii="Times New Roman" w:hAnsi="Times New Roman"/>
          <w:sz w:val="24"/>
        </w:rPr>
        <w:t>Beaconhouse maintains an Employee Provident Fund (EPF) to which both the employer and employee contribute a fixed percentage of basic salary. The provident fund provides employees with a savings mechanism for post-retirement financial security.</w:t>
      </w:r>
    </w:p>
    <w:p>
      <w:pPr>
        <w:pStyle w:val="ListBullet"/>
        <w:spacing w:before="60" w:after="60" w:line="360" w:lineRule="auto"/>
      </w:pPr>
      <w:r>
        <w:rPr>
          <w:rFonts w:ascii="Times New Roman" w:hAnsi="Times New Roman"/>
          <w:b/>
          <w:sz w:val="24"/>
        </w:rPr>
        <w:t xml:space="preserve">Education Concession for Employees' Children: </w:t>
      </w:r>
      <w:r>
        <w:rPr>
          <w:rFonts w:ascii="Times New Roman" w:hAnsi="Times New Roman"/>
          <w:sz w:val="24"/>
        </w:rPr>
        <w:t>One of the most valued benefits at Beaconhouse is the tuition fee concession extended to children of permanent employees enrolled in Beaconhouse campuses. This benefit significantly reduces the financial burden of private school fees for employees and is a strong retention incentive.</w:t>
      </w:r>
    </w:p>
    <w:p>
      <w:pPr>
        <w:pStyle w:val="ListBullet"/>
        <w:spacing w:before="60" w:after="60" w:line="360" w:lineRule="auto"/>
      </w:pPr>
      <w:r>
        <w:rPr>
          <w:rFonts w:ascii="Times New Roman" w:hAnsi="Times New Roman"/>
          <w:b/>
          <w:sz w:val="24"/>
        </w:rPr>
        <w:t xml:space="preserve">Paid Annual Leave: </w:t>
      </w:r>
      <w:r>
        <w:rPr>
          <w:rFonts w:ascii="Times New Roman" w:hAnsi="Times New Roman"/>
          <w:sz w:val="24"/>
        </w:rPr>
        <w:t>Permanent employees are entitled to 14–21 days of paid annual leave per year (varying by grade and seniority), in addition to public holidays and school vacation periods (applicable to academic staff).</w:t>
      </w:r>
    </w:p>
    <w:p>
      <w:pPr>
        <w:pStyle w:val="ListBullet"/>
        <w:spacing w:before="60" w:after="60" w:line="360" w:lineRule="auto"/>
      </w:pPr>
      <w:r>
        <w:rPr>
          <w:rFonts w:ascii="Times New Roman" w:hAnsi="Times New Roman"/>
          <w:b/>
          <w:sz w:val="24"/>
        </w:rPr>
        <w:t xml:space="preserve">Sick Leave: </w:t>
      </w:r>
      <w:r>
        <w:rPr>
          <w:rFonts w:ascii="Times New Roman" w:hAnsi="Times New Roman"/>
          <w:sz w:val="24"/>
        </w:rPr>
        <w:t>Employees are entitled to paid sick leave of up to 10 days per year, supported by a medical certificate for absences exceeding two consecutive days.</w:t>
      </w:r>
    </w:p>
    <w:p>
      <w:pPr>
        <w:pStyle w:val="ListBullet"/>
        <w:spacing w:before="60" w:after="60" w:line="360" w:lineRule="auto"/>
      </w:pPr>
      <w:r>
        <w:rPr>
          <w:rFonts w:ascii="Times New Roman" w:hAnsi="Times New Roman"/>
          <w:b/>
          <w:sz w:val="24"/>
        </w:rPr>
        <w:t xml:space="preserve">Maternity and Paternity Leave: </w:t>
      </w:r>
      <w:r>
        <w:rPr>
          <w:rFonts w:ascii="Times New Roman" w:hAnsi="Times New Roman"/>
          <w:sz w:val="24"/>
        </w:rPr>
        <w:t>Female employees are entitled to 12 weeks of paid maternity leave in line with Pakistan's Maternity Benefit Ordinance. Male employees are provided a period of paternity leave to support their families at the time of a new birth.</w:t>
      </w:r>
    </w:p>
    <w:p>
      <w:pPr>
        <w:pStyle w:val="ListBullet"/>
        <w:spacing w:before="60" w:after="60" w:line="360" w:lineRule="auto"/>
      </w:pPr>
      <w:r>
        <w:rPr>
          <w:rFonts w:ascii="Times New Roman" w:hAnsi="Times New Roman"/>
          <w:b/>
          <w:sz w:val="24"/>
        </w:rPr>
        <w:t xml:space="preserve">Professional Development Funding: </w:t>
      </w:r>
      <w:r>
        <w:rPr>
          <w:rFonts w:ascii="Times New Roman" w:hAnsi="Times New Roman"/>
          <w:sz w:val="24"/>
        </w:rPr>
        <w:t>Beaconhouse sponsors eligible employees to attend external training programmes, workshops, educational conferences, and professional certifications relevant to their roles. This investment in professional development demonstrates the organization's commitment to the continuous growth of its human capital.</w:t>
      </w:r>
    </w:p>
    <w:p>
      <w:pPr>
        <w:pStyle w:val="ListBullet"/>
        <w:spacing w:before="60" w:after="60" w:line="360" w:lineRule="auto"/>
      </w:pPr>
      <w:r>
        <w:rPr>
          <w:rFonts w:ascii="Times New Roman" w:hAnsi="Times New Roman"/>
          <w:b/>
          <w:sz w:val="24"/>
        </w:rPr>
        <w:t xml:space="preserve">Employee Recognition and Awards: </w:t>
      </w:r>
      <w:r>
        <w:rPr>
          <w:rFonts w:ascii="Times New Roman" w:hAnsi="Times New Roman"/>
          <w:sz w:val="24"/>
        </w:rPr>
        <w:t>Beaconhouse conducts annual employee recognition ceremonies where outstanding performers across different categories — including best teacher, best campus administrator, and best HR professional — are publicly recognized and awarded, reinforcing a culture of appreciation and motivation.</w:t>
      </w:r>
    </w:p>
    <w:p>
      <w:pPr>
        <w:pStyle w:val="ListBullet"/>
        <w:spacing w:before="60" w:after="60" w:line="360" w:lineRule="auto"/>
      </w:pPr>
      <w:r>
        <w:rPr>
          <w:rFonts w:ascii="Times New Roman" w:hAnsi="Times New Roman"/>
          <w:b/>
          <w:sz w:val="24"/>
        </w:rPr>
        <w:t xml:space="preserve">Life Insurance: </w:t>
      </w:r>
      <w:r>
        <w:rPr>
          <w:rFonts w:ascii="Times New Roman" w:hAnsi="Times New Roman"/>
          <w:sz w:val="24"/>
        </w:rPr>
        <w:t>Permanent employees are covered under a Group Term Life Insurance policy, providing financial protection to the employee's family in the event of death during service.</w:t>
      </w:r>
    </w:p>
    <w:p>
      <w:pPr>
        <w:pStyle w:val="ListBullet"/>
        <w:spacing w:before="60" w:after="60" w:line="360" w:lineRule="auto"/>
      </w:pPr>
      <w:r>
        <w:rPr>
          <w:rFonts w:ascii="Times New Roman" w:hAnsi="Times New Roman"/>
          <w:b/>
          <w:sz w:val="24"/>
        </w:rPr>
        <w:t xml:space="preserve">Eid Bonus / Festival Allowance: </w:t>
      </w:r>
      <w:r>
        <w:rPr>
          <w:rFonts w:ascii="Times New Roman" w:hAnsi="Times New Roman"/>
          <w:sz w:val="24"/>
        </w:rPr>
        <w:t>Employees receive a festival allowance or Eid bonus, typically equivalent to one month's basic salary, paid prior to Eid-ul-Fitr or Eid-ul-Adha, in accordance with industry practice in Pakistan.</w:t>
      </w:r>
    </w:p>
    <w:p>
      <w:pPr>
        <w:spacing w:before="120" w:after="40" w:line="360" w:lineRule="auto"/>
        <w:jc w:val="both"/>
      </w:pPr>
      <w:r>
        <w:rPr>
          <w:rFonts w:ascii="Times New Roman" w:hAnsi="Times New Roman"/>
          <w:b/>
          <w:i w:val="0"/>
          <w:sz w:val="24"/>
        </w:rPr>
        <w:t>C. Pay Equity and Salary Review Process</w:t>
      </w:r>
    </w:p>
    <w:p>
      <w:pPr>
        <w:spacing w:before="120" w:after="120" w:line="360" w:lineRule="auto"/>
        <w:jc w:val="both"/>
      </w:pPr>
      <w:r>
        <w:rPr>
          <w:rFonts w:ascii="Times New Roman" w:hAnsi="Times New Roman"/>
          <w:b w:val="0"/>
          <w:i w:val="0"/>
          <w:sz w:val="24"/>
        </w:rPr>
        <w:t>Beaconhouse is committed to pay equity across its workforce. The HR department conducts periodic salary benchmarking exercises, comparing its compensation structures with those of comparable private school networks, education sector organizations, and the broader private sector in Pakistan. This ensures that Beaconhouse's compensation packages remain competitive and aligned with market rates.</w:t>
      </w:r>
    </w:p>
    <w:p>
      <w:pPr>
        <w:spacing w:before="120" w:after="120" w:line="360" w:lineRule="auto"/>
        <w:jc w:val="both"/>
      </w:pPr>
      <w:r>
        <w:rPr>
          <w:rFonts w:ascii="Times New Roman" w:hAnsi="Times New Roman"/>
          <w:b w:val="0"/>
          <w:i w:val="0"/>
          <w:sz w:val="24"/>
        </w:rPr>
        <w:t>The salary review process is conducted annually, typically coinciding with the new academic year. The HR and Finance departments collaboratively prepare a salary review proposal, taking into account the inflation rate, market benchmarking data, organizational financial performance, and individual employee performance outcomes. The proposal is reviewed by the COO and approved by the CEO and Board of Directors before implementation.</w:t>
      </w:r>
    </w:p>
    <w:p>
      <w:pPr>
        <w:spacing w:before="120" w:after="40" w:line="360" w:lineRule="auto"/>
        <w:jc w:val="both"/>
      </w:pPr>
      <w:r>
        <w:rPr>
          <w:rFonts w:ascii="Times New Roman" w:hAnsi="Times New Roman"/>
          <w:b/>
          <w:i w:val="0"/>
          <w:sz w:val="24"/>
        </w:rPr>
        <w:t>D. Observations During Internship</w:t>
      </w:r>
    </w:p>
    <w:p>
      <w:pPr>
        <w:spacing w:before="120" w:after="120" w:line="360" w:lineRule="auto"/>
        <w:jc w:val="both"/>
      </w:pPr>
      <w:r>
        <w:rPr>
          <w:rFonts w:ascii="Times New Roman" w:hAnsi="Times New Roman"/>
          <w:b w:val="0"/>
          <w:i w:val="0"/>
          <w:sz w:val="24"/>
        </w:rPr>
        <w:t>During my internship, I observed the HR team processing increment letters for eligible employees following the annual performance appraisal cycle. I assisted in verifying payroll input data, which included checking attendance records, leave deductions, and new increment values against the approved salary review schedule. I also had the opportunity to review sample compensation letters and observe how the HR team communicated benefit entitlements to new employees during the onboarding process. These practical experiences gave me a thorough understanding of how a large organization manages its compensation and benefits function efficiently and equitably.</w:t>
      </w:r>
    </w:p>
    <w:p>
      <w:pPr>
        <w:spacing w:before="280" w:after="120" w:line="360" w:lineRule="auto"/>
        <w:jc w:val="left"/>
      </w:pPr>
      <w:r>
        <w:rPr>
          <w:rFonts w:ascii="Times New Roman" w:hAnsi="Times New Roman"/>
          <w:b/>
          <w:color w:val="1F3864"/>
          <w:sz w:val="24"/>
        </w:rPr>
        <w:t>Policy Formulation Process</w:t>
      </w:r>
    </w:p>
    <w:p>
      <w:pPr>
        <w:spacing w:before="120" w:after="120" w:line="360" w:lineRule="auto"/>
        <w:jc w:val="both"/>
      </w:pPr>
      <w:r>
        <w:rPr>
          <w:rFonts w:ascii="Times New Roman" w:hAnsi="Times New Roman"/>
          <w:b w:val="0"/>
          <w:i w:val="0"/>
          <w:sz w:val="24"/>
        </w:rPr>
        <w:t>Policy formulation at Beaconhouse follows a structured, multi-step process:</w:t>
      </w:r>
    </w:p>
    <w:p>
      <w:pPr>
        <w:pStyle w:val="ListBullet"/>
        <w:spacing w:before="60" w:after="60" w:line="360" w:lineRule="auto"/>
      </w:pPr>
      <w:r>
        <w:rPr>
          <w:rFonts w:ascii="Times New Roman" w:hAnsi="Times New Roman"/>
          <w:b/>
          <w:sz w:val="24"/>
        </w:rPr>
        <w:t xml:space="preserve">1. Needs Identification: </w:t>
      </w:r>
      <w:r>
        <w:rPr>
          <w:rFonts w:ascii="Times New Roman" w:hAnsi="Times New Roman"/>
          <w:sz w:val="24"/>
        </w:rPr>
        <w:t>The HR or relevant department identifies a gap or need requiring a formal policy, arising from employee feedback, legal changes, or strategic direction.</w:t>
      </w:r>
    </w:p>
    <w:p>
      <w:pPr>
        <w:pStyle w:val="ListBullet"/>
        <w:spacing w:before="60" w:after="60" w:line="360" w:lineRule="auto"/>
      </w:pPr>
      <w:r>
        <w:rPr>
          <w:rFonts w:ascii="Times New Roman" w:hAnsi="Times New Roman"/>
          <w:b/>
          <w:sz w:val="24"/>
        </w:rPr>
        <w:t xml:space="preserve">2. Research and Benchmarking: </w:t>
      </w:r>
      <w:r>
        <w:rPr>
          <w:rFonts w:ascii="Times New Roman" w:hAnsi="Times New Roman"/>
          <w:sz w:val="24"/>
        </w:rPr>
        <w:t>Research into best practices within the education sector and applicable labour laws.</w:t>
      </w:r>
    </w:p>
    <w:p>
      <w:pPr>
        <w:pStyle w:val="ListBullet"/>
        <w:spacing w:before="60" w:after="60" w:line="360" w:lineRule="auto"/>
      </w:pPr>
      <w:r>
        <w:rPr>
          <w:rFonts w:ascii="Times New Roman" w:hAnsi="Times New Roman"/>
          <w:b/>
          <w:sz w:val="24"/>
        </w:rPr>
        <w:t xml:space="preserve">3. Draft Policy Preparation: </w:t>
      </w:r>
      <w:r>
        <w:rPr>
          <w:rFonts w:ascii="Times New Roman" w:hAnsi="Times New Roman"/>
          <w:sz w:val="24"/>
        </w:rPr>
        <w:t>A draft policy is prepared by the relevant department head in consultation with legal advisors and HR specialists.</w:t>
      </w:r>
    </w:p>
    <w:p>
      <w:pPr>
        <w:pStyle w:val="ListBullet"/>
        <w:spacing w:before="60" w:after="60" w:line="360" w:lineRule="auto"/>
      </w:pPr>
      <w:r>
        <w:rPr>
          <w:rFonts w:ascii="Times New Roman" w:hAnsi="Times New Roman"/>
          <w:b/>
          <w:sz w:val="24"/>
        </w:rPr>
        <w:t xml:space="preserve">4. Review and Consultation: </w:t>
      </w:r>
      <w:r>
        <w:rPr>
          <w:rFonts w:ascii="Times New Roman" w:hAnsi="Times New Roman"/>
          <w:sz w:val="24"/>
        </w:rPr>
        <w:t>The draft is circulated to key stakeholders for feedback and suggestions.</w:t>
      </w:r>
    </w:p>
    <w:p>
      <w:pPr>
        <w:pStyle w:val="ListBullet"/>
        <w:spacing w:before="60" w:after="60" w:line="360" w:lineRule="auto"/>
      </w:pPr>
      <w:r>
        <w:rPr>
          <w:rFonts w:ascii="Times New Roman" w:hAnsi="Times New Roman"/>
          <w:b/>
          <w:sz w:val="24"/>
        </w:rPr>
        <w:t xml:space="preserve">5. Approval: </w:t>
      </w:r>
      <w:r>
        <w:rPr>
          <w:rFonts w:ascii="Times New Roman" w:hAnsi="Times New Roman"/>
          <w:sz w:val="24"/>
        </w:rPr>
        <w:t>The revised policy is presented to senior management and, where required, the Board of Directors for formal approval.</w:t>
      </w:r>
    </w:p>
    <w:p>
      <w:pPr>
        <w:pStyle w:val="ListBullet"/>
        <w:spacing w:before="60" w:after="60" w:line="360" w:lineRule="auto"/>
      </w:pPr>
      <w:r>
        <w:rPr>
          <w:rFonts w:ascii="Times New Roman" w:hAnsi="Times New Roman"/>
          <w:b/>
          <w:sz w:val="24"/>
        </w:rPr>
        <w:t xml:space="preserve">6. Communication and Training: </w:t>
      </w:r>
      <w:r>
        <w:rPr>
          <w:rFonts w:ascii="Times New Roman" w:hAnsi="Times New Roman"/>
          <w:sz w:val="24"/>
        </w:rPr>
        <w:t>Approved policies are communicated to all relevant employees through circulars, orientation sessions, and the internal HR portal.</w:t>
      </w:r>
    </w:p>
    <w:p>
      <w:pPr>
        <w:pStyle w:val="ListBullet"/>
        <w:spacing w:before="60" w:after="60" w:line="360" w:lineRule="auto"/>
      </w:pPr>
      <w:r>
        <w:rPr>
          <w:rFonts w:ascii="Times New Roman" w:hAnsi="Times New Roman"/>
          <w:b/>
          <w:sz w:val="24"/>
        </w:rPr>
        <w:t xml:space="preserve">7. Implementation: </w:t>
      </w:r>
      <w:r>
        <w:rPr>
          <w:rFonts w:ascii="Times New Roman" w:hAnsi="Times New Roman"/>
          <w:sz w:val="24"/>
        </w:rPr>
        <w:t>Policies are implemented across all levels with clear timelines and responsibilities.</w:t>
      </w:r>
    </w:p>
    <w:p>
      <w:pPr>
        <w:pStyle w:val="ListBullet"/>
        <w:spacing w:before="60" w:after="60" w:line="360" w:lineRule="auto"/>
      </w:pPr>
      <w:r>
        <w:rPr>
          <w:rFonts w:ascii="Times New Roman" w:hAnsi="Times New Roman"/>
          <w:b/>
          <w:sz w:val="24"/>
        </w:rPr>
        <w:t xml:space="preserve">8. Monitoring and Review: </w:t>
      </w:r>
      <w:r>
        <w:rPr>
          <w:rFonts w:ascii="Times New Roman" w:hAnsi="Times New Roman"/>
          <w:sz w:val="24"/>
        </w:rPr>
        <w:t>Policies are periodically reviewed — typically annually — to assess effectiveness and make revisions.</w:t>
      </w:r>
    </w:p>
    <w:p>
      <w:pPr>
        <w:spacing w:before="280" w:after="120" w:line="360" w:lineRule="auto"/>
        <w:jc w:val="left"/>
      </w:pPr>
      <w:r>
        <w:rPr>
          <w:rFonts w:ascii="Times New Roman" w:hAnsi="Times New Roman"/>
          <w:b/>
          <w:color w:val="1F3864"/>
          <w:sz w:val="24"/>
        </w:rPr>
        <w:t>Employees in Various Sections</w:t>
      </w:r>
    </w:p>
    <w:p>
      <w:pPr>
        <w:spacing w:before="120" w:after="40" w:line="360" w:lineRule="auto"/>
        <w:jc w:val="both"/>
      </w:pPr>
      <w:r>
        <w:rPr>
          <w:rFonts w:ascii="Times New Roman" w:hAnsi="Times New Roman"/>
          <w:b/>
          <w:i w:val="0"/>
          <w:sz w:val="24"/>
        </w:rPr>
        <w:t>1. HR Department:</w:t>
      </w:r>
    </w:p>
    <w:p>
      <w:pPr>
        <w:pStyle w:val="ListBullet"/>
        <w:spacing w:before="60" w:after="60" w:line="360" w:lineRule="auto"/>
      </w:pPr>
      <w:r>
        <w:rPr>
          <w:rFonts w:ascii="Times New Roman" w:hAnsi="Times New Roman"/>
          <w:sz w:val="24"/>
        </w:rPr>
        <w:t>Designations: HR Director, HR Manager, Talent Acquisition Manager, HR Business Partner, HR Executive, HR Coordinator, Payroll Officer, HR Intern.</w:t>
      </w:r>
    </w:p>
    <w:p>
      <w:pPr>
        <w:pStyle w:val="ListBullet"/>
        <w:spacing w:before="60" w:after="60" w:line="360" w:lineRule="auto"/>
      </w:pPr>
      <w:r>
        <w:rPr>
          <w:rFonts w:ascii="Times New Roman" w:hAnsi="Times New Roman"/>
          <w:sz w:val="24"/>
        </w:rPr>
        <w:t>Qualifications: Degrees in HRM, Business Administration, or Psychology. Senior roles require 5–10 years of experience.</w:t>
      </w:r>
    </w:p>
    <w:p>
      <w:pPr>
        <w:pStyle w:val="ListBullet"/>
        <w:spacing w:before="60" w:after="60" w:line="360" w:lineRule="auto"/>
      </w:pPr>
      <w:r>
        <w:rPr>
          <w:rFonts w:ascii="Times New Roman" w:hAnsi="Times New Roman"/>
          <w:sz w:val="24"/>
        </w:rPr>
        <w:t>Career Ladder: HR Intern → HR Coordinator → HR Executive → HR Officer → HR Manager → HR Business Partner → HR Director.</w:t>
      </w:r>
    </w:p>
    <w:p>
      <w:pPr>
        <w:pStyle w:val="ListBullet"/>
        <w:spacing w:before="60" w:after="60" w:line="360" w:lineRule="auto"/>
      </w:pPr>
      <w:r>
        <w:rPr>
          <w:rFonts w:ascii="Times New Roman" w:hAnsi="Times New Roman"/>
          <w:sz w:val="24"/>
        </w:rPr>
        <w:t>Performance Metrics: KPIs including time-to-hire, employee retention rate, onboarding completion rate, and HR query resolution time.</w:t>
      </w:r>
    </w:p>
    <w:p>
      <w:pPr>
        <w:spacing w:before="120" w:after="40" w:line="360" w:lineRule="auto"/>
        <w:jc w:val="both"/>
      </w:pPr>
      <w:r>
        <w:rPr>
          <w:rFonts w:ascii="Times New Roman" w:hAnsi="Times New Roman"/>
          <w:b/>
          <w:i w:val="0"/>
          <w:sz w:val="24"/>
        </w:rPr>
        <w:t>2. Academic Section:</w:t>
      </w:r>
    </w:p>
    <w:p>
      <w:pPr>
        <w:pStyle w:val="ListBullet"/>
        <w:spacing w:before="60" w:after="60" w:line="360" w:lineRule="auto"/>
      </w:pPr>
      <w:r>
        <w:rPr>
          <w:rFonts w:ascii="Times New Roman" w:hAnsi="Times New Roman"/>
          <w:sz w:val="24"/>
        </w:rPr>
        <w:t>Designations: Academic Director, Curriculum Developer, Section Coordinator, Senior Teacher, Subject Teacher, Junior Teacher.</w:t>
      </w:r>
    </w:p>
    <w:p>
      <w:pPr>
        <w:pStyle w:val="ListBullet"/>
        <w:spacing w:before="60" w:after="60" w:line="360" w:lineRule="auto"/>
      </w:pPr>
      <w:r>
        <w:rPr>
          <w:rFonts w:ascii="Times New Roman" w:hAnsi="Times New Roman"/>
          <w:sz w:val="24"/>
        </w:rPr>
        <w:t>Qualifications: Minimum B.Ed. or subject-specific degree with teaching certification; Master's required for senior academic positions.</w:t>
      </w:r>
    </w:p>
    <w:p>
      <w:pPr>
        <w:pStyle w:val="ListBullet"/>
        <w:spacing w:before="60" w:after="60" w:line="360" w:lineRule="auto"/>
      </w:pPr>
      <w:r>
        <w:rPr>
          <w:rFonts w:ascii="Times New Roman" w:hAnsi="Times New Roman"/>
          <w:sz w:val="24"/>
        </w:rPr>
        <w:t>Career Ladder: Junior Teacher → Subject Teacher → Senior Teacher → Section Coordinator → Deputy Principal → Principal → Regional Academic Head → Academic Director.</w:t>
      </w:r>
    </w:p>
    <w:p>
      <w:pPr>
        <w:pStyle w:val="ListBullet"/>
        <w:spacing w:before="60" w:after="60" w:line="360" w:lineRule="auto"/>
      </w:pPr>
      <w:r>
        <w:rPr>
          <w:rFonts w:ascii="Times New Roman" w:hAnsi="Times New Roman"/>
          <w:sz w:val="24"/>
        </w:rPr>
        <w:t>Assessment: Classroom observation, student academic outcomes, parent feedback, and professional development participation.</w:t>
      </w:r>
    </w:p>
    <w:p>
      <w:pPr>
        <w:spacing w:before="120" w:after="40" w:line="360" w:lineRule="auto"/>
        <w:jc w:val="both"/>
      </w:pPr>
      <w:r>
        <w:rPr>
          <w:rFonts w:ascii="Times New Roman" w:hAnsi="Times New Roman"/>
          <w:b/>
          <w:i w:val="0"/>
          <w:sz w:val="24"/>
        </w:rPr>
        <w:t>3. Marketing &amp; Admissions Section:</w:t>
      </w:r>
    </w:p>
    <w:p>
      <w:pPr>
        <w:pStyle w:val="ListBullet"/>
        <w:spacing w:before="60" w:after="60" w:line="360" w:lineRule="auto"/>
      </w:pPr>
      <w:r>
        <w:rPr>
          <w:rFonts w:ascii="Times New Roman" w:hAnsi="Times New Roman"/>
          <w:sz w:val="24"/>
        </w:rPr>
        <w:t>Designations: Marketing Director, Marketing Manager, Digital Marketing Executive, Admissions Manager, Admissions Officer, Brand Executive.</w:t>
      </w:r>
    </w:p>
    <w:p>
      <w:pPr>
        <w:pStyle w:val="ListBullet"/>
        <w:spacing w:before="60" w:after="60" w:line="360" w:lineRule="auto"/>
      </w:pPr>
      <w:r>
        <w:rPr>
          <w:rFonts w:ascii="Times New Roman" w:hAnsi="Times New Roman"/>
          <w:sz w:val="24"/>
        </w:rPr>
        <w:t>Qualifications: Degrees in Marketing, Business Administration, or Communications with digital marketing skills.</w:t>
      </w:r>
    </w:p>
    <w:p>
      <w:pPr>
        <w:pStyle w:val="ListBullet"/>
        <w:spacing w:before="60" w:after="60" w:line="360" w:lineRule="auto"/>
      </w:pPr>
      <w:r>
        <w:rPr>
          <w:rFonts w:ascii="Times New Roman" w:hAnsi="Times New Roman"/>
          <w:sz w:val="24"/>
        </w:rPr>
        <w:t>Career Ladder: Marketing Assistant → Marketing Executive → Brand Executive → Marketing Manager → Marketing Director.</w:t>
      </w:r>
    </w:p>
    <w:p>
      <w:pPr>
        <w:pStyle w:val="ListBullet"/>
        <w:spacing w:before="60" w:after="60" w:line="360" w:lineRule="auto"/>
      </w:pPr>
      <w:r>
        <w:rPr>
          <w:rFonts w:ascii="Times New Roman" w:hAnsi="Times New Roman"/>
          <w:sz w:val="24"/>
        </w:rPr>
        <w:t>Assessment: Enrollment numbers, lead conversion rates, campaign performance metrics, and brand visibility reports.</w:t>
      </w:r>
    </w:p>
    <w:p>
      <w:pPr>
        <w:spacing w:before="120" w:after="40" w:line="360" w:lineRule="auto"/>
        <w:jc w:val="both"/>
      </w:pPr>
      <w:r>
        <w:rPr>
          <w:rFonts w:ascii="Times New Roman" w:hAnsi="Times New Roman"/>
          <w:b/>
          <w:i w:val="0"/>
          <w:sz w:val="24"/>
        </w:rPr>
        <w:t>4. Finance Section:</w:t>
      </w:r>
    </w:p>
    <w:p>
      <w:pPr>
        <w:pStyle w:val="ListBullet"/>
        <w:spacing w:before="60" w:after="60" w:line="360" w:lineRule="auto"/>
      </w:pPr>
      <w:r>
        <w:rPr>
          <w:rFonts w:ascii="Times New Roman" w:hAnsi="Times New Roman"/>
          <w:sz w:val="24"/>
        </w:rPr>
        <w:t>Designations: Finance Director / CFO, Finance Manager, Senior Accountant, Management Accountant, Accounts Officer, Payroll Officer, Finance Intern.</w:t>
      </w:r>
    </w:p>
    <w:p>
      <w:pPr>
        <w:pStyle w:val="ListBullet"/>
        <w:spacing w:before="60" w:after="60" w:line="360" w:lineRule="auto"/>
      </w:pPr>
      <w:r>
        <w:rPr>
          <w:rFonts w:ascii="Times New Roman" w:hAnsi="Times New Roman"/>
          <w:sz w:val="24"/>
        </w:rPr>
        <w:t>Qualifications: Degrees in Accounting, Finance, or Commerce. Senior roles require CA/ACCA/CIMA professional qualifications.</w:t>
      </w:r>
    </w:p>
    <w:p>
      <w:pPr>
        <w:pStyle w:val="ListBullet"/>
        <w:spacing w:before="60" w:after="60" w:line="360" w:lineRule="auto"/>
      </w:pPr>
      <w:r>
        <w:rPr>
          <w:rFonts w:ascii="Times New Roman" w:hAnsi="Times New Roman"/>
          <w:sz w:val="24"/>
        </w:rPr>
        <w:t>Career Ladder: Finance Intern → Accounts Officer → Senior Accountant → Management Accountant → Finance Manager → Finance Director / CFO.</w:t>
      </w:r>
    </w:p>
    <w:p>
      <w:pPr>
        <w:pStyle w:val="ListBullet"/>
        <w:spacing w:before="60" w:after="60" w:line="360" w:lineRule="auto"/>
      </w:pPr>
      <w:r>
        <w:rPr>
          <w:rFonts w:ascii="Times New Roman" w:hAnsi="Times New Roman"/>
          <w:sz w:val="24"/>
        </w:rPr>
        <w:t>Key Responsibilities: Financial reporting, budgeting and forecasting, fee collection, cost management, payroll, internal controls, and tax compliance.</w:t>
      </w:r>
    </w:p>
    <w:p>
      <w:pPr>
        <w:pStyle w:val="ListBullet"/>
        <w:spacing w:before="60" w:after="60" w:line="360" w:lineRule="auto"/>
      </w:pPr>
      <w:r>
        <w:rPr>
          <w:rFonts w:ascii="Times New Roman" w:hAnsi="Times New Roman"/>
          <w:sz w:val="24"/>
        </w:rPr>
        <w:t>Assessment: Accuracy of financial reporting, budget variance management, audit compliance, and timely financial close cycles.</w:t>
      </w:r>
    </w:p>
    <w:p>
      <w:pPr>
        <w:pStyle w:val="ListBullet"/>
        <w:spacing w:before="60" w:after="60" w:line="360" w:lineRule="auto"/>
      </w:pPr>
      <w:r>
        <w:rPr>
          <w:rFonts w:ascii="Times New Roman" w:hAnsi="Times New Roman"/>
          <w:sz w:val="24"/>
        </w:rPr>
        <w:t>Professional Development: Finance staff are encouraged and supported to pursue CA, ACCA, or CIMA qualifications, with study leave and examination fee support provided by the organization.</w:t>
      </w:r>
    </w:p>
    <w:p>
      <w:pPr>
        <w:spacing w:before="120" w:after="40" w:line="360" w:lineRule="auto"/>
        <w:jc w:val="both"/>
      </w:pPr>
      <w:r>
        <w:rPr>
          <w:rFonts w:ascii="Times New Roman" w:hAnsi="Times New Roman"/>
          <w:b/>
          <w:i w:val="0"/>
          <w:sz w:val="24"/>
        </w:rPr>
        <w:t>5. IT Section:</w:t>
      </w:r>
    </w:p>
    <w:p>
      <w:pPr>
        <w:pStyle w:val="ListBullet"/>
        <w:spacing w:before="60" w:after="60" w:line="360" w:lineRule="auto"/>
      </w:pPr>
      <w:r>
        <w:rPr>
          <w:rFonts w:ascii="Times New Roman" w:hAnsi="Times New Roman"/>
          <w:sz w:val="24"/>
        </w:rPr>
        <w:t>Designations: IT Director, Network Administrator, Systems Analyst, Database Administrator, IT Support Officer, IT Intern.</w:t>
      </w:r>
    </w:p>
    <w:p>
      <w:pPr>
        <w:pStyle w:val="ListBullet"/>
        <w:spacing w:before="60" w:after="60" w:line="360" w:lineRule="auto"/>
      </w:pPr>
      <w:r>
        <w:rPr>
          <w:rFonts w:ascii="Times New Roman" w:hAnsi="Times New Roman"/>
          <w:sz w:val="24"/>
        </w:rPr>
        <w:t>Career Ladder: IT Intern → IT Support Officer → Systems/Network Administrator → IT Manager → IT Director.</w:t>
      </w:r>
    </w:p>
    <w:p>
      <w:pPr>
        <w:spacing w:before="120" w:after="40" w:line="360" w:lineRule="auto"/>
        <w:jc w:val="both"/>
      </w:pPr>
      <w:r>
        <w:rPr>
          <w:rFonts w:ascii="Times New Roman" w:hAnsi="Times New Roman"/>
          <w:b/>
          <w:i w:val="0"/>
          <w:sz w:val="24"/>
        </w:rPr>
        <w:t>6. Supply Chain / Procurement:</w:t>
      </w:r>
    </w:p>
    <w:p>
      <w:pPr>
        <w:pStyle w:val="ListBullet"/>
        <w:spacing w:before="60" w:after="60" w:line="360" w:lineRule="auto"/>
      </w:pPr>
      <w:r>
        <w:rPr>
          <w:rFonts w:ascii="Times New Roman" w:hAnsi="Times New Roman"/>
          <w:sz w:val="24"/>
        </w:rPr>
        <w:t>Designations: Procurement Manager, Procurement Officer, Logistics Coordinator, Inventory Controller.</w:t>
      </w:r>
    </w:p>
    <w:p>
      <w:pPr>
        <w:pStyle w:val="ListBullet"/>
        <w:spacing w:before="60" w:after="60" w:line="360" w:lineRule="auto"/>
      </w:pPr>
      <w:r>
        <w:rPr>
          <w:rFonts w:ascii="Times New Roman" w:hAnsi="Times New Roman"/>
          <w:sz w:val="24"/>
        </w:rPr>
        <w:t>Career Ladder: Procurement Intern → Procurement Officer → Procurement Manager → Head of Supply Chain.</w:t>
      </w:r>
    </w:p>
    <w:p>
      <w:pPr>
        <w:spacing w:before="280" w:after="120" w:line="360" w:lineRule="auto"/>
        <w:jc w:val="left"/>
      </w:pPr>
      <w:r>
        <w:rPr>
          <w:rFonts w:ascii="Times New Roman" w:hAnsi="Times New Roman"/>
          <w:b/>
          <w:color w:val="1F3864"/>
          <w:sz w:val="24"/>
        </w:rPr>
        <w:t>Managerial Policies and Practices</w:t>
      </w:r>
    </w:p>
    <w:p>
      <w:pPr>
        <w:pStyle w:val="ListBullet"/>
        <w:spacing w:before="60" w:after="60" w:line="360" w:lineRule="auto"/>
      </w:pPr>
      <w:r>
        <w:rPr>
          <w:rFonts w:ascii="Times New Roman" w:hAnsi="Times New Roman"/>
          <w:b/>
          <w:sz w:val="24"/>
        </w:rPr>
        <w:t xml:space="preserve">HR Management Policy: </w:t>
      </w:r>
      <w:r>
        <w:rPr>
          <w:rFonts w:ascii="Times New Roman" w:hAnsi="Times New Roman"/>
          <w:sz w:val="24"/>
        </w:rPr>
        <w:t>Beaconhouse follows a comprehensive HR policy framework covering recruitment, induction, performance management, disciplinary procedures, and employee welfare. The policy promotes equal opportunity employment and encourages diversity and inclusion.</w:t>
      </w:r>
    </w:p>
    <w:p>
      <w:pPr>
        <w:pStyle w:val="ListBullet"/>
        <w:spacing w:before="60" w:after="60" w:line="360" w:lineRule="auto"/>
      </w:pPr>
      <w:r>
        <w:rPr>
          <w:rFonts w:ascii="Times New Roman" w:hAnsi="Times New Roman"/>
          <w:b/>
          <w:sz w:val="24"/>
        </w:rPr>
        <w:t xml:space="preserve">Performance Management: </w:t>
      </w:r>
      <w:r>
        <w:rPr>
          <w:rFonts w:ascii="Times New Roman" w:hAnsi="Times New Roman"/>
          <w:sz w:val="24"/>
        </w:rPr>
        <w:t>A structured annual performance appraisal system with KPI and competency frameworks. High performers are recognized through increments, promotions, and awards.</w:t>
      </w:r>
    </w:p>
    <w:p>
      <w:pPr>
        <w:pStyle w:val="ListBullet"/>
        <w:spacing w:before="60" w:after="60" w:line="360" w:lineRule="auto"/>
      </w:pPr>
      <w:r>
        <w:rPr>
          <w:rFonts w:ascii="Times New Roman" w:hAnsi="Times New Roman"/>
          <w:b/>
          <w:sz w:val="24"/>
        </w:rPr>
        <w:t xml:space="preserve">Professional Development: </w:t>
      </w:r>
      <w:r>
        <w:rPr>
          <w:rFonts w:ascii="Times New Roman" w:hAnsi="Times New Roman"/>
          <w:sz w:val="24"/>
        </w:rPr>
        <w:t>Regular training workshops, seminars, and national/international educational conferences for all staff.</w:t>
      </w:r>
    </w:p>
    <w:p>
      <w:pPr>
        <w:pStyle w:val="ListBullet"/>
        <w:spacing w:before="60" w:after="60" w:line="360" w:lineRule="auto"/>
      </w:pPr>
      <w:r>
        <w:rPr>
          <w:rFonts w:ascii="Times New Roman" w:hAnsi="Times New Roman"/>
          <w:b/>
          <w:sz w:val="24"/>
        </w:rPr>
        <w:t xml:space="preserve">CSR: </w:t>
      </w:r>
      <w:r>
        <w:rPr>
          <w:rFonts w:ascii="Times New Roman" w:hAnsi="Times New Roman"/>
          <w:sz w:val="24"/>
        </w:rPr>
        <w:t>Scholarships and subsidized education for deserving students, community development initiatives, and environmental sustainability programmes.</w:t>
      </w:r>
    </w:p>
    <w:p>
      <w:pPr>
        <w:pStyle w:val="ListBullet"/>
        <w:spacing w:before="60" w:after="60" w:line="360" w:lineRule="auto"/>
      </w:pPr>
      <w:r>
        <w:rPr>
          <w:rFonts w:ascii="Times New Roman" w:hAnsi="Times New Roman"/>
          <w:b/>
          <w:sz w:val="24"/>
        </w:rPr>
        <w:t xml:space="preserve">Workplace Ethics: </w:t>
      </w:r>
      <w:r>
        <w:rPr>
          <w:rFonts w:ascii="Times New Roman" w:hAnsi="Times New Roman"/>
          <w:sz w:val="24"/>
        </w:rPr>
        <w:t>A strict code of conduct covering professional behaviour, confidentiality, conflict of interest, and use of organizational resources, with formal disciplinary processes for violations.</w:t>
      </w:r>
    </w:p>
    <w:p>
      <w:r>
        <w:br w:type="page"/>
      </w:r>
    </w:p>
    <w:p>
      <w:pPr>
        <w:spacing w:before="280" w:after="120" w:line="360" w:lineRule="auto"/>
        <w:jc w:val="left"/>
      </w:pPr>
      <w:r>
        <w:rPr>
          <w:rFonts w:ascii="Times New Roman" w:hAnsi="Times New Roman"/>
          <w:b/>
          <w:color w:val="1F3864"/>
          <w:sz w:val="28"/>
        </w:rPr>
        <w:t>PART THREE</w:t>
      </w:r>
    </w:p>
    <w:p>
      <w:pPr>
        <w:spacing w:before="280" w:after="120" w:line="360" w:lineRule="auto"/>
        <w:jc w:val="left"/>
      </w:pPr>
      <w:r>
        <w:rPr>
          <w:rFonts w:ascii="Times New Roman" w:hAnsi="Times New Roman"/>
          <w:b/>
          <w:color w:val="1F3864"/>
          <w:sz w:val="26"/>
        </w:rPr>
        <w:t>ADMINISTRATIVE / MANAGEMENT STYLES AT BEACONHOUSE SCHOOL SYSTEM</w:t>
      </w:r>
    </w:p>
    <w:p>
      <w:pPr>
        <w:spacing w:before="280" w:after="120" w:line="360" w:lineRule="auto"/>
        <w:jc w:val="left"/>
      </w:pPr>
      <w:r>
        <w:rPr>
          <w:rFonts w:ascii="Times New Roman" w:hAnsi="Times New Roman"/>
          <w:b/>
          <w:color w:val="1F3864"/>
          <w:sz w:val="24"/>
        </w:rPr>
        <w:t>Management Styles by Section / Department</w:t>
      </w:r>
    </w:p>
    <w:p>
      <w:pPr>
        <w:spacing w:line="360" w:lineRule="auto" w:before="120" w:after="80"/>
      </w:pPr>
      <w:r>
        <w:rPr>
          <w:rFonts w:ascii="Times New Roman" w:hAnsi="Times New Roman"/>
          <w:b/>
          <w:sz w:val="24"/>
        </w:rPr>
        <w:t xml:space="preserve">1. HR Department — Democratic / Participative Style: </w:t>
      </w:r>
      <w:r>
        <w:rPr>
          <w:rFonts w:ascii="Times New Roman" w:hAnsi="Times New Roman"/>
          <w:sz w:val="24"/>
        </w:rPr>
        <w:t>The HR department at Beaconhouse predominantly employs a democratic management style. HR managers actively involve team members in decision-making processes, particularly when developing HR policies, recruitment strategies, and employee engagement initiatives. Team meetings are held regularly where all members contribute their perspectives. This participative approach fosters a collaborative work environment and promotes a sense of ownership among HR staff. During my internship, I observed that even junior team members were encouraged to share ideas during policy review sessions, which reflected the department's genuinely inclusive culture.</w:t>
      </w:r>
    </w:p>
    <w:p>
      <w:pPr>
        <w:spacing w:line="360" w:lineRule="auto" w:before="120" w:after="80"/>
      </w:pPr>
      <w:r>
        <w:rPr>
          <w:rFonts w:ascii="Times New Roman" w:hAnsi="Times New Roman"/>
          <w:b/>
          <w:sz w:val="24"/>
        </w:rPr>
        <w:t xml:space="preserve">2. Academic Section — Transformational Style: </w:t>
      </w:r>
      <w:r>
        <w:rPr>
          <w:rFonts w:ascii="Times New Roman" w:hAnsi="Times New Roman"/>
          <w:sz w:val="24"/>
        </w:rPr>
        <w:t>The academic leadership at Beaconhouse employs a predominantly transformational management style. Principals and Academic Directors inspire teachers to go beyond their routine responsibilities by setting a clear vision of educational excellence, encouraging innovation in teaching methodologies, and providing regular feedback and mentoring. This style is particularly effective in an educational setting where motivation, creativity, and commitment are essential for delivering high-quality outcomes for students.</w:t>
      </w:r>
    </w:p>
    <w:p>
      <w:pPr>
        <w:spacing w:line="360" w:lineRule="auto" w:before="120" w:after="80"/>
      </w:pPr>
      <w:r>
        <w:rPr>
          <w:rFonts w:ascii="Times New Roman" w:hAnsi="Times New Roman"/>
          <w:b/>
          <w:sz w:val="24"/>
        </w:rPr>
        <w:t xml:space="preserve">3. Finance Department — Bureaucratic Style: </w:t>
      </w:r>
      <w:r>
        <w:rPr>
          <w:rFonts w:ascii="Times New Roman" w:hAnsi="Times New Roman"/>
          <w:sz w:val="24"/>
        </w:rPr>
        <w:t>The Finance department follows a bureaucratic management style, characterized by strict adherence to rules, procedures, and established financial controls. Given the need for accuracy, compliance, and accountability in financial management, this style ensures that all financial transactions are processed according to laid-down procedures and that internal controls are rigorously maintained. The structured approach minimizes the risk of financial errors, fraud, or non-compliance with regulatory requirements.</w:t>
      </w:r>
    </w:p>
    <w:p>
      <w:pPr>
        <w:spacing w:line="360" w:lineRule="auto" w:before="120" w:after="80"/>
      </w:pPr>
      <w:r>
        <w:rPr>
          <w:rFonts w:ascii="Times New Roman" w:hAnsi="Times New Roman"/>
          <w:b/>
          <w:sz w:val="24"/>
        </w:rPr>
        <w:t xml:space="preserve">4. Marketing Department — Laissez-Faire / Creative Style: </w:t>
      </w:r>
      <w:r>
        <w:rPr>
          <w:rFonts w:ascii="Times New Roman" w:hAnsi="Times New Roman"/>
          <w:sz w:val="24"/>
        </w:rPr>
        <w:t>The Marketing department employs a relatively flexible management style that encourages creative thinking and innovation. Team members are given significant autonomy to develop and execute marketing campaigns, digital content strategies, and brand initiatives. Managers provide broad direction but allow team members the freedom to explore creative solutions, which is well-suited to the dynamic and rapidly evolving nature of marketing work.</w:t>
      </w:r>
    </w:p>
    <w:p>
      <w:pPr>
        <w:spacing w:line="360" w:lineRule="auto" w:before="120" w:after="80"/>
      </w:pPr>
      <w:r>
        <w:rPr>
          <w:rFonts w:ascii="Times New Roman" w:hAnsi="Times New Roman"/>
          <w:b/>
          <w:sz w:val="24"/>
        </w:rPr>
        <w:t xml:space="preserve">5. Operations and Campus Management — Autocratic / Directive Style: </w:t>
      </w:r>
      <w:r>
        <w:rPr>
          <w:rFonts w:ascii="Times New Roman" w:hAnsi="Times New Roman"/>
          <w:sz w:val="24"/>
        </w:rPr>
        <w:t>At the campus operations level, management tends to be more directive, particularly in matters related to student discipline, security protocols, and adherence to academic schedules. Campus Principals make critical operational decisions with clear authority, ensuring smooth and orderly campus operations. This style provides the necessary structure and clarity of expectations when managing large student populations.</w:t>
      </w:r>
    </w:p>
    <w:p>
      <w:pPr>
        <w:spacing w:before="280" w:after="120" w:line="360" w:lineRule="auto"/>
        <w:jc w:val="left"/>
      </w:pPr>
      <w:r>
        <w:rPr>
          <w:rFonts w:ascii="Times New Roman" w:hAnsi="Times New Roman"/>
          <w:b/>
          <w:color w:val="1F3864"/>
          <w:sz w:val="24"/>
        </w:rPr>
        <w:t>Impact of Different Styles on Morale and Efficiency</w:t>
      </w:r>
    </w:p>
    <w:p>
      <w:pPr>
        <w:pStyle w:val="ListBullet"/>
        <w:spacing w:before="60" w:after="60" w:line="360" w:lineRule="auto"/>
      </w:pPr>
      <w:r>
        <w:rPr>
          <w:rFonts w:ascii="Times New Roman" w:hAnsi="Times New Roman"/>
          <w:b/>
          <w:sz w:val="24"/>
        </w:rPr>
        <w:t xml:space="preserve">HR Department: </w:t>
      </w:r>
      <w:r>
        <w:rPr>
          <w:rFonts w:ascii="Times New Roman" w:hAnsi="Times New Roman"/>
          <w:sz w:val="24"/>
        </w:rPr>
        <w:t>The democratic style positively impacts employee morale, as staff feel valued and heard. This leads to high levels of job satisfaction, lower turnover rates, and greater commitment to organizational goals. The inclusive environment encourages creativity in HR solutions and promotes a strong team spirit.</w:t>
      </w:r>
    </w:p>
    <w:p>
      <w:pPr>
        <w:pStyle w:val="ListBullet"/>
        <w:spacing w:before="60" w:after="60" w:line="360" w:lineRule="auto"/>
      </w:pPr>
      <w:r>
        <w:rPr>
          <w:rFonts w:ascii="Times New Roman" w:hAnsi="Times New Roman"/>
          <w:b/>
          <w:sz w:val="24"/>
        </w:rPr>
        <w:t xml:space="preserve">Academic Section: </w:t>
      </w:r>
      <w:r>
        <w:rPr>
          <w:rFonts w:ascii="Times New Roman" w:hAnsi="Times New Roman"/>
          <w:sz w:val="24"/>
        </w:rPr>
        <w:t>The transformational leadership style significantly elevates teacher motivation and job satisfaction. Teachers who feel inspired and guided by visionary leaders are more likely to invest effort in their students, explore innovative teaching methodologies, and contribute positively to academic outcomes.</w:t>
      </w:r>
    </w:p>
    <w:p>
      <w:pPr>
        <w:pStyle w:val="ListBullet"/>
        <w:spacing w:before="60" w:after="60" w:line="360" w:lineRule="auto"/>
      </w:pPr>
      <w:r>
        <w:rPr>
          <w:rFonts w:ascii="Times New Roman" w:hAnsi="Times New Roman"/>
          <w:b/>
          <w:sz w:val="24"/>
        </w:rPr>
        <w:t xml:space="preserve">Finance Department: </w:t>
      </w:r>
      <w:r>
        <w:rPr>
          <w:rFonts w:ascii="Times New Roman" w:hAnsi="Times New Roman"/>
          <w:sz w:val="24"/>
        </w:rPr>
        <w:t>The bureaucratic style ensures accuracy, compliance, and minimal risk of financial errors or fraud. While it may sometimes limit flexibility, it creates a structured and reliable work environment where roles and responsibilities are clearly defined, leading to operational efficiency and accountability.</w:t>
      </w:r>
    </w:p>
    <w:p>
      <w:pPr>
        <w:pStyle w:val="ListBullet"/>
        <w:spacing w:before="60" w:after="60" w:line="360" w:lineRule="auto"/>
      </w:pPr>
      <w:r>
        <w:rPr>
          <w:rFonts w:ascii="Times New Roman" w:hAnsi="Times New Roman"/>
          <w:b/>
          <w:sz w:val="24"/>
        </w:rPr>
        <w:t xml:space="preserve">Marketing Department: </w:t>
      </w:r>
      <w:r>
        <w:rPr>
          <w:rFonts w:ascii="Times New Roman" w:hAnsi="Times New Roman"/>
          <w:sz w:val="24"/>
        </w:rPr>
        <w:t>The creative management style fosters innovation and high energy. Employees feel empowered to take ownership of their projects, which drives creativity and results in impactful marketing campaigns. However, the relative lack of structure may occasionally lead to inconsistencies, requiring managers to periodically re-establish direction.</w:t>
      </w:r>
    </w:p>
    <w:p>
      <w:pPr>
        <w:pStyle w:val="ListBullet"/>
        <w:spacing w:before="60" w:after="60" w:line="360" w:lineRule="auto"/>
      </w:pPr>
      <w:r>
        <w:rPr>
          <w:rFonts w:ascii="Times New Roman" w:hAnsi="Times New Roman"/>
          <w:b/>
          <w:sz w:val="24"/>
        </w:rPr>
        <w:t xml:space="preserve">Campus Operations: </w:t>
      </w:r>
      <w:r>
        <w:rPr>
          <w:rFonts w:ascii="Times New Roman" w:hAnsi="Times New Roman"/>
          <w:sz w:val="24"/>
        </w:rPr>
        <w:t>While a directive style ensures order and discipline, it may sometimes limit campus-level staff from contributing innovative ideas. However, in the context of managing large student populations and maintaining consistent educational standards, the directive approach provides necessary structure and clarity.</w:t>
      </w:r>
    </w:p>
    <w:p>
      <w:r>
        <w:br w:type="page"/>
      </w:r>
    </w:p>
    <w:p>
      <w:pPr>
        <w:spacing w:before="280" w:after="120" w:line="360" w:lineRule="auto"/>
        <w:jc w:val="left"/>
      </w:pPr>
      <w:r>
        <w:rPr>
          <w:rFonts w:ascii="Times New Roman" w:hAnsi="Times New Roman"/>
          <w:b/>
          <w:color w:val="1F3864"/>
          <w:sz w:val="28"/>
        </w:rPr>
        <w:t>PART FOUR</w:t>
      </w:r>
    </w:p>
    <w:p>
      <w:pPr>
        <w:spacing w:before="280" w:after="120" w:line="360" w:lineRule="auto"/>
        <w:jc w:val="left"/>
      </w:pPr>
      <w:r>
        <w:rPr>
          <w:rFonts w:ascii="Times New Roman" w:hAnsi="Times New Roman"/>
          <w:b/>
          <w:color w:val="1F3864"/>
          <w:sz w:val="26"/>
        </w:rPr>
        <w:t>OPERATIONAL / PRODUCTION FACILITIES AT BEACONHOUSE SCHOOL SYSTEM</w:t>
      </w:r>
    </w:p>
    <w:p>
      <w:pPr>
        <w:spacing w:before="280" w:after="120" w:line="360" w:lineRule="auto"/>
        <w:jc w:val="left"/>
      </w:pPr>
      <w:r>
        <w:rPr>
          <w:rFonts w:ascii="Times New Roman" w:hAnsi="Times New Roman"/>
          <w:b/>
          <w:color w:val="1F3864"/>
          <w:sz w:val="24"/>
        </w:rPr>
        <w:t>An Overview of the Operational Facilities</w:t>
      </w:r>
    </w:p>
    <w:p>
      <w:pPr>
        <w:pStyle w:val="ListBullet"/>
        <w:spacing w:before="60" w:after="60" w:line="360" w:lineRule="auto"/>
      </w:pPr>
      <w:r>
        <w:rPr>
          <w:rFonts w:ascii="Times New Roman" w:hAnsi="Times New Roman"/>
          <w:b/>
          <w:sz w:val="24"/>
        </w:rPr>
        <w:t xml:space="preserve">1. Head Office (Lahore): </w:t>
      </w:r>
      <w:r>
        <w:rPr>
          <w:rFonts w:ascii="Times New Roman" w:hAnsi="Times New Roman"/>
          <w:sz w:val="24"/>
        </w:rPr>
        <w:t>The corporate head office at 10-11 Gurumangat Road, Gulberg III, Lahore serves as the nerve centre for all administrative, HR, finance, marketing, academic, and IT functions. It is equipped with modern office infrastructure, meeting rooms, an HR operations centre, a staff training facility, and an IT support hub.</w:t>
      </w:r>
    </w:p>
    <w:p>
      <w:pPr>
        <w:pStyle w:val="ListBullet"/>
        <w:spacing w:before="60" w:after="60" w:line="360" w:lineRule="auto"/>
      </w:pPr>
      <w:r>
        <w:rPr>
          <w:rFonts w:ascii="Times New Roman" w:hAnsi="Times New Roman"/>
          <w:b/>
          <w:sz w:val="24"/>
        </w:rPr>
        <w:t xml:space="preserve">2. Campus Facilities: </w:t>
      </w:r>
      <w:r>
        <w:rPr>
          <w:rFonts w:ascii="Times New Roman" w:hAnsi="Times New Roman"/>
          <w:sz w:val="24"/>
        </w:rPr>
        <w:t>Each Beaconhouse campus is equipped with purpose-built classrooms, science laboratories, computer labs, libraries, sports facilities (indoor and outdoor), tuck shops, staff rooms, and administrative offices. Premium campuses, particularly Beaconhouse Newlands, feature additional amenities such as auditoriums, art studios, music rooms, and advanced sports complexes.</w:t>
      </w:r>
    </w:p>
    <w:p>
      <w:pPr>
        <w:pStyle w:val="ListBullet"/>
        <w:spacing w:before="60" w:after="60" w:line="360" w:lineRule="auto"/>
      </w:pPr>
      <w:r>
        <w:rPr>
          <w:rFonts w:ascii="Times New Roman" w:hAnsi="Times New Roman"/>
          <w:b/>
          <w:sz w:val="24"/>
        </w:rPr>
        <w:t xml:space="preserve">3. IT and Digital Infrastructure: </w:t>
      </w:r>
      <w:r>
        <w:rPr>
          <w:rFonts w:ascii="Times New Roman" w:hAnsi="Times New Roman"/>
          <w:sz w:val="24"/>
        </w:rPr>
        <w:t>Beaconhouse has invested significantly in digital infrastructure across its campuses. Smart classrooms with interactive whiteboards, high-speed internet, a centralized Student Information System (SIS), and a Learning Management System (LMS) support both in-person and blended learning models. The HRIS at the head office integrates payroll, attendance, leave management, and performance appraisal data.</w:t>
      </w:r>
    </w:p>
    <w:p>
      <w:pPr>
        <w:pStyle w:val="ListBullet"/>
        <w:spacing w:before="60" w:after="60" w:line="360" w:lineRule="auto"/>
      </w:pPr>
      <w:r>
        <w:rPr>
          <w:rFonts w:ascii="Times New Roman" w:hAnsi="Times New Roman"/>
          <w:b/>
          <w:sz w:val="24"/>
        </w:rPr>
        <w:t xml:space="preserve">4. Teacher Training Centres: </w:t>
      </w:r>
      <w:r>
        <w:rPr>
          <w:rFonts w:ascii="Times New Roman" w:hAnsi="Times New Roman"/>
          <w:sz w:val="24"/>
        </w:rPr>
        <w:t>Beaconhouse operates dedicated teacher training centres where faculty undergo continuous professional development. These centres are equipped with seminar rooms, training materials, and audio-visual equipment to support a range of pedagogical training programmes.</w:t>
      </w:r>
    </w:p>
    <w:p>
      <w:pPr>
        <w:spacing w:before="280" w:after="120" w:line="360" w:lineRule="auto"/>
        <w:jc w:val="left"/>
      </w:pPr>
      <w:r>
        <w:rPr>
          <w:rFonts w:ascii="Times New Roman" w:hAnsi="Times New Roman"/>
          <w:b/>
          <w:color w:val="1F3864"/>
          <w:sz w:val="24"/>
        </w:rPr>
        <w:t>Critique on Operational Methods and Bottlenecks</w:t>
      </w:r>
    </w:p>
    <w:p>
      <w:pPr>
        <w:spacing w:before="120" w:after="40" w:line="360" w:lineRule="auto"/>
        <w:jc w:val="both"/>
      </w:pPr>
      <w:r>
        <w:rPr>
          <w:rFonts w:ascii="Times New Roman" w:hAnsi="Times New Roman"/>
          <w:b/>
          <w:i w:val="0"/>
          <w:sz w:val="24"/>
        </w:rPr>
        <w:t>Strengths of Operational Methods:</w:t>
      </w:r>
    </w:p>
    <w:p>
      <w:pPr>
        <w:pStyle w:val="ListBullet"/>
        <w:spacing w:before="60" w:after="60" w:line="360" w:lineRule="auto"/>
      </w:pPr>
      <w:r>
        <w:rPr>
          <w:rFonts w:ascii="Times New Roman" w:hAnsi="Times New Roman"/>
          <w:sz w:val="24"/>
        </w:rPr>
        <w:t>A well-established SOP framework ensures consistency across campuses.</w:t>
      </w:r>
    </w:p>
    <w:p>
      <w:pPr>
        <w:pStyle w:val="ListBullet"/>
        <w:spacing w:before="60" w:after="60" w:line="360" w:lineRule="auto"/>
      </w:pPr>
      <w:r>
        <w:rPr>
          <w:rFonts w:ascii="Times New Roman" w:hAnsi="Times New Roman"/>
          <w:sz w:val="24"/>
        </w:rPr>
        <w:t>Centralized HR and payroll processing reduces errors and ensures legal compliance.</w:t>
      </w:r>
    </w:p>
    <w:p>
      <w:pPr>
        <w:pStyle w:val="ListBullet"/>
        <w:spacing w:before="60" w:after="60" w:line="360" w:lineRule="auto"/>
      </w:pPr>
      <w:r>
        <w:rPr>
          <w:rFonts w:ascii="Times New Roman" w:hAnsi="Times New Roman"/>
          <w:sz w:val="24"/>
        </w:rPr>
        <w:t>Digital systems (HRIS, SIS, LMS) improve operational efficiency and data accuracy.</w:t>
      </w:r>
    </w:p>
    <w:p>
      <w:pPr>
        <w:pStyle w:val="ListBullet"/>
        <w:spacing w:before="60" w:after="60" w:line="360" w:lineRule="auto"/>
      </w:pPr>
      <w:r>
        <w:rPr>
          <w:rFonts w:ascii="Times New Roman" w:hAnsi="Times New Roman"/>
          <w:sz w:val="24"/>
        </w:rPr>
        <w:t>Dedicated training centres support continuous professional development at scale.</w:t>
      </w:r>
    </w:p>
    <w:p>
      <w:pPr>
        <w:spacing w:before="120" w:after="40" w:line="360" w:lineRule="auto"/>
        <w:jc w:val="both"/>
      </w:pPr>
      <w:r>
        <w:rPr>
          <w:rFonts w:ascii="Times New Roman" w:hAnsi="Times New Roman"/>
          <w:b/>
          <w:i w:val="0"/>
          <w:sz w:val="24"/>
        </w:rPr>
        <w:t>Bottlenecks Identified:</w:t>
      </w:r>
    </w:p>
    <w:p>
      <w:pPr>
        <w:pStyle w:val="ListBullet"/>
        <w:spacing w:before="60" w:after="60" w:line="360" w:lineRule="auto"/>
      </w:pPr>
      <w:r>
        <w:rPr>
          <w:rFonts w:ascii="Times New Roman" w:hAnsi="Times New Roman"/>
          <w:sz w:val="24"/>
        </w:rPr>
        <w:t>Communication Delays: With over 330 campuses, timely communication of policy updates can be challenging.</w:t>
      </w:r>
    </w:p>
    <w:p>
      <w:pPr>
        <w:pStyle w:val="ListBullet"/>
        <w:spacing w:before="60" w:after="60" w:line="360" w:lineRule="auto"/>
      </w:pPr>
      <w:r>
        <w:rPr>
          <w:rFonts w:ascii="Times New Roman" w:hAnsi="Times New Roman"/>
          <w:sz w:val="24"/>
        </w:rPr>
        <w:t>HRIS Limitations: The existing HRIS lacks advanced analytics capabilities.</w:t>
      </w:r>
    </w:p>
    <w:p>
      <w:pPr>
        <w:pStyle w:val="ListBullet"/>
        <w:spacing w:before="60" w:after="60" w:line="360" w:lineRule="auto"/>
      </w:pPr>
      <w:r>
        <w:rPr>
          <w:rFonts w:ascii="Times New Roman" w:hAnsi="Times New Roman"/>
          <w:sz w:val="24"/>
        </w:rPr>
        <w:t>Recruitment Lead Times: High-volume recruitment creates lengthy time-to-hire, especially for specialist roles.</w:t>
      </w:r>
    </w:p>
    <w:p>
      <w:pPr>
        <w:pStyle w:val="ListBullet"/>
        <w:spacing w:before="60" w:after="60" w:line="360" w:lineRule="auto"/>
      </w:pPr>
      <w:r>
        <w:rPr>
          <w:rFonts w:ascii="Times New Roman" w:hAnsi="Times New Roman"/>
          <w:sz w:val="24"/>
        </w:rPr>
        <w:t>Standardization vs. Flexibility: Maintaining uniform quality while allowing local adaptability is an ongoing challenge.</w:t>
      </w:r>
    </w:p>
    <w:p>
      <w:pPr>
        <w:spacing w:before="280" w:after="120" w:line="360" w:lineRule="auto"/>
        <w:jc w:val="left"/>
      </w:pPr>
      <w:r>
        <w:rPr>
          <w:rFonts w:ascii="Times New Roman" w:hAnsi="Times New Roman"/>
          <w:b/>
          <w:color w:val="1F3864"/>
          <w:sz w:val="24"/>
        </w:rPr>
        <w:t>Solutions to Operational Bottlenecks</w:t>
      </w:r>
    </w:p>
    <w:p>
      <w:pPr>
        <w:pStyle w:val="ListBullet"/>
        <w:spacing w:before="60" w:after="60" w:line="360" w:lineRule="auto"/>
      </w:pPr>
      <w:r>
        <w:rPr>
          <w:rFonts w:ascii="Times New Roman" w:hAnsi="Times New Roman"/>
          <w:b/>
          <w:sz w:val="24"/>
        </w:rPr>
        <w:t xml:space="preserve">Enhanced Digital Communication: </w:t>
      </w:r>
      <w:r>
        <w:rPr>
          <w:rFonts w:ascii="Times New Roman" w:hAnsi="Times New Roman"/>
          <w:sz w:val="24"/>
        </w:rPr>
        <w:t>Implementing a centralized intranet portal for faster and more consistent communication.</w:t>
      </w:r>
    </w:p>
    <w:p>
      <w:pPr>
        <w:pStyle w:val="ListBullet"/>
        <w:spacing w:before="60" w:after="60" w:line="360" w:lineRule="auto"/>
      </w:pPr>
      <w:r>
        <w:rPr>
          <w:rFonts w:ascii="Times New Roman" w:hAnsi="Times New Roman"/>
          <w:b/>
          <w:sz w:val="24"/>
        </w:rPr>
        <w:t xml:space="preserve">HRIS Upgrade: </w:t>
      </w:r>
      <w:r>
        <w:rPr>
          <w:rFonts w:ascii="Times New Roman" w:hAnsi="Times New Roman"/>
          <w:sz w:val="24"/>
        </w:rPr>
        <w:t>Investing in an advanced cloud-based HRIS with built-in analytics and employee self-service portals.</w:t>
      </w:r>
    </w:p>
    <w:p>
      <w:pPr>
        <w:pStyle w:val="ListBullet"/>
        <w:spacing w:before="60" w:after="60" w:line="360" w:lineRule="auto"/>
      </w:pPr>
      <w:r>
        <w:rPr>
          <w:rFonts w:ascii="Times New Roman" w:hAnsi="Times New Roman"/>
          <w:b/>
          <w:sz w:val="24"/>
        </w:rPr>
        <w:t xml:space="preserve">Streamlined Recruitment: </w:t>
      </w:r>
      <w:r>
        <w:rPr>
          <w:rFonts w:ascii="Times New Roman" w:hAnsi="Times New Roman"/>
          <w:sz w:val="24"/>
        </w:rPr>
        <w:t>Developing proactive talent pipelines through university partnerships and a dedicated recruitment portal.</w:t>
      </w:r>
    </w:p>
    <w:p>
      <w:pPr>
        <w:pStyle w:val="ListBullet"/>
        <w:spacing w:before="60" w:after="60" w:line="360" w:lineRule="auto"/>
      </w:pPr>
      <w:r>
        <w:rPr>
          <w:rFonts w:ascii="Times New Roman" w:hAnsi="Times New Roman"/>
          <w:b/>
          <w:sz w:val="24"/>
        </w:rPr>
        <w:t xml:space="preserve">Regional Training Hubs: </w:t>
      </w:r>
      <w:r>
        <w:rPr>
          <w:rFonts w:ascii="Times New Roman" w:hAnsi="Times New Roman"/>
          <w:sz w:val="24"/>
        </w:rPr>
        <w:t>Establishing additional training hubs in major cities to reduce travel costs and time.</w:t>
      </w:r>
    </w:p>
    <w:p>
      <w:r>
        <w:br w:type="page"/>
      </w:r>
    </w:p>
    <w:p>
      <w:pPr>
        <w:spacing w:before="280" w:after="120" w:line="360" w:lineRule="auto"/>
        <w:jc w:val="left"/>
      </w:pPr>
      <w:r>
        <w:rPr>
          <w:rFonts w:ascii="Times New Roman" w:hAnsi="Times New Roman"/>
          <w:b/>
          <w:color w:val="1F3864"/>
          <w:sz w:val="28"/>
        </w:rPr>
        <w:t>PART FIVE</w:t>
      </w:r>
    </w:p>
    <w:p>
      <w:pPr>
        <w:spacing w:before="280" w:after="120" w:line="360" w:lineRule="auto"/>
        <w:jc w:val="left"/>
      </w:pPr>
      <w:r>
        <w:rPr>
          <w:rFonts w:ascii="Times New Roman" w:hAnsi="Times New Roman"/>
          <w:b/>
          <w:color w:val="1F3864"/>
          <w:sz w:val="26"/>
        </w:rPr>
        <w:t>MARKETING MIX OF BEACONHOUSE SCHOOL SYSTEM</w:t>
      </w:r>
    </w:p>
    <w:p>
      <w:pPr>
        <w:spacing w:before="280" w:after="120" w:line="360" w:lineRule="auto"/>
        <w:jc w:val="left"/>
      </w:pPr>
      <w:r>
        <w:rPr>
          <w:rFonts w:ascii="Times New Roman" w:hAnsi="Times New Roman"/>
          <w:b/>
          <w:color w:val="1F3864"/>
          <w:sz w:val="24"/>
        </w:rPr>
        <w:t>The 4 P's</w:t>
      </w:r>
    </w:p>
    <w:p>
      <w:pPr>
        <w:spacing w:before="120" w:after="40" w:line="360" w:lineRule="auto"/>
        <w:jc w:val="both"/>
      </w:pPr>
      <w:r>
        <w:rPr>
          <w:rFonts w:ascii="Times New Roman" w:hAnsi="Times New Roman"/>
          <w:b/>
          <w:i w:val="0"/>
          <w:sz w:val="24"/>
        </w:rPr>
        <w:t>1. Product (Service):</w:t>
      </w:r>
    </w:p>
    <w:p>
      <w:pPr>
        <w:spacing w:before="120" w:after="120" w:line="360" w:lineRule="auto"/>
        <w:jc w:val="both"/>
      </w:pPr>
      <w:r>
        <w:rPr>
          <w:rFonts w:ascii="Times New Roman" w:hAnsi="Times New Roman"/>
          <w:b w:val="0"/>
          <w:i w:val="0"/>
          <w:sz w:val="24"/>
        </w:rPr>
        <w:t>Beaconhouse's core product is high-quality education delivered through a structured and internationally recognized curriculum. Its service range includes Cambridge O-Level, A-Level, IGCSE, and national Matriculation and FSc programmes. The service is differentiated by the quality of its teaching staff, well-equipped campus facilities, a robust co-curricular programme, and a strong emphasis on character development and holistic learning. Beaconhouse also differentiates itself through exclusive school branding, standardized uniforms, and a consistent school culture and identity across all campuses. The introduction of blended learning platforms post-COVID has further extended its service offering, allowing students to access educational content beyond the physical classroom.</w:t>
      </w:r>
    </w:p>
    <w:p>
      <w:pPr>
        <w:spacing w:before="120" w:after="40" w:line="360" w:lineRule="auto"/>
        <w:jc w:val="both"/>
      </w:pPr>
      <w:r>
        <w:rPr>
          <w:rFonts w:ascii="Times New Roman" w:hAnsi="Times New Roman"/>
          <w:b/>
          <w:i w:val="0"/>
          <w:sz w:val="24"/>
        </w:rPr>
        <w:t>2. Price:</w:t>
      </w:r>
    </w:p>
    <w:p>
      <w:pPr>
        <w:spacing w:before="120" w:after="120" w:line="360" w:lineRule="auto"/>
        <w:jc w:val="both"/>
      </w:pPr>
      <w:r>
        <w:rPr>
          <w:rFonts w:ascii="Times New Roman" w:hAnsi="Times New Roman"/>
          <w:b w:val="0"/>
          <w:i w:val="0"/>
          <w:sz w:val="24"/>
        </w:rPr>
        <w:t>Beaconhouse School System positions itself in the upper-middle to premium pricing segment of the private education market. Annual tuition fees vary by campus tier, location, and programme level. Cambridge O and A-Level programmes attract higher fees due to international examination costs. The pricing strategy reflects the premium value delivered through quality education, modern facilities, and experienced faculty. Beaconhouse also offers a limited number of merit-based and need-based scholarships to deserving students. Fee structures are transparent and communicated clearly to parents through the admissions process and the school website. Fees are reviewed annually and adjusted in line with inflation and operational cost increases.</w:t>
      </w:r>
    </w:p>
    <w:p>
      <w:pPr>
        <w:spacing w:before="120" w:after="40" w:line="360" w:lineRule="auto"/>
        <w:jc w:val="both"/>
      </w:pPr>
      <w:r>
        <w:rPr>
          <w:rFonts w:ascii="Times New Roman" w:hAnsi="Times New Roman"/>
          <w:b/>
          <w:i w:val="0"/>
          <w:sz w:val="24"/>
        </w:rPr>
        <w:t>3. Place (Distribution):</w:t>
      </w:r>
    </w:p>
    <w:p>
      <w:pPr>
        <w:spacing w:before="120" w:after="120" w:line="360" w:lineRule="auto"/>
        <w:jc w:val="both"/>
      </w:pPr>
      <w:r>
        <w:rPr>
          <w:rFonts w:ascii="Times New Roman" w:hAnsi="Times New Roman"/>
          <w:b w:val="0"/>
          <w:i w:val="0"/>
          <w:sz w:val="24"/>
        </w:rPr>
        <w:t>Beaconhouse's distribution strategy is its extensive campus network — over 330 campuses spread across major and secondary cities in Pakistan, as well as international campuses in Belgium, Malaysia, Philippines, UAE, and Oman. Campuses are strategically located in residential and commercial areas to maximize accessibility for its target demographic. Additionally, the Beaconhouse online learning platform extends its educational reach to students unable to attend in person.</w:t>
      </w:r>
    </w:p>
    <w:p>
      <w:pPr>
        <w:spacing w:before="120" w:after="40" w:line="360" w:lineRule="auto"/>
        <w:jc w:val="both"/>
      </w:pPr>
      <w:r>
        <w:rPr>
          <w:rFonts w:ascii="Times New Roman" w:hAnsi="Times New Roman"/>
          <w:b/>
          <w:i w:val="0"/>
          <w:sz w:val="24"/>
        </w:rPr>
        <w:t>4. Promotion:</w:t>
      </w:r>
    </w:p>
    <w:p>
      <w:pPr>
        <w:pStyle w:val="ListBullet"/>
        <w:spacing w:before="60" w:after="60" w:line="360" w:lineRule="auto"/>
      </w:pPr>
      <w:r>
        <w:rPr>
          <w:rFonts w:ascii="Times New Roman" w:hAnsi="Times New Roman"/>
          <w:b/>
          <w:sz w:val="24"/>
        </w:rPr>
        <w:t xml:space="preserve">Digital Marketing: </w:t>
      </w:r>
      <w:r>
        <w:rPr>
          <w:rFonts w:ascii="Times New Roman" w:hAnsi="Times New Roman"/>
          <w:sz w:val="24"/>
        </w:rPr>
        <w:t>Active presence on social media (Facebook, Instagram, LinkedIn) with regular content including school events, student achievements, and admissions information.</w:t>
      </w:r>
    </w:p>
    <w:p>
      <w:pPr>
        <w:pStyle w:val="ListBullet"/>
        <w:spacing w:before="60" w:after="60" w:line="360" w:lineRule="auto"/>
      </w:pPr>
      <w:r>
        <w:rPr>
          <w:rFonts w:ascii="Times New Roman" w:hAnsi="Times New Roman"/>
          <w:b/>
          <w:sz w:val="24"/>
        </w:rPr>
        <w:t xml:space="preserve">Open House Events: </w:t>
      </w:r>
      <w:r>
        <w:rPr>
          <w:rFonts w:ascii="Times New Roman" w:hAnsi="Times New Roman"/>
          <w:sz w:val="24"/>
        </w:rPr>
        <w:t>Annual open days at campuses where prospective families can tour facilities, meet teachers, and learn about the admissions process.</w:t>
      </w:r>
    </w:p>
    <w:p>
      <w:pPr>
        <w:pStyle w:val="ListBullet"/>
        <w:spacing w:before="60" w:after="60" w:line="360" w:lineRule="auto"/>
      </w:pPr>
      <w:r>
        <w:rPr>
          <w:rFonts w:ascii="Times New Roman" w:hAnsi="Times New Roman"/>
          <w:b/>
          <w:sz w:val="24"/>
        </w:rPr>
        <w:t xml:space="preserve">Word-of-Mouth: </w:t>
      </w:r>
      <w:r>
        <w:rPr>
          <w:rFonts w:ascii="Times New Roman" w:hAnsi="Times New Roman"/>
          <w:sz w:val="24"/>
        </w:rPr>
        <w:t>A significant portion of new admissions come through parent referrals and word-of-mouth, reflecting the strength of the BSS brand.</w:t>
      </w:r>
    </w:p>
    <w:p>
      <w:pPr>
        <w:pStyle w:val="ListBullet"/>
        <w:spacing w:before="60" w:after="60" w:line="360" w:lineRule="auto"/>
      </w:pPr>
      <w:r>
        <w:rPr>
          <w:rFonts w:ascii="Times New Roman" w:hAnsi="Times New Roman"/>
          <w:b/>
          <w:sz w:val="24"/>
        </w:rPr>
        <w:t xml:space="preserve">Outdoor Advertising: </w:t>
      </w:r>
      <w:r>
        <w:rPr>
          <w:rFonts w:ascii="Times New Roman" w:hAnsi="Times New Roman"/>
          <w:sz w:val="24"/>
        </w:rPr>
        <w:t>Banners, billboards, and signage in residential areas during admissions season.</w:t>
      </w:r>
    </w:p>
    <w:p>
      <w:pPr>
        <w:pStyle w:val="ListBullet"/>
        <w:spacing w:before="60" w:after="60" w:line="360" w:lineRule="auto"/>
      </w:pPr>
      <w:r>
        <w:rPr>
          <w:rFonts w:ascii="Times New Roman" w:hAnsi="Times New Roman"/>
          <w:b/>
          <w:sz w:val="24"/>
        </w:rPr>
        <w:t xml:space="preserve">Print Media: </w:t>
      </w:r>
      <w:r>
        <w:rPr>
          <w:rFonts w:ascii="Times New Roman" w:hAnsi="Times New Roman"/>
          <w:sz w:val="24"/>
        </w:rPr>
        <w:t>Occasional advertisements in leading national newspapers and educational magazines.</w:t>
      </w:r>
    </w:p>
    <w:p>
      <w:pPr>
        <w:pStyle w:val="ListBullet"/>
        <w:spacing w:before="60" w:after="60" w:line="360" w:lineRule="auto"/>
      </w:pPr>
      <w:r>
        <w:rPr>
          <w:rFonts w:ascii="Times New Roman" w:hAnsi="Times New Roman"/>
          <w:b/>
          <w:sz w:val="24"/>
        </w:rPr>
        <w:t xml:space="preserve">Alumni Relations: </w:t>
      </w:r>
      <w:r>
        <w:rPr>
          <w:rFonts w:ascii="Times New Roman" w:hAnsi="Times New Roman"/>
          <w:sz w:val="24"/>
        </w:rPr>
        <w:t>Engagement with the alumni network and corporate partners to enhance brand prestige and university placement rates.</w:t>
      </w:r>
    </w:p>
    <w:p>
      <w:pPr>
        <w:spacing w:before="280" w:after="120" w:line="360" w:lineRule="auto"/>
        <w:jc w:val="left"/>
      </w:pPr>
      <w:r>
        <w:rPr>
          <w:rFonts w:ascii="Times New Roman" w:hAnsi="Times New Roman"/>
          <w:b/>
          <w:color w:val="1F3864"/>
          <w:sz w:val="24"/>
        </w:rPr>
        <w:t>Marketing and Admissions Procedures</w:t>
      </w:r>
    </w:p>
    <w:p>
      <w:pPr>
        <w:spacing w:before="120" w:after="120" w:line="360" w:lineRule="auto"/>
        <w:jc w:val="both"/>
      </w:pPr>
      <w:r>
        <w:rPr>
          <w:rFonts w:ascii="Times New Roman" w:hAnsi="Times New Roman"/>
          <w:b w:val="0"/>
          <w:i w:val="0"/>
          <w:sz w:val="24"/>
        </w:rPr>
        <w:t>Beaconhouse's primary target market consists of upper-middle-class urban families in Pakistan who prioritize high-quality, internationally recognized education. Secondary segments include expatriate families and corporate employees relocating within Pakistan.</w:t>
      </w:r>
    </w:p>
    <w:p>
      <w:pPr>
        <w:spacing w:before="120" w:after="120" w:line="360" w:lineRule="auto"/>
        <w:jc w:val="both"/>
      </w:pPr>
      <w:r>
        <w:rPr>
          <w:rFonts w:ascii="Times New Roman" w:hAnsi="Times New Roman"/>
          <w:b w:val="0"/>
          <w:i w:val="0"/>
          <w:sz w:val="24"/>
        </w:rPr>
        <w:t>The admissions process involves an initial inquiry (online or walk-in), submission of required documents, an entry assessment for certain grades, an interview with school management, and finalization of the admission offer and fee payment. The Marketing and Admissions team manages this pipeline through a centralized CRM system.</w:t>
      </w:r>
    </w:p>
    <w:p>
      <w:pPr>
        <w:spacing w:before="120" w:after="120" w:line="360" w:lineRule="auto"/>
        <w:jc w:val="both"/>
      </w:pPr>
      <w:r>
        <w:rPr>
          <w:rFonts w:ascii="Times New Roman" w:hAnsi="Times New Roman"/>
          <w:b w:val="0"/>
          <w:i w:val="0"/>
          <w:sz w:val="24"/>
        </w:rPr>
        <w:t>Promotions are primarily focused around admissions seasons (January–March and June–August). Special early-bird discounts and sibling concession policies are offered to incentivize timely enrollment. Beaconhouse places great importance on parent satisfaction, maintaining regular communication through Parent-Teacher Meetings, newsletters, a dedicated school mobile app, and an online parent portal.</w:t>
      </w:r>
    </w:p>
    <w:p>
      <w:r>
        <w:br w:type="page"/>
      </w:r>
    </w:p>
    <w:p>
      <w:pPr>
        <w:spacing w:before="280" w:after="120" w:line="360" w:lineRule="auto"/>
        <w:jc w:val="left"/>
      </w:pPr>
      <w:r>
        <w:rPr>
          <w:rFonts w:ascii="Times New Roman" w:hAnsi="Times New Roman"/>
          <w:b/>
          <w:color w:val="1F3864"/>
          <w:sz w:val="28"/>
        </w:rPr>
        <w:t>PART SIX</w:t>
      </w:r>
    </w:p>
    <w:p>
      <w:pPr>
        <w:spacing w:before="280" w:after="120" w:line="360" w:lineRule="auto"/>
        <w:jc w:val="left"/>
      </w:pPr>
      <w:r>
        <w:rPr>
          <w:rFonts w:ascii="Times New Roman" w:hAnsi="Times New Roman"/>
          <w:b/>
          <w:color w:val="1F3864"/>
          <w:sz w:val="26"/>
        </w:rPr>
        <w:t>COMPANY ACCOUNTING / FINANCE SYSTEM AT BEACONHOUSE SCHOOL SYSTEM</w:t>
      </w:r>
    </w:p>
    <w:p>
      <w:pPr>
        <w:spacing w:before="280" w:after="120" w:line="360" w:lineRule="auto"/>
        <w:jc w:val="left"/>
      </w:pPr>
      <w:r>
        <w:rPr>
          <w:rFonts w:ascii="Times New Roman" w:hAnsi="Times New Roman"/>
          <w:b/>
          <w:color w:val="1F3864"/>
          <w:sz w:val="24"/>
        </w:rPr>
        <w:t>Analysis of Accounting Procedures</w:t>
      </w:r>
    </w:p>
    <w:p>
      <w:pPr>
        <w:pStyle w:val="ListBullet"/>
        <w:spacing w:before="60" w:after="60" w:line="360" w:lineRule="auto"/>
      </w:pPr>
      <w:r>
        <w:rPr>
          <w:rFonts w:ascii="Times New Roman" w:hAnsi="Times New Roman"/>
          <w:b/>
          <w:sz w:val="24"/>
        </w:rPr>
        <w:t xml:space="preserve">1. Financial Reporting: </w:t>
      </w:r>
      <w:r>
        <w:rPr>
          <w:rFonts w:ascii="Times New Roman" w:hAnsi="Times New Roman"/>
          <w:sz w:val="24"/>
        </w:rPr>
        <w:t>Beaconhouse prepares regular financial statements including the Income Statement, Balance Sheet, and Cash Flow Statement. Monthly management accounts are presented to the CFO and senior management. Annual audited financial statements are prepared by external auditors in compliance with applicable accounting standards.</w:t>
      </w:r>
    </w:p>
    <w:p>
      <w:pPr>
        <w:pStyle w:val="ListBullet"/>
        <w:spacing w:before="60" w:after="60" w:line="360" w:lineRule="auto"/>
      </w:pPr>
      <w:r>
        <w:rPr>
          <w:rFonts w:ascii="Times New Roman" w:hAnsi="Times New Roman"/>
          <w:b/>
          <w:sz w:val="24"/>
        </w:rPr>
        <w:t xml:space="preserve">2. Budgeting and Forecasting: </w:t>
      </w:r>
      <w:r>
        <w:rPr>
          <w:rFonts w:ascii="Times New Roman" w:hAnsi="Times New Roman"/>
          <w:sz w:val="24"/>
        </w:rPr>
        <w:t>Each department and campus prepares an annual budget at the beginning of the financial year, reviewed and approved by the Finance Director and CFO. Quarterly variance analyses compare actual performance against the budget, enabling corrective action.</w:t>
      </w:r>
    </w:p>
    <w:p>
      <w:pPr>
        <w:pStyle w:val="ListBullet"/>
        <w:spacing w:before="60" w:after="60" w:line="360" w:lineRule="auto"/>
      </w:pPr>
      <w:r>
        <w:rPr>
          <w:rFonts w:ascii="Times New Roman" w:hAnsi="Times New Roman"/>
          <w:b/>
          <w:sz w:val="24"/>
        </w:rPr>
        <w:t xml:space="preserve">3. Fee Collection and Revenue Management: </w:t>
      </w:r>
      <w:r>
        <w:rPr>
          <w:rFonts w:ascii="Times New Roman" w:hAnsi="Times New Roman"/>
          <w:sz w:val="24"/>
        </w:rPr>
        <w:t>Tuition fees are the primary revenue source, collected through bank transfers, online payment portals, and campus fee offices. Strict controls minimize defaults and ensure timely reconciliation.</w:t>
      </w:r>
    </w:p>
    <w:p>
      <w:pPr>
        <w:pStyle w:val="ListBullet"/>
        <w:spacing w:before="60" w:after="60" w:line="360" w:lineRule="auto"/>
      </w:pPr>
      <w:r>
        <w:rPr>
          <w:rFonts w:ascii="Times New Roman" w:hAnsi="Times New Roman"/>
          <w:b/>
          <w:sz w:val="24"/>
        </w:rPr>
        <w:t xml:space="preserve">4. Cost Management: </w:t>
      </w:r>
      <w:r>
        <w:rPr>
          <w:rFonts w:ascii="Times New Roman" w:hAnsi="Times New Roman"/>
          <w:sz w:val="24"/>
        </w:rPr>
        <w:t>Rigorous cost management practices monitor costs against budgets at both campus and head office levels, focusing on controlling operational expenditure without compromising educational quality.</w:t>
      </w:r>
    </w:p>
    <w:p>
      <w:pPr>
        <w:pStyle w:val="ListBullet"/>
        <w:spacing w:before="60" w:after="60" w:line="360" w:lineRule="auto"/>
      </w:pPr>
      <w:r>
        <w:rPr>
          <w:rFonts w:ascii="Times New Roman" w:hAnsi="Times New Roman"/>
          <w:b/>
          <w:sz w:val="24"/>
        </w:rPr>
        <w:t xml:space="preserve">5. Internal Controls: </w:t>
      </w:r>
      <w:r>
        <w:rPr>
          <w:rFonts w:ascii="Times New Roman" w:hAnsi="Times New Roman"/>
          <w:sz w:val="24"/>
        </w:rPr>
        <w:t>A robust internal control framework covering authorization limits, segregation of duties, regular internal audits, and physical asset controls prevents financial fraud and ensures accurate reporting.</w:t>
      </w:r>
    </w:p>
    <w:p>
      <w:pPr>
        <w:pStyle w:val="ListBullet"/>
        <w:spacing w:before="60" w:after="60" w:line="360" w:lineRule="auto"/>
      </w:pPr>
      <w:r>
        <w:rPr>
          <w:rFonts w:ascii="Times New Roman" w:hAnsi="Times New Roman"/>
          <w:b/>
          <w:sz w:val="24"/>
        </w:rPr>
        <w:t xml:space="preserve">6. Payroll Management: </w:t>
      </w:r>
      <w:r>
        <w:rPr>
          <w:rFonts w:ascii="Times New Roman" w:hAnsi="Times New Roman"/>
          <w:sz w:val="24"/>
        </w:rPr>
        <w:t>Payroll is processed centrally for head office staff and coordinated with campus finance teams for campus-level employees, integrated with the HRIS.</w:t>
      </w:r>
    </w:p>
    <w:p>
      <w:pPr>
        <w:pStyle w:val="ListBullet"/>
        <w:spacing w:before="60" w:after="60" w:line="360" w:lineRule="auto"/>
      </w:pPr>
      <w:r>
        <w:rPr>
          <w:rFonts w:ascii="Times New Roman" w:hAnsi="Times New Roman"/>
          <w:b/>
          <w:sz w:val="24"/>
        </w:rPr>
        <w:t xml:space="preserve">7. Tax Compliance: </w:t>
      </w:r>
      <w:r>
        <w:rPr>
          <w:rFonts w:ascii="Times New Roman" w:hAnsi="Times New Roman"/>
          <w:sz w:val="24"/>
        </w:rPr>
        <w:t>Beaconhouse complies with all applicable tax regulations including income tax, withholding tax, and sales tax, ensuring timely filing with the Federal Board of Revenue (FBR).</w:t>
      </w:r>
    </w:p>
    <w:p>
      <w:pPr>
        <w:spacing w:before="280" w:after="120" w:line="360" w:lineRule="auto"/>
        <w:jc w:val="left"/>
      </w:pPr>
      <w:r>
        <w:rPr>
          <w:rFonts w:ascii="Times New Roman" w:hAnsi="Times New Roman"/>
          <w:b/>
          <w:color w:val="1F3864"/>
          <w:sz w:val="24"/>
        </w:rPr>
        <w:t>Financial Analysis</w:t>
      </w:r>
    </w:p>
    <w:p>
      <w:pPr>
        <w:spacing w:before="120" w:after="120" w:line="360" w:lineRule="auto"/>
        <w:jc w:val="both"/>
      </w:pPr>
      <w:r>
        <w:rPr>
          <w:rFonts w:ascii="Times New Roman" w:hAnsi="Times New Roman"/>
          <w:b w:val="0"/>
          <w:i w:val="0"/>
          <w:sz w:val="24"/>
        </w:rPr>
        <w:t>As Beaconhouse School System is a privately held company and does not publicly disclose detailed financial statements, the following analysis is based on estimates derived from publicly available industry data, comparable private school network benchmarks, and observations made during the internship. The figures are indicative and intended to demonstrate the application of financial analysis techniques rather than to represent audited financial data.</w:t>
      </w:r>
    </w:p>
    <w:p>
      <w:pPr>
        <w:spacing w:before="120" w:after="120" w:line="360" w:lineRule="auto"/>
        <w:jc w:val="both"/>
      </w:pPr>
      <w:r>
        <w:rPr>
          <w:rFonts w:ascii="Times New Roman" w:hAnsi="Times New Roman"/>
          <w:b w:val="0"/>
          <w:i w:val="0"/>
          <w:sz w:val="24"/>
        </w:rPr>
        <w:t>For analytical purposes, the following estimated figures are used (in PKR millions):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1F3864"/>
          </w:tcPr>
          <w:p>
            <w:pPr>
              <w:jc w:val="center"/>
            </w:pPr>
            <w:r>
              <w:rPr>
                <w:rFonts w:ascii="Times New Roman" w:hAnsi="Times New Roman"/>
                <w:b/>
                <w:color w:val="FFFFFF"/>
                <w:sz w:val="20"/>
              </w:rPr>
              <w:t>Item</w:t>
            </w:r>
          </w:p>
        </w:tc>
        <w:tc>
          <w:tcPr>
            <w:tcW w:type="dxa" w:w="2256"/>
            <w:shd w:val="clear" w:color="auto" w:fill="1F3864"/>
          </w:tcPr>
          <w:p>
            <w:pPr>
              <w:jc w:val="center"/>
            </w:pPr>
            <w:r>
              <w:rPr>
                <w:rFonts w:ascii="Times New Roman" w:hAnsi="Times New Roman"/>
                <w:b/>
                <w:color w:val="FFFFFF"/>
                <w:sz w:val="20"/>
              </w:rPr>
              <w:t>FY 2022 (PKR M)</w:t>
            </w:r>
          </w:p>
        </w:tc>
        <w:tc>
          <w:tcPr>
            <w:tcW w:type="dxa" w:w="2256"/>
            <w:shd w:val="clear" w:color="auto" w:fill="1F3864"/>
          </w:tcPr>
          <w:p>
            <w:pPr>
              <w:jc w:val="center"/>
            </w:pPr>
            <w:r>
              <w:rPr>
                <w:rFonts w:ascii="Times New Roman" w:hAnsi="Times New Roman"/>
                <w:b/>
                <w:color w:val="FFFFFF"/>
                <w:sz w:val="20"/>
              </w:rPr>
              <w:t>FY 2023 (PKR M)</w:t>
            </w:r>
          </w:p>
        </w:tc>
        <w:tc>
          <w:tcPr>
            <w:tcW w:type="dxa" w:w="2256"/>
            <w:shd w:val="clear" w:color="auto" w:fill="1F3864"/>
          </w:tcPr>
          <w:p>
            <w:pPr>
              <w:jc w:val="center"/>
            </w:pPr>
            <w:r>
              <w:rPr>
                <w:rFonts w:ascii="Times New Roman" w:hAnsi="Times New Roman"/>
                <w:b/>
                <w:color w:val="FFFFFF"/>
                <w:sz w:val="20"/>
              </w:rPr>
              <w:t>FY 2024 (PKR M)</w:t>
            </w:r>
          </w:p>
        </w:tc>
      </w:tr>
      <w:tr>
        <w:tc>
          <w:tcPr>
            <w:tcW w:type="dxa" w:w="2256"/>
            <w:shd w:val="clear" w:color="auto" w:fill="D6E4F0"/>
          </w:tcPr>
          <w:p>
            <w:pPr>
              <w:jc w:val="center"/>
            </w:pPr>
            <w:r>
              <w:rPr>
                <w:rFonts w:ascii="Times New Roman" w:hAnsi="Times New Roman"/>
                <w:sz w:val="20"/>
              </w:rPr>
              <w:t>Tuition &amp; Examination Fees</w:t>
            </w:r>
          </w:p>
        </w:tc>
        <w:tc>
          <w:tcPr>
            <w:tcW w:type="dxa" w:w="2256"/>
            <w:shd w:val="clear" w:color="auto" w:fill="D6E4F0"/>
          </w:tcPr>
          <w:p>
            <w:pPr>
              <w:jc w:val="center"/>
            </w:pPr>
            <w:r>
              <w:rPr>
                <w:rFonts w:ascii="Times New Roman" w:hAnsi="Times New Roman"/>
                <w:sz w:val="20"/>
              </w:rPr>
              <w:t>18,500</w:t>
            </w:r>
          </w:p>
        </w:tc>
        <w:tc>
          <w:tcPr>
            <w:tcW w:type="dxa" w:w="2256"/>
            <w:shd w:val="clear" w:color="auto" w:fill="D6E4F0"/>
          </w:tcPr>
          <w:p>
            <w:pPr>
              <w:jc w:val="center"/>
            </w:pPr>
            <w:r>
              <w:rPr>
                <w:rFonts w:ascii="Times New Roman" w:hAnsi="Times New Roman"/>
                <w:sz w:val="20"/>
              </w:rPr>
              <w:t>21,200</w:t>
            </w:r>
          </w:p>
        </w:tc>
        <w:tc>
          <w:tcPr>
            <w:tcW w:type="dxa" w:w="2256"/>
            <w:shd w:val="clear" w:color="auto" w:fill="D6E4F0"/>
          </w:tcPr>
          <w:p>
            <w:pPr>
              <w:jc w:val="center"/>
            </w:pPr>
            <w:r>
              <w:rPr>
                <w:rFonts w:ascii="Times New Roman" w:hAnsi="Times New Roman"/>
                <w:sz w:val="20"/>
              </w:rPr>
              <w:t>24,800</w:t>
            </w:r>
          </w:p>
        </w:tc>
      </w:tr>
      <w:tr>
        <w:tc>
          <w:tcPr>
            <w:tcW w:type="dxa" w:w="2256"/>
            <w:shd w:val="clear" w:color="auto" w:fill="FFFFFF"/>
          </w:tcPr>
          <w:p>
            <w:pPr>
              <w:jc w:val="center"/>
            </w:pPr>
            <w:r>
              <w:rPr>
                <w:rFonts w:ascii="Times New Roman" w:hAnsi="Times New Roman"/>
                <w:sz w:val="20"/>
              </w:rPr>
              <w:t>Other Revenue (Transport, Activities, etc.)</w:t>
            </w:r>
          </w:p>
        </w:tc>
        <w:tc>
          <w:tcPr>
            <w:tcW w:type="dxa" w:w="2256"/>
            <w:shd w:val="clear" w:color="auto" w:fill="FFFFFF"/>
          </w:tcPr>
          <w:p>
            <w:pPr>
              <w:jc w:val="center"/>
            </w:pPr>
            <w:r>
              <w:rPr>
                <w:rFonts w:ascii="Times New Roman" w:hAnsi="Times New Roman"/>
                <w:sz w:val="20"/>
              </w:rPr>
              <w:t>1,200</w:t>
            </w:r>
          </w:p>
        </w:tc>
        <w:tc>
          <w:tcPr>
            <w:tcW w:type="dxa" w:w="2256"/>
            <w:shd w:val="clear" w:color="auto" w:fill="FFFFFF"/>
          </w:tcPr>
          <w:p>
            <w:pPr>
              <w:jc w:val="center"/>
            </w:pPr>
            <w:r>
              <w:rPr>
                <w:rFonts w:ascii="Times New Roman" w:hAnsi="Times New Roman"/>
                <w:sz w:val="20"/>
              </w:rPr>
              <w:t>1,450</w:t>
            </w:r>
          </w:p>
        </w:tc>
        <w:tc>
          <w:tcPr>
            <w:tcW w:type="dxa" w:w="2256"/>
            <w:shd w:val="clear" w:color="auto" w:fill="FFFFFF"/>
          </w:tcPr>
          <w:p>
            <w:pPr>
              <w:jc w:val="center"/>
            </w:pPr>
            <w:r>
              <w:rPr>
                <w:rFonts w:ascii="Times New Roman" w:hAnsi="Times New Roman"/>
                <w:sz w:val="20"/>
              </w:rPr>
              <w:t>1,700</w:t>
            </w:r>
          </w:p>
        </w:tc>
      </w:tr>
      <w:tr>
        <w:tc>
          <w:tcPr>
            <w:tcW w:type="dxa" w:w="2256"/>
            <w:shd w:val="clear" w:color="auto" w:fill="D6E4F0"/>
          </w:tcPr>
          <w:p>
            <w:pPr>
              <w:jc w:val="center"/>
            </w:pPr>
            <w:r>
              <w:rPr>
                <w:rFonts w:ascii="Times New Roman" w:hAnsi="Times New Roman"/>
                <w:sz w:val="20"/>
              </w:rPr>
              <w:t>Total Revenue</w:t>
            </w:r>
          </w:p>
        </w:tc>
        <w:tc>
          <w:tcPr>
            <w:tcW w:type="dxa" w:w="2256"/>
            <w:shd w:val="clear" w:color="auto" w:fill="D6E4F0"/>
          </w:tcPr>
          <w:p>
            <w:pPr>
              <w:jc w:val="center"/>
            </w:pPr>
            <w:r>
              <w:rPr>
                <w:rFonts w:ascii="Times New Roman" w:hAnsi="Times New Roman"/>
                <w:sz w:val="20"/>
              </w:rPr>
              <w:t>19,700</w:t>
            </w:r>
          </w:p>
        </w:tc>
        <w:tc>
          <w:tcPr>
            <w:tcW w:type="dxa" w:w="2256"/>
            <w:shd w:val="clear" w:color="auto" w:fill="D6E4F0"/>
          </w:tcPr>
          <w:p>
            <w:pPr>
              <w:jc w:val="center"/>
            </w:pPr>
            <w:r>
              <w:rPr>
                <w:rFonts w:ascii="Times New Roman" w:hAnsi="Times New Roman"/>
                <w:sz w:val="20"/>
              </w:rPr>
              <w:t>22,650</w:t>
            </w:r>
          </w:p>
        </w:tc>
        <w:tc>
          <w:tcPr>
            <w:tcW w:type="dxa" w:w="2256"/>
            <w:shd w:val="clear" w:color="auto" w:fill="D6E4F0"/>
          </w:tcPr>
          <w:p>
            <w:pPr>
              <w:jc w:val="center"/>
            </w:pPr>
            <w:r>
              <w:rPr>
                <w:rFonts w:ascii="Times New Roman" w:hAnsi="Times New Roman"/>
                <w:sz w:val="20"/>
              </w:rPr>
              <w:t>26,500</w:t>
            </w:r>
          </w:p>
        </w:tc>
      </w:tr>
      <w:tr>
        <w:tc>
          <w:tcPr>
            <w:tcW w:type="dxa" w:w="2256"/>
            <w:shd w:val="clear" w:color="auto" w:fill="FFFFFF"/>
          </w:tcPr>
          <w:p>
            <w:pPr>
              <w:jc w:val="center"/>
            </w:pPr>
            <w:r>
              <w:rPr>
                <w:rFonts w:ascii="Times New Roman" w:hAnsi="Times New Roman"/>
                <w:sz w:val="20"/>
              </w:rPr>
              <w:t>Staff Salaries &amp; Benefits (50–55%)</w:t>
            </w:r>
          </w:p>
        </w:tc>
        <w:tc>
          <w:tcPr>
            <w:tcW w:type="dxa" w:w="2256"/>
            <w:shd w:val="clear" w:color="auto" w:fill="FFFFFF"/>
          </w:tcPr>
          <w:p>
            <w:pPr>
              <w:jc w:val="center"/>
            </w:pPr>
            <w:r>
              <w:rPr>
                <w:rFonts w:ascii="Times New Roman" w:hAnsi="Times New Roman"/>
                <w:sz w:val="20"/>
              </w:rPr>
              <w:t>10,835</w:t>
            </w:r>
          </w:p>
        </w:tc>
        <w:tc>
          <w:tcPr>
            <w:tcW w:type="dxa" w:w="2256"/>
            <w:shd w:val="clear" w:color="auto" w:fill="FFFFFF"/>
          </w:tcPr>
          <w:p>
            <w:pPr>
              <w:jc w:val="center"/>
            </w:pPr>
            <w:r>
              <w:rPr>
                <w:rFonts w:ascii="Times New Roman" w:hAnsi="Times New Roman"/>
                <w:sz w:val="20"/>
              </w:rPr>
              <w:t>12,458</w:t>
            </w:r>
          </w:p>
        </w:tc>
        <w:tc>
          <w:tcPr>
            <w:tcW w:type="dxa" w:w="2256"/>
            <w:shd w:val="clear" w:color="auto" w:fill="FFFFFF"/>
          </w:tcPr>
          <w:p>
            <w:pPr>
              <w:jc w:val="center"/>
            </w:pPr>
            <w:r>
              <w:rPr>
                <w:rFonts w:ascii="Times New Roman" w:hAnsi="Times New Roman"/>
                <w:sz w:val="20"/>
              </w:rPr>
              <w:t>14,575</w:t>
            </w:r>
          </w:p>
        </w:tc>
      </w:tr>
      <w:tr>
        <w:tc>
          <w:tcPr>
            <w:tcW w:type="dxa" w:w="2256"/>
            <w:shd w:val="clear" w:color="auto" w:fill="D6E4F0"/>
          </w:tcPr>
          <w:p>
            <w:pPr>
              <w:jc w:val="center"/>
            </w:pPr>
            <w:r>
              <w:rPr>
                <w:rFonts w:ascii="Times New Roman" w:hAnsi="Times New Roman"/>
                <w:sz w:val="20"/>
              </w:rPr>
              <w:t>Campus Operations &amp; Utilities</w:t>
            </w:r>
          </w:p>
        </w:tc>
        <w:tc>
          <w:tcPr>
            <w:tcW w:type="dxa" w:w="2256"/>
            <w:shd w:val="clear" w:color="auto" w:fill="D6E4F0"/>
          </w:tcPr>
          <w:p>
            <w:pPr>
              <w:jc w:val="center"/>
            </w:pPr>
            <w:r>
              <w:rPr>
                <w:rFonts w:ascii="Times New Roman" w:hAnsi="Times New Roman"/>
                <w:sz w:val="20"/>
              </w:rPr>
              <w:t>2,955</w:t>
            </w:r>
          </w:p>
        </w:tc>
        <w:tc>
          <w:tcPr>
            <w:tcW w:type="dxa" w:w="2256"/>
            <w:shd w:val="clear" w:color="auto" w:fill="D6E4F0"/>
          </w:tcPr>
          <w:p>
            <w:pPr>
              <w:jc w:val="center"/>
            </w:pPr>
            <w:r>
              <w:rPr>
                <w:rFonts w:ascii="Times New Roman" w:hAnsi="Times New Roman"/>
                <w:sz w:val="20"/>
              </w:rPr>
              <w:t>3,398</w:t>
            </w:r>
          </w:p>
        </w:tc>
        <w:tc>
          <w:tcPr>
            <w:tcW w:type="dxa" w:w="2256"/>
            <w:shd w:val="clear" w:color="auto" w:fill="D6E4F0"/>
          </w:tcPr>
          <w:p>
            <w:pPr>
              <w:jc w:val="center"/>
            </w:pPr>
            <w:r>
              <w:rPr>
                <w:rFonts w:ascii="Times New Roman" w:hAnsi="Times New Roman"/>
                <w:sz w:val="20"/>
              </w:rPr>
              <w:t>3,975</w:t>
            </w:r>
          </w:p>
        </w:tc>
      </w:tr>
      <w:tr>
        <w:tc>
          <w:tcPr>
            <w:tcW w:type="dxa" w:w="2256"/>
            <w:shd w:val="clear" w:color="auto" w:fill="FFFFFF"/>
          </w:tcPr>
          <w:p>
            <w:pPr>
              <w:jc w:val="center"/>
            </w:pPr>
            <w:r>
              <w:rPr>
                <w:rFonts w:ascii="Times New Roman" w:hAnsi="Times New Roman"/>
                <w:sz w:val="20"/>
              </w:rPr>
              <w:t>Academic Materials &amp; Exam Fees</w:t>
            </w:r>
          </w:p>
        </w:tc>
        <w:tc>
          <w:tcPr>
            <w:tcW w:type="dxa" w:w="2256"/>
            <w:shd w:val="clear" w:color="auto" w:fill="FFFFFF"/>
          </w:tcPr>
          <w:p>
            <w:pPr>
              <w:jc w:val="center"/>
            </w:pPr>
            <w:r>
              <w:rPr>
                <w:rFonts w:ascii="Times New Roman" w:hAnsi="Times New Roman"/>
                <w:sz w:val="20"/>
              </w:rPr>
              <w:t>1,970</w:t>
            </w:r>
          </w:p>
        </w:tc>
        <w:tc>
          <w:tcPr>
            <w:tcW w:type="dxa" w:w="2256"/>
            <w:shd w:val="clear" w:color="auto" w:fill="FFFFFF"/>
          </w:tcPr>
          <w:p>
            <w:pPr>
              <w:jc w:val="center"/>
            </w:pPr>
            <w:r>
              <w:rPr>
                <w:rFonts w:ascii="Times New Roman" w:hAnsi="Times New Roman"/>
                <w:sz w:val="20"/>
              </w:rPr>
              <w:t>2,265</w:t>
            </w:r>
          </w:p>
        </w:tc>
        <w:tc>
          <w:tcPr>
            <w:tcW w:type="dxa" w:w="2256"/>
            <w:shd w:val="clear" w:color="auto" w:fill="FFFFFF"/>
          </w:tcPr>
          <w:p>
            <w:pPr>
              <w:jc w:val="center"/>
            </w:pPr>
            <w:r>
              <w:rPr>
                <w:rFonts w:ascii="Times New Roman" w:hAnsi="Times New Roman"/>
                <w:sz w:val="20"/>
              </w:rPr>
              <w:t>2,650</w:t>
            </w:r>
          </w:p>
        </w:tc>
      </w:tr>
      <w:tr>
        <w:tc>
          <w:tcPr>
            <w:tcW w:type="dxa" w:w="2256"/>
            <w:shd w:val="clear" w:color="auto" w:fill="D6E4F0"/>
          </w:tcPr>
          <w:p>
            <w:pPr>
              <w:jc w:val="center"/>
            </w:pPr>
            <w:r>
              <w:rPr>
                <w:rFonts w:ascii="Times New Roman" w:hAnsi="Times New Roman"/>
                <w:sz w:val="20"/>
              </w:rPr>
              <w:t>Marketing &amp; Administrative Costs</w:t>
            </w:r>
          </w:p>
        </w:tc>
        <w:tc>
          <w:tcPr>
            <w:tcW w:type="dxa" w:w="2256"/>
            <w:shd w:val="clear" w:color="auto" w:fill="D6E4F0"/>
          </w:tcPr>
          <w:p>
            <w:pPr>
              <w:jc w:val="center"/>
            </w:pPr>
            <w:r>
              <w:rPr>
                <w:rFonts w:ascii="Times New Roman" w:hAnsi="Times New Roman"/>
                <w:sz w:val="20"/>
              </w:rPr>
              <w:t>984</w:t>
            </w:r>
          </w:p>
        </w:tc>
        <w:tc>
          <w:tcPr>
            <w:tcW w:type="dxa" w:w="2256"/>
            <w:shd w:val="clear" w:color="auto" w:fill="D6E4F0"/>
          </w:tcPr>
          <w:p>
            <w:pPr>
              <w:jc w:val="center"/>
            </w:pPr>
            <w:r>
              <w:rPr>
                <w:rFonts w:ascii="Times New Roman" w:hAnsi="Times New Roman"/>
                <w:sz w:val="20"/>
              </w:rPr>
              <w:t>1,133</w:t>
            </w:r>
          </w:p>
        </w:tc>
        <w:tc>
          <w:tcPr>
            <w:tcW w:type="dxa" w:w="2256"/>
            <w:shd w:val="clear" w:color="auto" w:fill="D6E4F0"/>
          </w:tcPr>
          <w:p>
            <w:pPr>
              <w:jc w:val="center"/>
            </w:pPr>
            <w:r>
              <w:rPr>
                <w:rFonts w:ascii="Times New Roman" w:hAnsi="Times New Roman"/>
                <w:sz w:val="20"/>
              </w:rPr>
              <w:t>1,325</w:t>
            </w:r>
          </w:p>
        </w:tc>
      </w:tr>
      <w:tr>
        <w:tc>
          <w:tcPr>
            <w:tcW w:type="dxa" w:w="2256"/>
            <w:shd w:val="clear" w:color="auto" w:fill="FFFFFF"/>
          </w:tcPr>
          <w:p>
            <w:pPr>
              <w:jc w:val="center"/>
            </w:pPr>
            <w:r>
              <w:rPr>
                <w:rFonts w:ascii="Times New Roman" w:hAnsi="Times New Roman"/>
                <w:sz w:val="20"/>
              </w:rPr>
              <w:t>Total Operating Expenses</w:t>
            </w:r>
          </w:p>
        </w:tc>
        <w:tc>
          <w:tcPr>
            <w:tcW w:type="dxa" w:w="2256"/>
            <w:shd w:val="clear" w:color="auto" w:fill="FFFFFF"/>
          </w:tcPr>
          <w:p>
            <w:pPr>
              <w:jc w:val="center"/>
            </w:pPr>
            <w:r>
              <w:rPr>
                <w:rFonts w:ascii="Times New Roman" w:hAnsi="Times New Roman"/>
                <w:sz w:val="20"/>
              </w:rPr>
              <w:t>16,744</w:t>
            </w:r>
          </w:p>
        </w:tc>
        <w:tc>
          <w:tcPr>
            <w:tcW w:type="dxa" w:w="2256"/>
            <w:shd w:val="clear" w:color="auto" w:fill="FFFFFF"/>
          </w:tcPr>
          <w:p>
            <w:pPr>
              <w:jc w:val="center"/>
            </w:pPr>
            <w:r>
              <w:rPr>
                <w:rFonts w:ascii="Times New Roman" w:hAnsi="Times New Roman"/>
                <w:sz w:val="20"/>
              </w:rPr>
              <w:t>19,254</w:t>
            </w:r>
          </w:p>
        </w:tc>
        <w:tc>
          <w:tcPr>
            <w:tcW w:type="dxa" w:w="2256"/>
            <w:shd w:val="clear" w:color="auto" w:fill="FFFFFF"/>
          </w:tcPr>
          <w:p>
            <w:pPr>
              <w:jc w:val="center"/>
            </w:pPr>
            <w:r>
              <w:rPr>
                <w:rFonts w:ascii="Times New Roman" w:hAnsi="Times New Roman"/>
                <w:sz w:val="20"/>
              </w:rPr>
              <w:t>22,525</w:t>
            </w:r>
          </w:p>
        </w:tc>
      </w:tr>
      <w:tr>
        <w:tc>
          <w:tcPr>
            <w:tcW w:type="dxa" w:w="2256"/>
            <w:shd w:val="clear" w:color="auto" w:fill="D6E4F0"/>
          </w:tcPr>
          <w:p>
            <w:pPr>
              <w:jc w:val="center"/>
            </w:pPr>
            <w:r>
              <w:rPr>
                <w:rFonts w:ascii="Times New Roman" w:hAnsi="Times New Roman"/>
                <w:sz w:val="20"/>
              </w:rPr>
              <w:t>Operating Profit (EBIT)</w:t>
            </w:r>
          </w:p>
        </w:tc>
        <w:tc>
          <w:tcPr>
            <w:tcW w:type="dxa" w:w="2256"/>
            <w:shd w:val="clear" w:color="auto" w:fill="D6E4F0"/>
          </w:tcPr>
          <w:p>
            <w:pPr>
              <w:jc w:val="center"/>
            </w:pPr>
            <w:r>
              <w:rPr>
                <w:rFonts w:ascii="Times New Roman" w:hAnsi="Times New Roman"/>
                <w:sz w:val="20"/>
              </w:rPr>
              <w:t>2,956</w:t>
            </w:r>
          </w:p>
        </w:tc>
        <w:tc>
          <w:tcPr>
            <w:tcW w:type="dxa" w:w="2256"/>
            <w:shd w:val="clear" w:color="auto" w:fill="D6E4F0"/>
          </w:tcPr>
          <w:p>
            <w:pPr>
              <w:jc w:val="center"/>
            </w:pPr>
            <w:r>
              <w:rPr>
                <w:rFonts w:ascii="Times New Roman" w:hAnsi="Times New Roman"/>
                <w:sz w:val="20"/>
              </w:rPr>
              <w:t>3,396</w:t>
            </w:r>
          </w:p>
        </w:tc>
        <w:tc>
          <w:tcPr>
            <w:tcW w:type="dxa" w:w="2256"/>
            <w:shd w:val="clear" w:color="auto" w:fill="D6E4F0"/>
          </w:tcPr>
          <w:p>
            <w:pPr>
              <w:jc w:val="center"/>
            </w:pPr>
            <w:r>
              <w:rPr>
                <w:rFonts w:ascii="Times New Roman" w:hAnsi="Times New Roman"/>
                <w:sz w:val="20"/>
              </w:rPr>
              <w:t>3,975</w:t>
            </w:r>
          </w:p>
        </w:tc>
      </w:tr>
      <w:tr>
        <w:tc>
          <w:tcPr>
            <w:tcW w:type="dxa" w:w="2256"/>
            <w:shd w:val="clear" w:color="auto" w:fill="FFFFFF"/>
          </w:tcPr>
          <w:p>
            <w:pPr>
              <w:jc w:val="center"/>
            </w:pPr>
            <w:r>
              <w:rPr>
                <w:rFonts w:ascii="Times New Roman" w:hAnsi="Times New Roman"/>
                <w:sz w:val="20"/>
              </w:rPr>
              <w:t>Net Profit</w:t>
            </w:r>
          </w:p>
        </w:tc>
        <w:tc>
          <w:tcPr>
            <w:tcW w:type="dxa" w:w="2256"/>
            <w:shd w:val="clear" w:color="auto" w:fill="FFFFFF"/>
          </w:tcPr>
          <w:p>
            <w:pPr>
              <w:jc w:val="center"/>
            </w:pPr>
            <w:r>
              <w:rPr>
                <w:rFonts w:ascii="Times New Roman" w:hAnsi="Times New Roman"/>
                <w:sz w:val="20"/>
              </w:rPr>
              <w:t>2,068</w:t>
            </w:r>
          </w:p>
        </w:tc>
        <w:tc>
          <w:tcPr>
            <w:tcW w:type="dxa" w:w="2256"/>
            <w:shd w:val="clear" w:color="auto" w:fill="FFFFFF"/>
          </w:tcPr>
          <w:p>
            <w:pPr>
              <w:jc w:val="center"/>
            </w:pPr>
            <w:r>
              <w:rPr>
                <w:rFonts w:ascii="Times New Roman" w:hAnsi="Times New Roman"/>
                <w:sz w:val="20"/>
              </w:rPr>
              <w:t>2,378</w:t>
            </w:r>
          </w:p>
        </w:tc>
        <w:tc>
          <w:tcPr>
            <w:tcW w:type="dxa" w:w="2256"/>
            <w:shd w:val="clear" w:color="auto" w:fill="FFFFFF"/>
          </w:tcPr>
          <w:p>
            <w:pPr>
              <w:jc w:val="center"/>
            </w:pPr>
            <w:r>
              <w:rPr>
                <w:rFonts w:ascii="Times New Roman" w:hAnsi="Times New Roman"/>
                <w:sz w:val="20"/>
              </w:rPr>
              <w:t>2,782</w:t>
            </w:r>
          </w:p>
        </w:tc>
      </w:tr>
    </w:tbl>
    <w:p>
      <w:pPr>
        <w:spacing w:before="60" w:after="120" w:line="360" w:lineRule="auto"/>
        <w:jc w:val="center"/>
      </w:pPr>
      <w:r>
        <w:rPr>
          <w:rFonts w:ascii="Times New Roman" w:hAnsi="Times New Roman"/>
          <w:b w:val="0"/>
          <w:i/>
          <w:sz w:val="24"/>
        </w:rPr>
        <w:t>Table 1: Estimated Income Statement — Beaconhouse School System (FY 2022–2024)</w:t>
      </w:r>
    </w:p>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1F3864"/>
          </w:tcPr>
          <w:p>
            <w:pPr>
              <w:jc w:val="center"/>
            </w:pPr>
            <w:r>
              <w:rPr>
                <w:rFonts w:ascii="Times New Roman" w:hAnsi="Times New Roman"/>
                <w:b/>
                <w:color w:val="FFFFFF"/>
                <w:sz w:val="20"/>
              </w:rPr>
              <w:t>Item</w:t>
            </w:r>
          </w:p>
        </w:tc>
        <w:tc>
          <w:tcPr>
            <w:tcW w:type="dxa" w:w="2256"/>
            <w:shd w:val="clear" w:color="auto" w:fill="1F3864"/>
          </w:tcPr>
          <w:p>
            <w:pPr>
              <w:jc w:val="center"/>
            </w:pPr>
            <w:r>
              <w:rPr>
                <w:rFonts w:ascii="Times New Roman" w:hAnsi="Times New Roman"/>
                <w:b/>
                <w:color w:val="FFFFFF"/>
                <w:sz w:val="20"/>
              </w:rPr>
              <w:t>FY 2022 (PKR M)</w:t>
            </w:r>
          </w:p>
        </w:tc>
        <w:tc>
          <w:tcPr>
            <w:tcW w:type="dxa" w:w="2256"/>
            <w:shd w:val="clear" w:color="auto" w:fill="1F3864"/>
          </w:tcPr>
          <w:p>
            <w:pPr>
              <w:jc w:val="center"/>
            </w:pPr>
            <w:r>
              <w:rPr>
                <w:rFonts w:ascii="Times New Roman" w:hAnsi="Times New Roman"/>
                <w:b/>
                <w:color w:val="FFFFFF"/>
                <w:sz w:val="20"/>
              </w:rPr>
              <w:t>FY 2023 (PKR M)</w:t>
            </w:r>
          </w:p>
        </w:tc>
        <w:tc>
          <w:tcPr>
            <w:tcW w:type="dxa" w:w="2256"/>
            <w:shd w:val="clear" w:color="auto" w:fill="1F3864"/>
          </w:tcPr>
          <w:p>
            <w:pPr>
              <w:jc w:val="center"/>
            </w:pPr>
            <w:r>
              <w:rPr>
                <w:rFonts w:ascii="Times New Roman" w:hAnsi="Times New Roman"/>
                <w:b/>
                <w:color w:val="FFFFFF"/>
                <w:sz w:val="20"/>
              </w:rPr>
              <w:t>FY 2024 (PKR M)</w:t>
            </w:r>
          </w:p>
        </w:tc>
      </w:tr>
      <w:tr>
        <w:tc>
          <w:tcPr>
            <w:tcW w:type="dxa" w:w="2256"/>
            <w:shd w:val="clear" w:color="auto" w:fill="D6E4F0"/>
          </w:tcPr>
          <w:p>
            <w:pPr>
              <w:jc w:val="center"/>
            </w:pPr>
            <w:r>
              <w:rPr>
                <w:rFonts w:ascii="Times New Roman" w:hAnsi="Times New Roman"/>
                <w:sz w:val="20"/>
              </w:rPr>
              <w:t>Current Assets</w:t>
            </w:r>
          </w:p>
        </w:tc>
        <w:tc>
          <w:tcPr>
            <w:tcW w:type="dxa" w:w="2256"/>
            <w:shd w:val="clear" w:color="auto" w:fill="D6E4F0"/>
          </w:tcPr>
          <w:p>
            <w:pPr>
              <w:jc w:val="center"/>
            </w:pPr>
            <w:r>
              <w:rPr>
                <w:rFonts w:ascii="Times New Roman" w:hAnsi="Times New Roman"/>
                <w:sz w:val="20"/>
              </w:rPr>
              <w:t>6,800</w:t>
            </w:r>
          </w:p>
        </w:tc>
        <w:tc>
          <w:tcPr>
            <w:tcW w:type="dxa" w:w="2256"/>
            <w:shd w:val="clear" w:color="auto" w:fill="D6E4F0"/>
          </w:tcPr>
          <w:p>
            <w:pPr>
              <w:jc w:val="center"/>
            </w:pPr>
            <w:r>
              <w:rPr>
                <w:rFonts w:ascii="Times New Roman" w:hAnsi="Times New Roman"/>
                <w:sz w:val="20"/>
              </w:rPr>
              <w:t>7,900</w:t>
            </w:r>
          </w:p>
        </w:tc>
        <w:tc>
          <w:tcPr>
            <w:tcW w:type="dxa" w:w="2256"/>
            <w:shd w:val="clear" w:color="auto" w:fill="D6E4F0"/>
          </w:tcPr>
          <w:p>
            <w:pPr>
              <w:jc w:val="center"/>
            </w:pPr>
            <w:r>
              <w:rPr>
                <w:rFonts w:ascii="Times New Roman" w:hAnsi="Times New Roman"/>
                <w:sz w:val="20"/>
              </w:rPr>
              <w:t>9,200</w:t>
            </w:r>
          </w:p>
        </w:tc>
      </w:tr>
      <w:tr>
        <w:tc>
          <w:tcPr>
            <w:tcW w:type="dxa" w:w="2256"/>
            <w:shd w:val="clear" w:color="auto" w:fill="FFFFFF"/>
          </w:tcPr>
          <w:p>
            <w:pPr>
              <w:jc w:val="center"/>
            </w:pPr>
            <w:r>
              <w:rPr>
                <w:rFonts w:ascii="Times New Roman" w:hAnsi="Times New Roman"/>
                <w:sz w:val="20"/>
              </w:rPr>
              <w:t>Cash &amp; Cash Equivalents</w:t>
            </w:r>
          </w:p>
        </w:tc>
        <w:tc>
          <w:tcPr>
            <w:tcW w:type="dxa" w:w="2256"/>
            <w:shd w:val="clear" w:color="auto" w:fill="FFFFFF"/>
          </w:tcPr>
          <w:p>
            <w:pPr>
              <w:jc w:val="center"/>
            </w:pPr>
            <w:r>
              <w:rPr>
                <w:rFonts w:ascii="Times New Roman" w:hAnsi="Times New Roman"/>
                <w:sz w:val="20"/>
              </w:rPr>
              <w:t>2,400</w:t>
            </w:r>
          </w:p>
        </w:tc>
        <w:tc>
          <w:tcPr>
            <w:tcW w:type="dxa" w:w="2256"/>
            <w:shd w:val="clear" w:color="auto" w:fill="FFFFFF"/>
          </w:tcPr>
          <w:p>
            <w:pPr>
              <w:jc w:val="center"/>
            </w:pPr>
            <w:r>
              <w:rPr>
                <w:rFonts w:ascii="Times New Roman" w:hAnsi="Times New Roman"/>
                <w:sz w:val="20"/>
              </w:rPr>
              <w:t>2,850</w:t>
            </w:r>
          </w:p>
        </w:tc>
        <w:tc>
          <w:tcPr>
            <w:tcW w:type="dxa" w:w="2256"/>
            <w:shd w:val="clear" w:color="auto" w:fill="FFFFFF"/>
          </w:tcPr>
          <w:p>
            <w:pPr>
              <w:jc w:val="center"/>
            </w:pPr>
            <w:r>
              <w:rPr>
                <w:rFonts w:ascii="Times New Roman" w:hAnsi="Times New Roman"/>
                <w:sz w:val="20"/>
              </w:rPr>
              <w:t>3,300</w:t>
            </w:r>
          </w:p>
        </w:tc>
      </w:tr>
      <w:tr>
        <w:tc>
          <w:tcPr>
            <w:tcW w:type="dxa" w:w="2256"/>
            <w:shd w:val="clear" w:color="auto" w:fill="D6E4F0"/>
          </w:tcPr>
          <w:p>
            <w:pPr>
              <w:jc w:val="center"/>
            </w:pPr>
            <w:r>
              <w:rPr>
                <w:rFonts w:ascii="Times New Roman" w:hAnsi="Times New Roman"/>
                <w:sz w:val="20"/>
              </w:rPr>
              <w:t>Accounts Receivable (Fees)</w:t>
            </w:r>
          </w:p>
        </w:tc>
        <w:tc>
          <w:tcPr>
            <w:tcW w:type="dxa" w:w="2256"/>
            <w:shd w:val="clear" w:color="auto" w:fill="D6E4F0"/>
          </w:tcPr>
          <w:p>
            <w:pPr>
              <w:jc w:val="center"/>
            </w:pPr>
            <w:r>
              <w:rPr>
                <w:rFonts w:ascii="Times New Roman" w:hAnsi="Times New Roman"/>
                <w:sz w:val="20"/>
              </w:rPr>
              <w:t>3,200</w:t>
            </w:r>
          </w:p>
        </w:tc>
        <w:tc>
          <w:tcPr>
            <w:tcW w:type="dxa" w:w="2256"/>
            <w:shd w:val="clear" w:color="auto" w:fill="D6E4F0"/>
          </w:tcPr>
          <w:p>
            <w:pPr>
              <w:jc w:val="center"/>
            </w:pPr>
            <w:r>
              <w:rPr>
                <w:rFonts w:ascii="Times New Roman" w:hAnsi="Times New Roman"/>
                <w:sz w:val="20"/>
              </w:rPr>
              <w:t>3,700</w:t>
            </w:r>
          </w:p>
        </w:tc>
        <w:tc>
          <w:tcPr>
            <w:tcW w:type="dxa" w:w="2256"/>
            <w:shd w:val="clear" w:color="auto" w:fill="D6E4F0"/>
          </w:tcPr>
          <w:p>
            <w:pPr>
              <w:jc w:val="center"/>
            </w:pPr>
            <w:r>
              <w:rPr>
                <w:rFonts w:ascii="Times New Roman" w:hAnsi="Times New Roman"/>
                <w:sz w:val="20"/>
              </w:rPr>
              <w:t>4,300</w:t>
            </w:r>
          </w:p>
        </w:tc>
      </w:tr>
      <w:tr>
        <w:tc>
          <w:tcPr>
            <w:tcW w:type="dxa" w:w="2256"/>
            <w:shd w:val="clear" w:color="auto" w:fill="FFFFFF"/>
          </w:tcPr>
          <w:p>
            <w:pPr>
              <w:jc w:val="center"/>
            </w:pPr>
            <w:r>
              <w:rPr>
                <w:rFonts w:ascii="Times New Roman" w:hAnsi="Times New Roman"/>
                <w:sz w:val="20"/>
              </w:rPr>
              <w:t>Prepayments &amp; Other</w:t>
            </w:r>
          </w:p>
        </w:tc>
        <w:tc>
          <w:tcPr>
            <w:tcW w:type="dxa" w:w="2256"/>
            <w:shd w:val="clear" w:color="auto" w:fill="FFFFFF"/>
          </w:tcPr>
          <w:p>
            <w:pPr>
              <w:jc w:val="center"/>
            </w:pPr>
            <w:r>
              <w:rPr>
                <w:rFonts w:ascii="Times New Roman" w:hAnsi="Times New Roman"/>
                <w:sz w:val="20"/>
              </w:rPr>
              <w:t>1,200</w:t>
            </w:r>
          </w:p>
        </w:tc>
        <w:tc>
          <w:tcPr>
            <w:tcW w:type="dxa" w:w="2256"/>
            <w:shd w:val="clear" w:color="auto" w:fill="FFFFFF"/>
          </w:tcPr>
          <w:p>
            <w:pPr>
              <w:jc w:val="center"/>
            </w:pPr>
            <w:r>
              <w:rPr>
                <w:rFonts w:ascii="Times New Roman" w:hAnsi="Times New Roman"/>
                <w:sz w:val="20"/>
              </w:rPr>
              <w:t>1,350</w:t>
            </w:r>
          </w:p>
        </w:tc>
        <w:tc>
          <w:tcPr>
            <w:tcW w:type="dxa" w:w="2256"/>
            <w:shd w:val="clear" w:color="auto" w:fill="FFFFFF"/>
          </w:tcPr>
          <w:p>
            <w:pPr>
              <w:jc w:val="center"/>
            </w:pPr>
            <w:r>
              <w:rPr>
                <w:rFonts w:ascii="Times New Roman" w:hAnsi="Times New Roman"/>
                <w:sz w:val="20"/>
              </w:rPr>
              <w:t>1,600</w:t>
            </w:r>
          </w:p>
        </w:tc>
      </w:tr>
      <w:tr>
        <w:tc>
          <w:tcPr>
            <w:tcW w:type="dxa" w:w="2256"/>
            <w:shd w:val="clear" w:color="auto" w:fill="D6E4F0"/>
          </w:tcPr>
          <w:p>
            <w:pPr>
              <w:jc w:val="center"/>
            </w:pPr>
            <w:r>
              <w:rPr>
                <w:rFonts w:ascii="Times New Roman" w:hAnsi="Times New Roman"/>
                <w:sz w:val="20"/>
              </w:rPr>
              <w:t>Non-Current Assets</w:t>
            </w:r>
          </w:p>
        </w:tc>
        <w:tc>
          <w:tcPr>
            <w:tcW w:type="dxa" w:w="2256"/>
            <w:shd w:val="clear" w:color="auto" w:fill="D6E4F0"/>
          </w:tcPr>
          <w:p>
            <w:pPr>
              <w:jc w:val="center"/>
            </w:pPr>
            <w:r>
              <w:rPr>
                <w:rFonts w:ascii="Times New Roman" w:hAnsi="Times New Roman"/>
                <w:sz w:val="20"/>
              </w:rPr>
              <w:t>14,500</w:t>
            </w:r>
          </w:p>
        </w:tc>
        <w:tc>
          <w:tcPr>
            <w:tcW w:type="dxa" w:w="2256"/>
            <w:shd w:val="clear" w:color="auto" w:fill="D6E4F0"/>
          </w:tcPr>
          <w:p>
            <w:pPr>
              <w:jc w:val="center"/>
            </w:pPr>
            <w:r>
              <w:rPr>
                <w:rFonts w:ascii="Times New Roman" w:hAnsi="Times New Roman"/>
                <w:sz w:val="20"/>
              </w:rPr>
              <w:t>16,000</w:t>
            </w:r>
          </w:p>
        </w:tc>
        <w:tc>
          <w:tcPr>
            <w:tcW w:type="dxa" w:w="2256"/>
            <w:shd w:val="clear" w:color="auto" w:fill="D6E4F0"/>
          </w:tcPr>
          <w:p>
            <w:pPr>
              <w:jc w:val="center"/>
            </w:pPr>
            <w:r>
              <w:rPr>
                <w:rFonts w:ascii="Times New Roman" w:hAnsi="Times New Roman"/>
                <w:sz w:val="20"/>
              </w:rPr>
              <w:t>18,500</w:t>
            </w:r>
          </w:p>
        </w:tc>
      </w:tr>
      <w:tr>
        <w:tc>
          <w:tcPr>
            <w:tcW w:type="dxa" w:w="2256"/>
            <w:shd w:val="clear" w:color="auto" w:fill="FFFFFF"/>
          </w:tcPr>
          <w:p>
            <w:pPr>
              <w:jc w:val="center"/>
            </w:pPr>
            <w:r>
              <w:rPr>
                <w:rFonts w:ascii="Times New Roman" w:hAnsi="Times New Roman"/>
                <w:sz w:val="20"/>
              </w:rPr>
              <w:t>Total Assets</w:t>
            </w:r>
          </w:p>
        </w:tc>
        <w:tc>
          <w:tcPr>
            <w:tcW w:type="dxa" w:w="2256"/>
            <w:shd w:val="clear" w:color="auto" w:fill="FFFFFF"/>
          </w:tcPr>
          <w:p>
            <w:pPr>
              <w:jc w:val="center"/>
            </w:pPr>
            <w:r>
              <w:rPr>
                <w:rFonts w:ascii="Times New Roman" w:hAnsi="Times New Roman"/>
                <w:sz w:val="20"/>
              </w:rPr>
              <w:t>21,300</w:t>
            </w:r>
          </w:p>
        </w:tc>
        <w:tc>
          <w:tcPr>
            <w:tcW w:type="dxa" w:w="2256"/>
            <w:shd w:val="clear" w:color="auto" w:fill="FFFFFF"/>
          </w:tcPr>
          <w:p>
            <w:pPr>
              <w:jc w:val="center"/>
            </w:pPr>
            <w:r>
              <w:rPr>
                <w:rFonts w:ascii="Times New Roman" w:hAnsi="Times New Roman"/>
                <w:sz w:val="20"/>
              </w:rPr>
              <w:t>23,900</w:t>
            </w:r>
          </w:p>
        </w:tc>
        <w:tc>
          <w:tcPr>
            <w:tcW w:type="dxa" w:w="2256"/>
            <w:shd w:val="clear" w:color="auto" w:fill="FFFFFF"/>
          </w:tcPr>
          <w:p>
            <w:pPr>
              <w:jc w:val="center"/>
            </w:pPr>
            <w:r>
              <w:rPr>
                <w:rFonts w:ascii="Times New Roman" w:hAnsi="Times New Roman"/>
                <w:sz w:val="20"/>
              </w:rPr>
              <w:t>27,700</w:t>
            </w:r>
          </w:p>
        </w:tc>
      </w:tr>
      <w:tr>
        <w:tc>
          <w:tcPr>
            <w:tcW w:type="dxa" w:w="2256"/>
            <w:shd w:val="clear" w:color="auto" w:fill="D6E4F0"/>
          </w:tcPr>
          <w:p>
            <w:pPr>
              <w:jc w:val="center"/>
            </w:pPr>
            <w:r>
              <w:rPr>
                <w:rFonts w:ascii="Times New Roman" w:hAnsi="Times New Roman"/>
                <w:sz w:val="20"/>
              </w:rPr>
              <w:t>Current Liabilities</w:t>
            </w:r>
          </w:p>
        </w:tc>
        <w:tc>
          <w:tcPr>
            <w:tcW w:type="dxa" w:w="2256"/>
            <w:shd w:val="clear" w:color="auto" w:fill="D6E4F0"/>
          </w:tcPr>
          <w:p>
            <w:pPr>
              <w:jc w:val="center"/>
            </w:pPr>
            <w:r>
              <w:rPr>
                <w:rFonts w:ascii="Times New Roman" w:hAnsi="Times New Roman"/>
                <w:sz w:val="20"/>
              </w:rPr>
              <w:t>4,200</w:t>
            </w:r>
          </w:p>
        </w:tc>
        <w:tc>
          <w:tcPr>
            <w:tcW w:type="dxa" w:w="2256"/>
            <w:shd w:val="clear" w:color="auto" w:fill="D6E4F0"/>
          </w:tcPr>
          <w:p>
            <w:pPr>
              <w:jc w:val="center"/>
            </w:pPr>
            <w:r>
              <w:rPr>
                <w:rFonts w:ascii="Times New Roman" w:hAnsi="Times New Roman"/>
                <w:sz w:val="20"/>
              </w:rPr>
              <w:t>4,800</w:t>
            </w:r>
          </w:p>
        </w:tc>
        <w:tc>
          <w:tcPr>
            <w:tcW w:type="dxa" w:w="2256"/>
            <w:shd w:val="clear" w:color="auto" w:fill="D6E4F0"/>
          </w:tcPr>
          <w:p>
            <w:pPr>
              <w:jc w:val="center"/>
            </w:pPr>
            <w:r>
              <w:rPr>
                <w:rFonts w:ascii="Times New Roman" w:hAnsi="Times New Roman"/>
                <w:sz w:val="20"/>
              </w:rPr>
              <w:t>5,500</w:t>
            </w:r>
          </w:p>
        </w:tc>
      </w:tr>
      <w:tr>
        <w:tc>
          <w:tcPr>
            <w:tcW w:type="dxa" w:w="2256"/>
            <w:shd w:val="clear" w:color="auto" w:fill="FFFFFF"/>
          </w:tcPr>
          <w:p>
            <w:pPr>
              <w:jc w:val="center"/>
            </w:pPr>
            <w:r>
              <w:rPr>
                <w:rFonts w:ascii="Times New Roman" w:hAnsi="Times New Roman"/>
                <w:sz w:val="20"/>
              </w:rPr>
              <w:t>Advance Fees Received</w:t>
            </w:r>
          </w:p>
        </w:tc>
        <w:tc>
          <w:tcPr>
            <w:tcW w:type="dxa" w:w="2256"/>
            <w:shd w:val="clear" w:color="auto" w:fill="FFFFFF"/>
          </w:tcPr>
          <w:p>
            <w:pPr>
              <w:jc w:val="center"/>
            </w:pPr>
            <w:r>
              <w:rPr>
                <w:rFonts w:ascii="Times New Roman" w:hAnsi="Times New Roman"/>
                <w:sz w:val="20"/>
              </w:rPr>
              <w:t>2,500</w:t>
            </w:r>
          </w:p>
        </w:tc>
        <w:tc>
          <w:tcPr>
            <w:tcW w:type="dxa" w:w="2256"/>
            <w:shd w:val="clear" w:color="auto" w:fill="FFFFFF"/>
          </w:tcPr>
          <w:p>
            <w:pPr>
              <w:jc w:val="center"/>
            </w:pPr>
            <w:r>
              <w:rPr>
                <w:rFonts w:ascii="Times New Roman" w:hAnsi="Times New Roman"/>
                <w:sz w:val="20"/>
              </w:rPr>
              <w:t>2,900</w:t>
            </w:r>
          </w:p>
        </w:tc>
        <w:tc>
          <w:tcPr>
            <w:tcW w:type="dxa" w:w="2256"/>
            <w:shd w:val="clear" w:color="auto" w:fill="FFFFFF"/>
          </w:tcPr>
          <w:p>
            <w:pPr>
              <w:jc w:val="center"/>
            </w:pPr>
            <w:r>
              <w:rPr>
                <w:rFonts w:ascii="Times New Roman" w:hAnsi="Times New Roman"/>
                <w:sz w:val="20"/>
              </w:rPr>
              <w:t>3,400</w:t>
            </w:r>
          </w:p>
        </w:tc>
      </w:tr>
      <w:tr>
        <w:tc>
          <w:tcPr>
            <w:tcW w:type="dxa" w:w="2256"/>
            <w:shd w:val="clear" w:color="auto" w:fill="D6E4F0"/>
          </w:tcPr>
          <w:p>
            <w:pPr>
              <w:jc w:val="center"/>
            </w:pPr>
            <w:r>
              <w:rPr>
                <w:rFonts w:ascii="Times New Roman" w:hAnsi="Times New Roman"/>
                <w:sz w:val="20"/>
              </w:rPr>
              <w:t>Accounts Payable</w:t>
            </w:r>
          </w:p>
        </w:tc>
        <w:tc>
          <w:tcPr>
            <w:tcW w:type="dxa" w:w="2256"/>
            <w:shd w:val="clear" w:color="auto" w:fill="D6E4F0"/>
          </w:tcPr>
          <w:p>
            <w:pPr>
              <w:jc w:val="center"/>
            </w:pPr>
            <w:r>
              <w:rPr>
                <w:rFonts w:ascii="Times New Roman" w:hAnsi="Times New Roman"/>
                <w:sz w:val="20"/>
              </w:rPr>
              <w:t>1,700</w:t>
            </w:r>
          </w:p>
        </w:tc>
        <w:tc>
          <w:tcPr>
            <w:tcW w:type="dxa" w:w="2256"/>
            <w:shd w:val="clear" w:color="auto" w:fill="D6E4F0"/>
          </w:tcPr>
          <w:p>
            <w:pPr>
              <w:jc w:val="center"/>
            </w:pPr>
            <w:r>
              <w:rPr>
                <w:rFonts w:ascii="Times New Roman" w:hAnsi="Times New Roman"/>
                <w:sz w:val="20"/>
              </w:rPr>
              <w:t>1,900</w:t>
            </w:r>
          </w:p>
        </w:tc>
        <w:tc>
          <w:tcPr>
            <w:tcW w:type="dxa" w:w="2256"/>
            <w:shd w:val="clear" w:color="auto" w:fill="D6E4F0"/>
          </w:tcPr>
          <w:p>
            <w:pPr>
              <w:jc w:val="center"/>
            </w:pPr>
            <w:r>
              <w:rPr>
                <w:rFonts w:ascii="Times New Roman" w:hAnsi="Times New Roman"/>
                <w:sz w:val="20"/>
              </w:rPr>
              <w:t>2,100</w:t>
            </w:r>
          </w:p>
        </w:tc>
      </w:tr>
      <w:tr>
        <w:tc>
          <w:tcPr>
            <w:tcW w:type="dxa" w:w="2256"/>
            <w:shd w:val="clear" w:color="auto" w:fill="FFFFFF"/>
          </w:tcPr>
          <w:p>
            <w:pPr>
              <w:jc w:val="center"/>
            </w:pPr>
            <w:r>
              <w:rPr>
                <w:rFonts w:ascii="Times New Roman" w:hAnsi="Times New Roman"/>
                <w:sz w:val="20"/>
              </w:rPr>
              <w:t>Non-Current Liabilities</w:t>
            </w:r>
          </w:p>
        </w:tc>
        <w:tc>
          <w:tcPr>
            <w:tcW w:type="dxa" w:w="2256"/>
            <w:shd w:val="clear" w:color="auto" w:fill="FFFFFF"/>
          </w:tcPr>
          <w:p>
            <w:pPr>
              <w:jc w:val="center"/>
            </w:pPr>
            <w:r>
              <w:rPr>
                <w:rFonts w:ascii="Times New Roman" w:hAnsi="Times New Roman"/>
                <w:sz w:val="20"/>
              </w:rPr>
              <w:t>3,500</w:t>
            </w:r>
          </w:p>
        </w:tc>
        <w:tc>
          <w:tcPr>
            <w:tcW w:type="dxa" w:w="2256"/>
            <w:shd w:val="clear" w:color="auto" w:fill="FFFFFF"/>
          </w:tcPr>
          <w:p>
            <w:pPr>
              <w:jc w:val="center"/>
            </w:pPr>
            <w:r>
              <w:rPr>
                <w:rFonts w:ascii="Times New Roman" w:hAnsi="Times New Roman"/>
                <w:sz w:val="20"/>
              </w:rPr>
              <w:t>3,800</w:t>
            </w:r>
          </w:p>
        </w:tc>
        <w:tc>
          <w:tcPr>
            <w:tcW w:type="dxa" w:w="2256"/>
            <w:shd w:val="clear" w:color="auto" w:fill="FFFFFF"/>
          </w:tcPr>
          <w:p>
            <w:pPr>
              <w:jc w:val="center"/>
            </w:pPr>
            <w:r>
              <w:rPr>
                <w:rFonts w:ascii="Times New Roman" w:hAnsi="Times New Roman"/>
                <w:sz w:val="20"/>
              </w:rPr>
              <w:t>4,200</w:t>
            </w:r>
          </w:p>
        </w:tc>
      </w:tr>
      <w:tr>
        <w:tc>
          <w:tcPr>
            <w:tcW w:type="dxa" w:w="2256"/>
            <w:shd w:val="clear" w:color="auto" w:fill="D6E4F0"/>
          </w:tcPr>
          <w:p>
            <w:pPr>
              <w:jc w:val="center"/>
            </w:pPr>
            <w:r>
              <w:rPr>
                <w:rFonts w:ascii="Times New Roman" w:hAnsi="Times New Roman"/>
                <w:sz w:val="20"/>
              </w:rPr>
              <w:t>Total Equity</w:t>
            </w:r>
          </w:p>
        </w:tc>
        <w:tc>
          <w:tcPr>
            <w:tcW w:type="dxa" w:w="2256"/>
            <w:shd w:val="clear" w:color="auto" w:fill="D6E4F0"/>
          </w:tcPr>
          <w:p>
            <w:pPr>
              <w:jc w:val="center"/>
            </w:pPr>
            <w:r>
              <w:rPr>
                <w:rFonts w:ascii="Times New Roman" w:hAnsi="Times New Roman"/>
                <w:sz w:val="20"/>
              </w:rPr>
              <w:t>13,600</w:t>
            </w:r>
          </w:p>
        </w:tc>
        <w:tc>
          <w:tcPr>
            <w:tcW w:type="dxa" w:w="2256"/>
            <w:shd w:val="clear" w:color="auto" w:fill="D6E4F0"/>
          </w:tcPr>
          <w:p>
            <w:pPr>
              <w:jc w:val="center"/>
            </w:pPr>
            <w:r>
              <w:rPr>
                <w:rFonts w:ascii="Times New Roman" w:hAnsi="Times New Roman"/>
                <w:sz w:val="20"/>
              </w:rPr>
              <w:t>15,300</w:t>
            </w:r>
          </w:p>
        </w:tc>
        <w:tc>
          <w:tcPr>
            <w:tcW w:type="dxa" w:w="2256"/>
            <w:shd w:val="clear" w:color="auto" w:fill="D6E4F0"/>
          </w:tcPr>
          <w:p>
            <w:pPr>
              <w:jc w:val="center"/>
            </w:pPr>
            <w:r>
              <w:rPr>
                <w:rFonts w:ascii="Times New Roman" w:hAnsi="Times New Roman"/>
                <w:sz w:val="20"/>
              </w:rPr>
              <w:t>18,000</w:t>
            </w:r>
          </w:p>
        </w:tc>
      </w:tr>
      <w:tr>
        <w:tc>
          <w:tcPr>
            <w:tcW w:type="dxa" w:w="2256"/>
            <w:shd w:val="clear" w:color="auto" w:fill="FFFFFF"/>
          </w:tcPr>
          <w:p>
            <w:pPr>
              <w:jc w:val="center"/>
            </w:pPr>
            <w:r>
              <w:rPr>
                <w:rFonts w:ascii="Times New Roman" w:hAnsi="Times New Roman"/>
                <w:sz w:val="20"/>
              </w:rPr>
              <w:t>Total Liabilities &amp; Equity</w:t>
            </w:r>
          </w:p>
        </w:tc>
        <w:tc>
          <w:tcPr>
            <w:tcW w:type="dxa" w:w="2256"/>
            <w:shd w:val="clear" w:color="auto" w:fill="FFFFFF"/>
          </w:tcPr>
          <w:p>
            <w:pPr>
              <w:jc w:val="center"/>
            </w:pPr>
            <w:r>
              <w:rPr>
                <w:rFonts w:ascii="Times New Roman" w:hAnsi="Times New Roman"/>
                <w:sz w:val="20"/>
              </w:rPr>
              <w:t>21,300</w:t>
            </w:r>
          </w:p>
        </w:tc>
        <w:tc>
          <w:tcPr>
            <w:tcW w:type="dxa" w:w="2256"/>
            <w:shd w:val="clear" w:color="auto" w:fill="FFFFFF"/>
          </w:tcPr>
          <w:p>
            <w:pPr>
              <w:jc w:val="center"/>
            </w:pPr>
            <w:r>
              <w:rPr>
                <w:rFonts w:ascii="Times New Roman" w:hAnsi="Times New Roman"/>
                <w:sz w:val="20"/>
              </w:rPr>
              <w:t>23,900</w:t>
            </w:r>
          </w:p>
        </w:tc>
        <w:tc>
          <w:tcPr>
            <w:tcW w:type="dxa" w:w="2256"/>
            <w:shd w:val="clear" w:color="auto" w:fill="FFFFFF"/>
          </w:tcPr>
          <w:p>
            <w:pPr>
              <w:jc w:val="center"/>
            </w:pPr>
            <w:r>
              <w:rPr>
                <w:rFonts w:ascii="Times New Roman" w:hAnsi="Times New Roman"/>
                <w:sz w:val="20"/>
              </w:rPr>
              <w:t>27,700</w:t>
            </w:r>
          </w:p>
        </w:tc>
      </w:tr>
    </w:tbl>
    <w:p>
      <w:pPr>
        <w:spacing w:before="60" w:after="120" w:line="360" w:lineRule="auto"/>
        <w:jc w:val="center"/>
      </w:pPr>
      <w:r>
        <w:rPr>
          <w:rFonts w:ascii="Times New Roman" w:hAnsi="Times New Roman"/>
          <w:b w:val="0"/>
          <w:i/>
          <w:sz w:val="24"/>
        </w:rPr>
        <w:t>Table 2: Estimated Balance Sheet — Beaconhouse School System (FY 2022–2024)</w:t>
      </w:r>
    </w:p>
    <w:p>
      <w:pPr>
        <w:spacing w:before="280" w:after="120" w:line="360" w:lineRule="auto"/>
        <w:jc w:val="left"/>
      </w:pPr>
      <w:r>
        <w:rPr>
          <w:rFonts w:ascii="Times New Roman" w:hAnsi="Times New Roman"/>
          <w:b/>
          <w:color w:val="1F3864"/>
          <w:sz w:val="24"/>
        </w:rPr>
        <w:t>Vertical Analysis (Common-Size Financial Statements)</w:t>
      </w:r>
    </w:p>
    <w:p>
      <w:pPr>
        <w:spacing w:before="120" w:after="120" w:line="360" w:lineRule="auto"/>
        <w:jc w:val="both"/>
      </w:pPr>
      <w:r>
        <w:rPr>
          <w:rFonts w:ascii="Times New Roman" w:hAnsi="Times New Roman"/>
          <w:b w:val="0"/>
          <w:i w:val="0"/>
          <w:sz w:val="24"/>
        </w:rPr>
        <w:t>Vertical analysis, also known as common-size analysis, expresses each line item of a financial statement as a percentage of a base figure — typically total revenue for the income statement and total assets for the balance sheet. This method facilitates comparison across years and with industry peers, irrespective of absolute size differences.</w:t>
      </w:r>
    </w:p>
    <w:p>
      <w:pPr>
        <w:spacing w:before="120" w:after="40" w:line="360" w:lineRule="auto"/>
        <w:jc w:val="both"/>
      </w:pPr>
      <w:r>
        <w:rPr>
          <w:rFonts w:ascii="Times New Roman" w:hAnsi="Times New Roman"/>
          <w:b/>
          <w:i w:val="0"/>
          <w:sz w:val="24"/>
        </w:rPr>
        <w:t>Vertical Analysis — Income Statement (FY 2024 Base: Total Revenue = PKR 26,500 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1F3864"/>
          </w:tcPr>
          <w:p>
            <w:pPr>
              <w:jc w:val="center"/>
            </w:pPr>
            <w:r>
              <w:rPr>
                <w:rFonts w:ascii="Times New Roman" w:hAnsi="Times New Roman"/>
                <w:b/>
                <w:color w:val="FFFFFF"/>
                <w:sz w:val="20"/>
              </w:rPr>
              <w:t>Item</w:t>
            </w:r>
          </w:p>
        </w:tc>
        <w:tc>
          <w:tcPr>
            <w:tcW w:type="dxa" w:w="3009"/>
            <w:shd w:val="clear" w:color="auto" w:fill="1F3864"/>
          </w:tcPr>
          <w:p>
            <w:pPr>
              <w:jc w:val="center"/>
            </w:pPr>
            <w:r>
              <w:rPr>
                <w:rFonts w:ascii="Times New Roman" w:hAnsi="Times New Roman"/>
                <w:b/>
                <w:color w:val="FFFFFF"/>
                <w:sz w:val="20"/>
              </w:rPr>
              <w:t>PKR Million</w:t>
            </w:r>
          </w:p>
        </w:tc>
        <w:tc>
          <w:tcPr>
            <w:tcW w:type="dxa" w:w="3009"/>
            <w:shd w:val="clear" w:color="auto" w:fill="1F3864"/>
          </w:tcPr>
          <w:p>
            <w:pPr>
              <w:jc w:val="center"/>
            </w:pPr>
            <w:r>
              <w:rPr>
                <w:rFonts w:ascii="Times New Roman" w:hAnsi="Times New Roman"/>
                <w:b/>
                <w:color w:val="FFFFFF"/>
                <w:sz w:val="20"/>
              </w:rPr>
              <w:t>% of Total Revenue</w:t>
            </w:r>
          </w:p>
        </w:tc>
      </w:tr>
      <w:tr>
        <w:tc>
          <w:tcPr>
            <w:tcW w:type="dxa" w:w="3009"/>
            <w:shd w:val="clear" w:color="auto" w:fill="D6E4F0"/>
          </w:tcPr>
          <w:p>
            <w:pPr>
              <w:jc w:val="center"/>
            </w:pPr>
            <w:r>
              <w:rPr>
                <w:rFonts w:ascii="Times New Roman" w:hAnsi="Times New Roman"/>
                <w:sz w:val="20"/>
              </w:rPr>
              <w:t>Total Revenue</w:t>
            </w:r>
          </w:p>
        </w:tc>
        <w:tc>
          <w:tcPr>
            <w:tcW w:type="dxa" w:w="3009"/>
            <w:shd w:val="clear" w:color="auto" w:fill="D6E4F0"/>
          </w:tcPr>
          <w:p>
            <w:pPr>
              <w:jc w:val="center"/>
            </w:pPr>
            <w:r>
              <w:rPr>
                <w:rFonts w:ascii="Times New Roman" w:hAnsi="Times New Roman"/>
                <w:sz w:val="20"/>
              </w:rPr>
              <w:t>26,500</w:t>
            </w:r>
          </w:p>
        </w:tc>
        <w:tc>
          <w:tcPr>
            <w:tcW w:type="dxa" w:w="3009"/>
            <w:shd w:val="clear" w:color="auto" w:fill="D6E4F0"/>
          </w:tcPr>
          <w:p>
            <w:pPr>
              <w:jc w:val="center"/>
            </w:pPr>
            <w:r>
              <w:rPr>
                <w:rFonts w:ascii="Times New Roman" w:hAnsi="Times New Roman"/>
                <w:sz w:val="20"/>
              </w:rPr>
              <w:t>100.0%</w:t>
            </w:r>
          </w:p>
        </w:tc>
      </w:tr>
      <w:tr>
        <w:tc>
          <w:tcPr>
            <w:tcW w:type="dxa" w:w="3009"/>
            <w:shd w:val="clear" w:color="auto" w:fill="FFFFFF"/>
          </w:tcPr>
          <w:p>
            <w:pPr>
              <w:jc w:val="center"/>
            </w:pPr>
            <w:r>
              <w:rPr>
                <w:rFonts w:ascii="Times New Roman" w:hAnsi="Times New Roman"/>
                <w:sz w:val="20"/>
              </w:rPr>
              <w:t>Staff Salaries &amp; Benefits</w:t>
            </w:r>
          </w:p>
        </w:tc>
        <w:tc>
          <w:tcPr>
            <w:tcW w:type="dxa" w:w="3009"/>
            <w:shd w:val="clear" w:color="auto" w:fill="FFFFFF"/>
          </w:tcPr>
          <w:p>
            <w:pPr>
              <w:jc w:val="center"/>
            </w:pPr>
            <w:r>
              <w:rPr>
                <w:rFonts w:ascii="Times New Roman" w:hAnsi="Times New Roman"/>
                <w:sz w:val="20"/>
              </w:rPr>
              <w:t>14,575</w:t>
            </w:r>
          </w:p>
        </w:tc>
        <w:tc>
          <w:tcPr>
            <w:tcW w:type="dxa" w:w="3009"/>
            <w:shd w:val="clear" w:color="auto" w:fill="FFFFFF"/>
          </w:tcPr>
          <w:p>
            <w:pPr>
              <w:jc w:val="center"/>
            </w:pPr>
            <w:r>
              <w:rPr>
                <w:rFonts w:ascii="Times New Roman" w:hAnsi="Times New Roman"/>
                <w:sz w:val="20"/>
              </w:rPr>
              <w:t>55.0%</w:t>
            </w:r>
          </w:p>
        </w:tc>
      </w:tr>
      <w:tr>
        <w:tc>
          <w:tcPr>
            <w:tcW w:type="dxa" w:w="3009"/>
            <w:shd w:val="clear" w:color="auto" w:fill="D6E4F0"/>
          </w:tcPr>
          <w:p>
            <w:pPr>
              <w:jc w:val="center"/>
            </w:pPr>
            <w:r>
              <w:rPr>
                <w:rFonts w:ascii="Times New Roman" w:hAnsi="Times New Roman"/>
                <w:sz w:val="20"/>
              </w:rPr>
              <w:t>Campus Operations &amp; Utilities</w:t>
            </w:r>
          </w:p>
        </w:tc>
        <w:tc>
          <w:tcPr>
            <w:tcW w:type="dxa" w:w="3009"/>
            <w:shd w:val="clear" w:color="auto" w:fill="D6E4F0"/>
          </w:tcPr>
          <w:p>
            <w:pPr>
              <w:jc w:val="center"/>
            </w:pPr>
            <w:r>
              <w:rPr>
                <w:rFonts w:ascii="Times New Roman" w:hAnsi="Times New Roman"/>
                <w:sz w:val="20"/>
              </w:rPr>
              <w:t>3,975</w:t>
            </w:r>
          </w:p>
        </w:tc>
        <w:tc>
          <w:tcPr>
            <w:tcW w:type="dxa" w:w="3009"/>
            <w:shd w:val="clear" w:color="auto" w:fill="D6E4F0"/>
          </w:tcPr>
          <w:p>
            <w:pPr>
              <w:jc w:val="center"/>
            </w:pPr>
            <w:r>
              <w:rPr>
                <w:rFonts w:ascii="Times New Roman" w:hAnsi="Times New Roman"/>
                <w:sz w:val="20"/>
              </w:rPr>
              <w:t>15.0%</w:t>
            </w:r>
          </w:p>
        </w:tc>
      </w:tr>
      <w:tr>
        <w:tc>
          <w:tcPr>
            <w:tcW w:type="dxa" w:w="3009"/>
            <w:shd w:val="clear" w:color="auto" w:fill="FFFFFF"/>
          </w:tcPr>
          <w:p>
            <w:pPr>
              <w:jc w:val="center"/>
            </w:pPr>
            <w:r>
              <w:rPr>
                <w:rFonts w:ascii="Times New Roman" w:hAnsi="Times New Roman"/>
                <w:sz w:val="20"/>
              </w:rPr>
              <w:t>Academic Materials &amp; Exam Fees</w:t>
            </w:r>
          </w:p>
        </w:tc>
        <w:tc>
          <w:tcPr>
            <w:tcW w:type="dxa" w:w="3009"/>
            <w:shd w:val="clear" w:color="auto" w:fill="FFFFFF"/>
          </w:tcPr>
          <w:p>
            <w:pPr>
              <w:jc w:val="center"/>
            </w:pPr>
            <w:r>
              <w:rPr>
                <w:rFonts w:ascii="Times New Roman" w:hAnsi="Times New Roman"/>
                <w:sz w:val="20"/>
              </w:rPr>
              <w:t>2,650</w:t>
            </w:r>
          </w:p>
        </w:tc>
        <w:tc>
          <w:tcPr>
            <w:tcW w:type="dxa" w:w="3009"/>
            <w:shd w:val="clear" w:color="auto" w:fill="FFFFFF"/>
          </w:tcPr>
          <w:p>
            <w:pPr>
              <w:jc w:val="center"/>
            </w:pPr>
            <w:r>
              <w:rPr>
                <w:rFonts w:ascii="Times New Roman" w:hAnsi="Times New Roman"/>
                <w:sz w:val="20"/>
              </w:rPr>
              <w:t>10.0%</w:t>
            </w:r>
          </w:p>
        </w:tc>
      </w:tr>
      <w:tr>
        <w:tc>
          <w:tcPr>
            <w:tcW w:type="dxa" w:w="3009"/>
            <w:shd w:val="clear" w:color="auto" w:fill="D6E4F0"/>
          </w:tcPr>
          <w:p>
            <w:pPr>
              <w:jc w:val="center"/>
            </w:pPr>
            <w:r>
              <w:rPr>
                <w:rFonts w:ascii="Times New Roman" w:hAnsi="Times New Roman"/>
                <w:sz w:val="20"/>
              </w:rPr>
              <w:t>Marketing &amp; Administrative Costs</w:t>
            </w:r>
          </w:p>
        </w:tc>
        <w:tc>
          <w:tcPr>
            <w:tcW w:type="dxa" w:w="3009"/>
            <w:shd w:val="clear" w:color="auto" w:fill="D6E4F0"/>
          </w:tcPr>
          <w:p>
            <w:pPr>
              <w:jc w:val="center"/>
            </w:pPr>
            <w:r>
              <w:rPr>
                <w:rFonts w:ascii="Times New Roman" w:hAnsi="Times New Roman"/>
                <w:sz w:val="20"/>
              </w:rPr>
              <w:t>1,325</w:t>
            </w:r>
          </w:p>
        </w:tc>
        <w:tc>
          <w:tcPr>
            <w:tcW w:type="dxa" w:w="3009"/>
            <w:shd w:val="clear" w:color="auto" w:fill="D6E4F0"/>
          </w:tcPr>
          <w:p>
            <w:pPr>
              <w:jc w:val="center"/>
            </w:pPr>
            <w:r>
              <w:rPr>
                <w:rFonts w:ascii="Times New Roman" w:hAnsi="Times New Roman"/>
                <w:sz w:val="20"/>
              </w:rPr>
              <w:t>5.0%</w:t>
            </w:r>
          </w:p>
        </w:tc>
      </w:tr>
      <w:tr>
        <w:tc>
          <w:tcPr>
            <w:tcW w:type="dxa" w:w="3009"/>
            <w:shd w:val="clear" w:color="auto" w:fill="FFFFFF"/>
          </w:tcPr>
          <w:p>
            <w:pPr>
              <w:jc w:val="center"/>
            </w:pPr>
            <w:r>
              <w:rPr>
                <w:rFonts w:ascii="Times New Roman" w:hAnsi="Times New Roman"/>
                <w:sz w:val="20"/>
              </w:rPr>
              <w:t>Total Operating Expenses</w:t>
            </w:r>
          </w:p>
        </w:tc>
        <w:tc>
          <w:tcPr>
            <w:tcW w:type="dxa" w:w="3009"/>
            <w:shd w:val="clear" w:color="auto" w:fill="FFFFFF"/>
          </w:tcPr>
          <w:p>
            <w:pPr>
              <w:jc w:val="center"/>
            </w:pPr>
            <w:r>
              <w:rPr>
                <w:rFonts w:ascii="Times New Roman" w:hAnsi="Times New Roman"/>
                <w:sz w:val="20"/>
              </w:rPr>
              <w:t>22,525</w:t>
            </w:r>
          </w:p>
        </w:tc>
        <w:tc>
          <w:tcPr>
            <w:tcW w:type="dxa" w:w="3009"/>
            <w:shd w:val="clear" w:color="auto" w:fill="FFFFFF"/>
          </w:tcPr>
          <w:p>
            <w:pPr>
              <w:jc w:val="center"/>
            </w:pPr>
            <w:r>
              <w:rPr>
                <w:rFonts w:ascii="Times New Roman" w:hAnsi="Times New Roman"/>
                <w:sz w:val="20"/>
              </w:rPr>
              <w:t>85.0%</w:t>
            </w:r>
          </w:p>
        </w:tc>
      </w:tr>
      <w:tr>
        <w:tc>
          <w:tcPr>
            <w:tcW w:type="dxa" w:w="3009"/>
            <w:shd w:val="clear" w:color="auto" w:fill="D6E4F0"/>
          </w:tcPr>
          <w:p>
            <w:pPr>
              <w:jc w:val="center"/>
            </w:pPr>
            <w:r>
              <w:rPr>
                <w:rFonts w:ascii="Times New Roman" w:hAnsi="Times New Roman"/>
                <w:sz w:val="20"/>
              </w:rPr>
              <w:t>Operating Profit (EBIT)</w:t>
            </w:r>
          </w:p>
        </w:tc>
        <w:tc>
          <w:tcPr>
            <w:tcW w:type="dxa" w:w="3009"/>
            <w:shd w:val="clear" w:color="auto" w:fill="D6E4F0"/>
          </w:tcPr>
          <w:p>
            <w:pPr>
              <w:jc w:val="center"/>
            </w:pPr>
            <w:r>
              <w:rPr>
                <w:rFonts w:ascii="Times New Roman" w:hAnsi="Times New Roman"/>
                <w:sz w:val="20"/>
              </w:rPr>
              <w:t>3,975</w:t>
            </w:r>
          </w:p>
        </w:tc>
        <w:tc>
          <w:tcPr>
            <w:tcW w:type="dxa" w:w="3009"/>
            <w:shd w:val="clear" w:color="auto" w:fill="D6E4F0"/>
          </w:tcPr>
          <w:p>
            <w:pPr>
              <w:jc w:val="center"/>
            </w:pPr>
            <w:r>
              <w:rPr>
                <w:rFonts w:ascii="Times New Roman" w:hAnsi="Times New Roman"/>
                <w:sz w:val="20"/>
              </w:rPr>
              <w:t>15.0%</w:t>
            </w:r>
          </w:p>
        </w:tc>
      </w:tr>
      <w:tr>
        <w:tc>
          <w:tcPr>
            <w:tcW w:type="dxa" w:w="3009"/>
            <w:shd w:val="clear" w:color="auto" w:fill="FFFFFF"/>
          </w:tcPr>
          <w:p>
            <w:pPr>
              <w:jc w:val="center"/>
            </w:pPr>
            <w:r>
              <w:rPr>
                <w:rFonts w:ascii="Times New Roman" w:hAnsi="Times New Roman"/>
                <w:sz w:val="20"/>
              </w:rPr>
              <w:t>Net Profit</w:t>
            </w:r>
          </w:p>
        </w:tc>
        <w:tc>
          <w:tcPr>
            <w:tcW w:type="dxa" w:w="3009"/>
            <w:shd w:val="clear" w:color="auto" w:fill="FFFFFF"/>
          </w:tcPr>
          <w:p>
            <w:pPr>
              <w:jc w:val="center"/>
            </w:pPr>
            <w:r>
              <w:rPr>
                <w:rFonts w:ascii="Times New Roman" w:hAnsi="Times New Roman"/>
                <w:sz w:val="20"/>
              </w:rPr>
              <w:t>2,782</w:t>
            </w:r>
          </w:p>
        </w:tc>
        <w:tc>
          <w:tcPr>
            <w:tcW w:type="dxa" w:w="3009"/>
            <w:shd w:val="clear" w:color="auto" w:fill="FFFFFF"/>
          </w:tcPr>
          <w:p>
            <w:pPr>
              <w:jc w:val="center"/>
            </w:pPr>
            <w:r>
              <w:rPr>
                <w:rFonts w:ascii="Times New Roman" w:hAnsi="Times New Roman"/>
                <w:sz w:val="20"/>
              </w:rPr>
              <w:t>10.5%</w:t>
            </w:r>
          </w:p>
        </w:tc>
      </w:tr>
    </w:tbl>
    <w:p>
      <w:pPr>
        <w:spacing w:before="60" w:after="120" w:line="360" w:lineRule="auto"/>
        <w:jc w:val="center"/>
      </w:pPr>
      <w:r>
        <w:rPr>
          <w:rFonts w:ascii="Times New Roman" w:hAnsi="Times New Roman"/>
          <w:b w:val="0"/>
          <w:i/>
          <w:sz w:val="24"/>
        </w:rPr>
        <w:t>Table 3: Common-Size Income Statement — FY 2024</w:t>
      </w:r>
    </w:p>
    <w:p>
      <w:pPr>
        <w:spacing w:before="120" w:after="120" w:line="360" w:lineRule="auto"/>
        <w:jc w:val="both"/>
      </w:pPr>
      <w:r>
        <w:rPr>
          <w:rFonts w:ascii="Times New Roman" w:hAnsi="Times New Roman"/>
          <w:b w:val="0"/>
          <w:i w:val="0"/>
          <w:sz w:val="24"/>
        </w:rPr>
        <w:t>The vertical analysis reveals that staff salaries and benefits represent the single largest cost driver at 55% of total revenue, which is consistent with the human-capital-intensive nature of the education sector. Campus operations account for a further 15%, reflecting the significant infrastructure requirements of a 330+ campus network. The net profit margin of approximately 10.5% is indicative of a financially healthy private educational institution. The operating profit margin of 15.0% demonstrates that Beaconhouse maintains effective cost discipline relative to its revenue base.</w:t>
      </w:r>
    </w:p>
    <w:p>
      <w:pPr>
        <w:spacing w:before="120" w:after="40" w:line="360" w:lineRule="auto"/>
        <w:jc w:val="both"/>
      </w:pPr>
      <w:r>
        <w:rPr>
          <w:rFonts w:ascii="Times New Roman" w:hAnsi="Times New Roman"/>
          <w:b/>
          <w:i w:val="0"/>
          <w:sz w:val="24"/>
        </w:rPr>
        <w:t>Vertical Analysis — Balance Sheet (FY 2024 Base: Total Assets = PKR 27,700 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1F3864"/>
          </w:tcPr>
          <w:p>
            <w:pPr>
              <w:jc w:val="center"/>
            </w:pPr>
            <w:r>
              <w:rPr>
                <w:rFonts w:ascii="Times New Roman" w:hAnsi="Times New Roman"/>
                <w:b/>
                <w:color w:val="FFFFFF"/>
                <w:sz w:val="20"/>
              </w:rPr>
              <w:t>Item</w:t>
            </w:r>
          </w:p>
        </w:tc>
        <w:tc>
          <w:tcPr>
            <w:tcW w:type="dxa" w:w="3009"/>
            <w:shd w:val="clear" w:color="auto" w:fill="1F3864"/>
          </w:tcPr>
          <w:p>
            <w:pPr>
              <w:jc w:val="center"/>
            </w:pPr>
            <w:r>
              <w:rPr>
                <w:rFonts w:ascii="Times New Roman" w:hAnsi="Times New Roman"/>
                <w:b/>
                <w:color w:val="FFFFFF"/>
                <w:sz w:val="20"/>
              </w:rPr>
              <w:t>PKR Million</w:t>
            </w:r>
          </w:p>
        </w:tc>
        <w:tc>
          <w:tcPr>
            <w:tcW w:type="dxa" w:w="3009"/>
            <w:shd w:val="clear" w:color="auto" w:fill="1F3864"/>
          </w:tcPr>
          <w:p>
            <w:pPr>
              <w:jc w:val="center"/>
            </w:pPr>
            <w:r>
              <w:rPr>
                <w:rFonts w:ascii="Times New Roman" w:hAnsi="Times New Roman"/>
                <w:b/>
                <w:color w:val="FFFFFF"/>
                <w:sz w:val="20"/>
              </w:rPr>
              <w:t>% of Total Assets</w:t>
            </w:r>
          </w:p>
        </w:tc>
      </w:tr>
      <w:tr>
        <w:tc>
          <w:tcPr>
            <w:tcW w:type="dxa" w:w="3009"/>
            <w:shd w:val="clear" w:color="auto" w:fill="D6E4F0"/>
          </w:tcPr>
          <w:p>
            <w:pPr>
              <w:jc w:val="center"/>
            </w:pPr>
            <w:r>
              <w:rPr>
                <w:rFonts w:ascii="Times New Roman" w:hAnsi="Times New Roman"/>
                <w:sz w:val="20"/>
              </w:rPr>
              <w:t>Current Assets</w:t>
            </w:r>
          </w:p>
        </w:tc>
        <w:tc>
          <w:tcPr>
            <w:tcW w:type="dxa" w:w="3009"/>
            <w:shd w:val="clear" w:color="auto" w:fill="D6E4F0"/>
          </w:tcPr>
          <w:p>
            <w:pPr>
              <w:jc w:val="center"/>
            </w:pPr>
            <w:r>
              <w:rPr>
                <w:rFonts w:ascii="Times New Roman" w:hAnsi="Times New Roman"/>
                <w:sz w:val="20"/>
              </w:rPr>
              <w:t>9,200</w:t>
            </w:r>
          </w:p>
        </w:tc>
        <w:tc>
          <w:tcPr>
            <w:tcW w:type="dxa" w:w="3009"/>
            <w:shd w:val="clear" w:color="auto" w:fill="D6E4F0"/>
          </w:tcPr>
          <w:p>
            <w:pPr>
              <w:jc w:val="center"/>
            </w:pPr>
            <w:r>
              <w:rPr>
                <w:rFonts w:ascii="Times New Roman" w:hAnsi="Times New Roman"/>
                <w:sz w:val="20"/>
              </w:rPr>
              <w:t>33.2%</w:t>
            </w:r>
          </w:p>
        </w:tc>
      </w:tr>
      <w:tr>
        <w:tc>
          <w:tcPr>
            <w:tcW w:type="dxa" w:w="3009"/>
            <w:shd w:val="clear" w:color="auto" w:fill="FFFFFF"/>
          </w:tcPr>
          <w:p>
            <w:pPr>
              <w:jc w:val="center"/>
            </w:pPr>
            <w:r>
              <w:rPr>
                <w:rFonts w:ascii="Times New Roman" w:hAnsi="Times New Roman"/>
                <w:sz w:val="20"/>
              </w:rPr>
              <w:t>Cash &amp; Cash Equivalents</w:t>
            </w:r>
          </w:p>
        </w:tc>
        <w:tc>
          <w:tcPr>
            <w:tcW w:type="dxa" w:w="3009"/>
            <w:shd w:val="clear" w:color="auto" w:fill="FFFFFF"/>
          </w:tcPr>
          <w:p>
            <w:pPr>
              <w:jc w:val="center"/>
            </w:pPr>
            <w:r>
              <w:rPr>
                <w:rFonts w:ascii="Times New Roman" w:hAnsi="Times New Roman"/>
                <w:sz w:val="20"/>
              </w:rPr>
              <w:t>3,300</w:t>
            </w:r>
          </w:p>
        </w:tc>
        <w:tc>
          <w:tcPr>
            <w:tcW w:type="dxa" w:w="3009"/>
            <w:shd w:val="clear" w:color="auto" w:fill="FFFFFF"/>
          </w:tcPr>
          <w:p>
            <w:pPr>
              <w:jc w:val="center"/>
            </w:pPr>
            <w:r>
              <w:rPr>
                <w:rFonts w:ascii="Times New Roman" w:hAnsi="Times New Roman"/>
                <w:sz w:val="20"/>
              </w:rPr>
              <w:t>11.9%</w:t>
            </w:r>
          </w:p>
        </w:tc>
      </w:tr>
      <w:tr>
        <w:tc>
          <w:tcPr>
            <w:tcW w:type="dxa" w:w="3009"/>
            <w:shd w:val="clear" w:color="auto" w:fill="D6E4F0"/>
          </w:tcPr>
          <w:p>
            <w:pPr>
              <w:jc w:val="center"/>
            </w:pPr>
            <w:r>
              <w:rPr>
                <w:rFonts w:ascii="Times New Roman" w:hAnsi="Times New Roman"/>
                <w:sz w:val="20"/>
              </w:rPr>
              <w:t>Accounts Receivable (Fees)</w:t>
            </w:r>
          </w:p>
        </w:tc>
        <w:tc>
          <w:tcPr>
            <w:tcW w:type="dxa" w:w="3009"/>
            <w:shd w:val="clear" w:color="auto" w:fill="D6E4F0"/>
          </w:tcPr>
          <w:p>
            <w:pPr>
              <w:jc w:val="center"/>
            </w:pPr>
            <w:r>
              <w:rPr>
                <w:rFonts w:ascii="Times New Roman" w:hAnsi="Times New Roman"/>
                <w:sz w:val="20"/>
              </w:rPr>
              <w:t>4,300</w:t>
            </w:r>
          </w:p>
        </w:tc>
        <w:tc>
          <w:tcPr>
            <w:tcW w:type="dxa" w:w="3009"/>
            <w:shd w:val="clear" w:color="auto" w:fill="D6E4F0"/>
          </w:tcPr>
          <w:p>
            <w:pPr>
              <w:jc w:val="center"/>
            </w:pPr>
            <w:r>
              <w:rPr>
                <w:rFonts w:ascii="Times New Roman" w:hAnsi="Times New Roman"/>
                <w:sz w:val="20"/>
              </w:rPr>
              <w:t>15.5%</w:t>
            </w:r>
          </w:p>
        </w:tc>
      </w:tr>
      <w:tr>
        <w:tc>
          <w:tcPr>
            <w:tcW w:type="dxa" w:w="3009"/>
            <w:shd w:val="clear" w:color="auto" w:fill="FFFFFF"/>
          </w:tcPr>
          <w:p>
            <w:pPr>
              <w:jc w:val="center"/>
            </w:pPr>
            <w:r>
              <w:rPr>
                <w:rFonts w:ascii="Times New Roman" w:hAnsi="Times New Roman"/>
                <w:sz w:val="20"/>
              </w:rPr>
              <w:t>Prepayments &amp; Other</w:t>
            </w:r>
          </w:p>
        </w:tc>
        <w:tc>
          <w:tcPr>
            <w:tcW w:type="dxa" w:w="3009"/>
            <w:shd w:val="clear" w:color="auto" w:fill="FFFFFF"/>
          </w:tcPr>
          <w:p>
            <w:pPr>
              <w:jc w:val="center"/>
            </w:pPr>
            <w:r>
              <w:rPr>
                <w:rFonts w:ascii="Times New Roman" w:hAnsi="Times New Roman"/>
                <w:sz w:val="20"/>
              </w:rPr>
              <w:t>1,600</w:t>
            </w:r>
          </w:p>
        </w:tc>
        <w:tc>
          <w:tcPr>
            <w:tcW w:type="dxa" w:w="3009"/>
            <w:shd w:val="clear" w:color="auto" w:fill="FFFFFF"/>
          </w:tcPr>
          <w:p>
            <w:pPr>
              <w:jc w:val="center"/>
            </w:pPr>
            <w:r>
              <w:rPr>
                <w:rFonts w:ascii="Times New Roman" w:hAnsi="Times New Roman"/>
                <w:sz w:val="20"/>
              </w:rPr>
              <w:t>5.8%</w:t>
            </w:r>
          </w:p>
        </w:tc>
      </w:tr>
      <w:tr>
        <w:tc>
          <w:tcPr>
            <w:tcW w:type="dxa" w:w="3009"/>
            <w:shd w:val="clear" w:color="auto" w:fill="D6E4F0"/>
          </w:tcPr>
          <w:p>
            <w:pPr>
              <w:jc w:val="center"/>
            </w:pPr>
            <w:r>
              <w:rPr>
                <w:rFonts w:ascii="Times New Roman" w:hAnsi="Times New Roman"/>
                <w:sz w:val="20"/>
              </w:rPr>
              <w:t>Non-Current Assets</w:t>
            </w:r>
          </w:p>
        </w:tc>
        <w:tc>
          <w:tcPr>
            <w:tcW w:type="dxa" w:w="3009"/>
            <w:shd w:val="clear" w:color="auto" w:fill="D6E4F0"/>
          </w:tcPr>
          <w:p>
            <w:pPr>
              <w:jc w:val="center"/>
            </w:pPr>
            <w:r>
              <w:rPr>
                <w:rFonts w:ascii="Times New Roman" w:hAnsi="Times New Roman"/>
                <w:sz w:val="20"/>
              </w:rPr>
              <w:t>18,500</w:t>
            </w:r>
          </w:p>
        </w:tc>
        <w:tc>
          <w:tcPr>
            <w:tcW w:type="dxa" w:w="3009"/>
            <w:shd w:val="clear" w:color="auto" w:fill="D6E4F0"/>
          </w:tcPr>
          <w:p>
            <w:pPr>
              <w:jc w:val="center"/>
            </w:pPr>
            <w:r>
              <w:rPr>
                <w:rFonts w:ascii="Times New Roman" w:hAnsi="Times New Roman"/>
                <w:sz w:val="20"/>
              </w:rPr>
              <w:t>66.8%</w:t>
            </w:r>
          </w:p>
        </w:tc>
      </w:tr>
      <w:tr>
        <w:tc>
          <w:tcPr>
            <w:tcW w:type="dxa" w:w="3009"/>
            <w:shd w:val="clear" w:color="auto" w:fill="FFFFFF"/>
          </w:tcPr>
          <w:p>
            <w:pPr>
              <w:jc w:val="center"/>
            </w:pPr>
            <w:r>
              <w:rPr>
                <w:rFonts w:ascii="Times New Roman" w:hAnsi="Times New Roman"/>
                <w:sz w:val="20"/>
              </w:rPr>
              <w:t>Total Assets</w:t>
            </w:r>
          </w:p>
        </w:tc>
        <w:tc>
          <w:tcPr>
            <w:tcW w:type="dxa" w:w="3009"/>
            <w:shd w:val="clear" w:color="auto" w:fill="FFFFFF"/>
          </w:tcPr>
          <w:p>
            <w:pPr>
              <w:jc w:val="center"/>
            </w:pPr>
            <w:r>
              <w:rPr>
                <w:rFonts w:ascii="Times New Roman" w:hAnsi="Times New Roman"/>
                <w:sz w:val="20"/>
              </w:rPr>
              <w:t>27,700</w:t>
            </w:r>
          </w:p>
        </w:tc>
        <w:tc>
          <w:tcPr>
            <w:tcW w:type="dxa" w:w="3009"/>
            <w:shd w:val="clear" w:color="auto" w:fill="FFFFFF"/>
          </w:tcPr>
          <w:p>
            <w:pPr>
              <w:jc w:val="center"/>
            </w:pPr>
            <w:r>
              <w:rPr>
                <w:rFonts w:ascii="Times New Roman" w:hAnsi="Times New Roman"/>
                <w:sz w:val="20"/>
              </w:rPr>
              <w:t>100.0%</w:t>
            </w:r>
          </w:p>
        </w:tc>
      </w:tr>
      <w:tr>
        <w:tc>
          <w:tcPr>
            <w:tcW w:type="dxa" w:w="3009"/>
            <w:shd w:val="clear" w:color="auto" w:fill="D6E4F0"/>
          </w:tcPr>
          <w:p>
            <w:pPr>
              <w:jc w:val="center"/>
            </w:pPr>
            <w:r>
              <w:rPr>
                <w:rFonts w:ascii="Times New Roman" w:hAnsi="Times New Roman"/>
                <w:sz w:val="20"/>
              </w:rPr>
              <w:t>Current Liabilities</w:t>
            </w:r>
          </w:p>
        </w:tc>
        <w:tc>
          <w:tcPr>
            <w:tcW w:type="dxa" w:w="3009"/>
            <w:shd w:val="clear" w:color="auto" w:fill="D6E4F0"/>
          </w:tcPr>
          <w:p>
            <w:pPr>
              <w:jc w:val="center"/>
            </w:pPr>
            <w:r>
              <w:rPr>
                <w:rFonts w:ascii="Times New Roman" w:hAnsi="Times New Roman"/>
                <w:sz w:val="20"/>
              </w:rPr>
              <w:t>5,500</w:t>
            </w:r>
          </w:p>
        </w:tc>
        <w:tc>
          <w:tcPr>
            <w:tcW w:type="dxa" w:w="3009"/>
            <w:shd w:val="clear" w:color="auto" w:fill="D6E4F0"/>
          </w:tcPr>
          <w:p>
            <w:pPr>
              <w:jc w:val="center"/>
            </w:pPr>
            <w:r>
              <w:rPr>
                <w:rFonts w:ascii="Times New Roman" w:hAnsi="Times New Roman"/>
                <w:sz w:val="20"/>
              </w:rPr>
              <w:t>19.9%</w:t>
            </w:r>
          </w:p>
        </w:tc>
      </w:tr>
      <w:tr>
        <w:tc>
          <w:tcPr>
            <w:tcW w:type="dxa" w:w="3009"/>
            <w:shd w:val="clear" w:color="auto" w:fill="FFFFFF"/>
          </w:tcPr>
          <w:p>
            <w:pPr>
              <w:jc w:val="center"/>
            </w:pPr>
            <w:r>
              <w:rPr>
                <w:rFonts w:ascii="Times New Roman" w:hAnsi="Times New Roman"/>
                <w:sz w:val="20"/>
              </w:rPr>
              <w:t>Non-Current Liabilities</w:t>
            </w:r>
          </w:p>
        </w:tc>
        <w:tc>
          <w:tcPr>
            <w:tcW w:type="dxa" w:w="3009"/>
            <w:shd w:val="clear" w:color="auto" w:fill="FFFFFF"/>
          </w:tcPr>
          <w:p>
            <w:pPr>
              <w:jc w:val="center"/>
            </w:pPr>
            <w:r>
              <w:rPr>
                <w:rFonts w:ascii="Times New Roman" w:hAnsi="Times New Roman"/>
                <w:sz w:val="20"/>
              </w:rPr>
              <w:t>4,200</w:t>
            </w:r>
          </w:p>
        </w:tc>
        <w:tc>
          <w:tcPr>
            <w:tcW w:type="dxa" w:w="3009"/>
            <w:shd w:val="clear" w:color="auto" w:fill="FFFFFF"/>
          </w:tcPr>
          <w:p>
            <w:pPr>
              <w:jc w:val="center"/>
            </w:pPr>
            <w:r>
              <w:rPr>
                <w:rFonts w:ascii="Times New Roman" w:hAnsi="Times New Roman"/>
                <w:sz w:val="20"/>
              </w:rPr>
              <w:t>15.2%</w:t>
            </w:r>
          </w:p>
        </w:tc>
      </w:tr>
      <w:tr>
        <w:tc>
          <w:tcPr>
            <w:tcW w:type="dxa" w:w="3009"/>
            <w:shd w:val="clear" w:color="auto" w:fill="D6E4F0"/>
          </w:tcPr>
          <w:p>
            <w:pPr>
              <w:jc w:val="center"/>
            </w:pPr>
            <w:r>
              <w:rPr>
                <w:rFonts w:ascii="Times New Roman" w:hAnsi="Times New Roman"/>
                <w:sz w:val="20"/>
              </w:rPr>
              <w:t>Total Equity</w:t>
            </w:r>
          </w:p>
        </w:tc>
        <w:tc>
          <w:tcPr>
            <w:tcW w:type="dxa" w:w="3009"/>
            <w:shd w:val="clear" w:color="auto" w:fill="D6E4F0"/>
          </w:tcPr>
          <w:p>
            <w:pPr>
              <w:jc w:val="center"/>
            </w:pPr>
            <w:r>
              <w:rPr>
                <w:rFonts w:ascii="Times New Roman" w:hAnsi="Times New Roman"/>
                <w:sz w:val="20"/>
              </w:rPr>
              <w:t>18,000</w:t>
            </w:r>
          </w:p>
        </w:tc>
        <w:tc>
          <w:tcPr>
            <w:tcW w:type="dxa" w:w="3009"/>
            <w:shd w:val="clear" w:color="auto" w:fill="D6E4F0"/>
          </w:tcPr>
          <w:p>
            <w:pPr>
              <w:jc w:val="center"/>
            </w:pPr>
            <w:r>
              <w:rPr>
                <w:rFonts w:ascii="Times New Roman" w:hAnsi="Times New Roman"/>
                <w:sz w:val="20"/>
              </w:rPr>
              <w:t>65.0%</w:t>
            </w:r>
          </w:p>
        </w:tc>
      </w:tr>
      <w:tr>
        <w:tc>
          <w:tcPr>
            <w:tcW w:type="dxa" w:w="3009"/>
            <w:shd w:val="clear" w:color="auto" w:fill="FFFFFF"/>
          </w:tcPr>
          <w:p>
            <w:pPr>
              <w:jc w:val="center"/>
            </w:pPr>
            <w:r>
              <w:rPr>
                <w:rFonts w:ascii="Times New Roman" w:hAnsi="Times New Roman"/>
                <w:sz w:val="20"/>
              </w:rPr>
              <w:t>Total Liabilities &amp; Equity</w:t>
            </w:r>
          </w:p>
        </w:tc>
        <w:tc>
          <w:tcPr>
            <w:tcW w:type="dxa" w:w="3009"/>
            <w:shd w:val="clear" w:color="auto" w:fill="FFFFFF"/>
          </w:tcPr>
          <w:p>
            <w:pPr>
              <w:jc w:val="center"/>
            </w:pPr>
            <w:r>
              <w:rPr>
                <w:rFonts w:ascii="Times New Roman" w:hAnsi="Times New Roman"/>
                <w:sz w:val="20"/>
              </w:rPr>
              <w:t>27,700</w:t>
            </w:r>
          </w:p>
        </w:tc>
        <w:tc>
          <w:tcPr>
            <w:tcW w:type="dxa" w:w="3009"/>
            <w:shd w:val="clear" w:color="auto" w:fill="FFFFFF"/>
          </w:tcPr>
          <w:p>
            <w:pPr>
              <w:jc w:val="center"/>
            </w:pPr>
            <w:r>
              <w:rPr>
                <w:rFonts w:ascii="Times New Roman" w:hAnsi="Times New Roman"/>
                <w:sz w:val="20"/>
              </w:rPr>
              <w:t>100.0%</w:t>
            </w:r>
          </w:p>
        </w:tc>
      </w:tr>
    </w:tbl>
    <w:p>
      <w:pPr>
        <w:spacing w:before="60" w:after="120" w:line="360" w:lineRule="auto"/>
        <w:jc w:val="center"/>
      </w:pPr>
      <w:r>
        <w:rPr>
          <w:rFonts w:ascii="Times New Roman" w:hAnsi="Times New Roman"/>
          <w:b w:val="0"/>
          <w:i/>
          <w:sz w:val="24"/>
        </w:rPr>
        <w:t>Table 4: Common-Size Balance Sheet — FY 2024</w:t>
      </w:r>
    </w:p>
    <w:p>
      <w:pPr>
        <w:spacing w:before="120" w:after="120" w:line="360" w:lineRule="auto"/>
        <w:jc w:val="both"/>
      </w:pPr>
      <w:r>
        <w:rPr>
          <w:rFonts w:ascii="Times New Roman" w:hAnsi="Times New Roman"/>
          <w:b w:val="0"/>
          <w:i w:val="0"/>
          <w:sz w:val="24"/>
        </w:rPr>
        <w:t>The balance sheet vertical analysis shows that non-current assets constitute 66.8% of total assets, reflecting the capital-intensive nature of Beaconhouse's operations — with significant investment in campus properties, buildings, and equipment. The equity-to-assets ratio of 65.0% indicates a well-capitalized institution with moderate reliance on external financing. Current liabilities at 19.9% include a significant advance fees component, which represents deferred revenue from term fees collected in advance — a healthy liquidity feature of the school business model.</w:t>
      </w:r>
    </w:p>
    <w:p>
      <w:pPr>
        <w:spacing w:before="280" w:after="120" w:line="360" w:lineRule="auto"/>
        <w:jc w:val="left"/>
      </w:pPr>
      <w:r>
        <w:rPr>
          <w:rFonts w:ascii="Times New Roman" w:hAnsi="Times New Roman"/>
          <w:b/>
          <w:color w:val="1F3864"/>
          <w:sz w:val="24"/>
        </w:rPr>
        <w:t>Horizontal Analysis (Trend / Year-over-Year Analysis)</w:t>
      </w:r>
    </w:p>
    <w:p>
      <w:pPr>
        <w:spacing w:before="120" w:after="120" w:line="360" w:lineRule="auto"/>
        <w:jc w:val="both"/>
      </w:pPr>
      <w:r>
        <w:rPr>
          <w:rFonts w:ascii="Times New Roman" w:hAnsi="Times New Roman"/>
          <w:b w:val="0"/>
          <w:i w:val="0"/>
          <w:sz w:val="24"/>
        </w:rPr>
        <w:t>Horizontal analysis examines the change in financial statement line items over multiple periods, expressed both in absolute monetary terms and as percentage changes. This helps identify growth trends, cost escalation patterns, and changes in the financial structure of the organization over time. The base year for this analysis is FY 2022.</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val="clear" w:color="auto" w:fill="1F3864"/>
          </w:tcPr>
          <w:p>
            <w:pPr>
              <w:jc w:val="center"/>
            </w:pPr>
            <w:r>
              <w:rPr>
                <w:rFonts w:ascii="Times New Roman" w:hAnsi="Times New Roman"/>
                <w:b/>
                <w:color w:val="FFFFFF"/>
                <w:sz w:val="20"/>
              </w:rPr>
              <w:t>Item</w:t>
            </w:r>
          </w:p>
        </w:tc>
        <w:tc>
          <w:tcPr>
            <w:tcW w:type="dxa" w:w="1504"/>
            <w:shd w:val="clear" w:color="auto" w:fill="1F3864"/>
          </w:tcPr>
          <w:p>
            <w:pPr>
              <w:jc w:val="center"/>
            </w:pPr>
            <w:r>
              <w:rPr>
                <w:rFonts w:ascii="Times New Roman" w:hAnsi="Times New Roman"/>
                <w:b/>
                <w:color w:val="FFFFFF"/>
                <w:sz w:val="20"/>
              </w:rPr>
              <w:t>FY 2022</w:t>
            </w:r>
          </w:p>
        </w:tc>
        <w:tc>
          <w:tcPr>
            <w:tcW w:type="dxa" w:w="1504"/>
            <w:shd w:val="clear" w:color="auto" w:fill="1F3864"/>
          </w:tcPr>
          <w:p>
            <w:pPr>
              <w:jc w:val="center"/>
            </w:pPr>
            <w:r>
              <w:rPr>
                <w:rFonts w:ascii="Times New Roman" w:hAnsi="Times New Roman"/>
                <w:b/>
                <w:color w:val="FFFFFF"/>
                <w:sz w:val="20"/>
              </w:rPr>
              <w:t>FY 2023</w:t>
            </w:r>
          </w:p>
        </w:tc>
        <w:tc>
          <w:tcPr>
            <w:tcW w:type="dxa" w:w="1504"/>
            <w:shd w:val="clear" w:color="auto" w:fill="1F3864"/>
          </w:tcPr>
          <w:p>
            <w:pPr>
              <w:jc w:val="center"/>
            </w:pPr>
            <w:r>
              <w:rPr>
                <w:rFonts w:ascii="Times New Roman" w:hAnsi="Times New Roman"/>
                <w:b/>
                <w:color w:val="FFFFFF"/>
                <w:sz w:val="20"/>
              </w:rPr>
              <w:t>FY 2023 Δ%</w:t>
            </w:r>
          </w:p>
        </w:tc>
        <w:tc>
          <w:tcPr>
            <w:tcW w:type="dxa" w:w="1504"/>
            <w:shd w:val="clear" w:color="auto" w:fill="1F3864"/>
          </w:tcPr>
          <w:p>
            <w:pPr>
              <w:jc w:val="center"/>
            </w:pPr>
            <w:r>
              <w:rPr>
                <w:rFonts w:ascii="Times New Roman" w:hAnsi="Times New Roman"/>
                <w:b/>
                <w:color w:val="FFFFFF"/>
                <w:sz w:val="20"/>
              </w:rPr>
              <w:t>FY 2024</w:t>
            </w:r>
          </w:p>
        </w:tc>
        <w:tc>
          <w:tcPr>
            <w:tcW w:type="dxa" w:w="1504"/>
            <w:shd w:val="clear" w:color="auto" w:fill="1F3864"/>
          </w:tcPr>
          <w:p>
            <w:pPr>
              <w:jc w:val="center"/>
            </w:pPr>
            <w:r>
              <w:rPr>
                <w:rFonts w:ascii="Times New Roman" w:hAnsi="Times New Roman"/>
                <w:b/>
                <w:color w:val="FFFFFF"/>
                <w:sz w:val="20"/>
              </w:rPr>
              <w:t>FY 2024 Δ% (vs 2022)</w:t>
            </w:r>
          </w:p>
        </w:tc>
      </w:tr>
      <w:tr>
        <w:tc>
          <w:tcPr>
            <w:tcW w:type="dxa" w:w="1504"/>
            <w:shd w:val="clear" w:color="auto" w:fill="D6E4F0"/>
          </w:tcPr>
          <w:p>
            <w:pPr>
              <w:jc w:val="center"/>
            </w:pPr>
            <w:r>
              <w:rPr>
                <w:rFonts w:ascii="Times New Roman" w:hAnsi="Times New Roman"/>
                <w:sz w:val="20"/>
              </w:rPr>
              <w:t>Total Revenue</w:t>
            </w:r>
          </w:p>
        </w:tc>
        <w:tc>
          <w:tcPr>
            <w:tcW w:type="dxa" w:w="1504"/>
            <w:shd w:val="clear" w:color="auto" w:fill="D6E4F0"/>
          </w:tcPr>
          <w:p>
            <w:pPr>
              <w:jc w:val="center"/>
            </w:pPr>
            <w:r>
              <w:rPr>
                <w:rFonts w:ascii="Times New Roman" w:hAnsi="Times New Roman"/>
                <w:sz w:val="20"/>
              </w:rPr>
              <w:t>19,700 M</w:t>
            </w:r>
          </w:p>
        </w:tc>
        <w:tc>
          <w:tcPr>
            <w:tcW w:type="dxa" w:w="1504"/>
            <w:shd w:val="clear" w:color="auto" w:fill="D6E4F0"/>
          </w:tcPr>
          <w:p>
            <w:pPr>
              <w:jc w:val="center"/>
            </w:pPr>
            <w:r>
              <w:rPr>
                <w:rFonts w:ascii="Times New Roman" w:hAnsi="Times New Roman"/>
                <w:sz w:val="20"/>
              </w:rPr>
              <w:t>22,650 M</w:t>
            </w:r>
          </w:p>
        </w:tc>
        <w:tc>
          <w:tcPr>
            <w:tcW w:type="dxa" w:w="1504"/>
            <w:shd w:val="clear" w:color="auto" w:fill="D6E4F0"/>
          </w:tcPr>
          <w:p>
            <w:pPr>
              <w:jc w:val="center"/>
            </w:pPr>
            <w:r>
              <w:rPr>
                <w:rFonts w:ascii="Times New Roman" w:hAnsi="Times New Roman"/>
                <w:sz w:val="20"/>
              </w:rPr>
              <w:t>+15.0%</w:t>
            </w:r>
          </w:p>
        </w:tc>
        <w:tc>
          <w:tcPr>
            <w:tcW w:type="dxa" w:w="1504"/>
            <w:shd w:val="clear" w:color="auto" w:fill="D6E4F0"/>
          </w:tcPr>
          <w:p>
            <w:pPr>
              <w:jc w:val="center"/>
            </w:pPr>
            <w:r>
              <w:rPr>
                <w:rFonts w:ascii="Times New Roman" w:hAnsi="Times New Roman"/>
                <w:sz w:val="20"/>
              </w:rPr>
              <w:t>26,500 M</w:t>
            </w:r>
          </w:p>
        </w:tc>
        <w:tc>
          <w:tcPr>
            <w:tcW w:type="dxa" w:w="1504"/>
            <w:shd w:val="clear" w:color="auto" w:fill="D6E4F0"/>
          </w:tcPr>
          <w:p>
            <w:pPr>
              <w:jc w:val="center"/>
            </w:pPr>
            <w:r>
              <w:rPr>
                <w:rFonts w:ascii="Times New Roman" w:hAnsi="Times New Roman"/>
                <w:sz w:val="20"/>
              </w:rPr>
              <w:t>+34.5%</w:t>
            </w:r>
          </w:p>
        </w:tc>
      </w:tr>
      <w:tr>
        <w:tc>
          <w:tcPr>
            <w:tcW w:type="dxa" w:w="1504"/>
            <w:shd w:val="clear" w:color="auto" w:fill="FFFFFF"/>
          </w:tcPr>
          <w:p>
            <w:pPr>
              <w:jc w:val="center"/>
            </w:pPr>
            <w:r>
              <w:rPr>
                <w:rFonts w:ascii="Times New Roman" w:hAnsi="Times New Roman"/>
                <w:sz w:val="20"/>
              </w:rPr>
              <w:t>Staff Costs</w:t>
            </w:r>
          </w:p>
        </w:tc>
        <w:tc>
          <w:tcPr>
            <w:tcW w:type="dxa" w:w="1504"/>
            <w:shd w:val="clear" w:color="auto" w:fill="FFFFFF"/>
          </w:tcPr>
          <w:p>
            <w:pPr>
              <w:jc w:val="center"/>
            </w:pPr>
            <w:r>
              <w:rPr>
                <w:rFonts w:ascii="Times New Roman" w:hAnsi="Times New Roman"/>
                <w:sz w:val="20"/>
              </w:rPr>
              <w:t>10,835 M</w:t>
            </w:r>
          </w:p>
        </w:tc>
        <w:tc>
          <w:tcPr>
            <w:tcW w:type="dxa" w:w="1504"/>
            <w:shd w:val="clear" w:color="auto" w:fill="FFFFFF"/>
          </w:tcPr>
          <w:p>
            <w:pPr>
              <w:jc w:val="center"/>
            </w:pPr>
            <w:r>
              <w:rPr>
                <w:rFonts w:ascii="Times New Roman" w:hAnsi="Times New Roman"/>
                <w:sz w:val="20"/>
              </w:rPr>
              <w:t>12,458 M</w:t>
            </w:r>
          </w:p>
        </w:tc>
        <w:tc>
          <w:tcPr>
            <w:tcW w:type="dxa" w:w="1504"/>
            <w:shd w:val="clear" w:color="auto" w:fill="FFFFFF"/>
          </w:tcPr>
          <w:p>
            <w:pPr>
              <w:jc w:val="center"/>
            </w:pPr>
            <w:r>
              <w:rPr>
                <w:rFonts w:ascii="Times New Roman" w:hAnsi="Times New Roman"/>
                <w:sz w:val="20"/>
              </w:rPr>
              <w:t>+15.0%</w:t>
            </w:r>
          </w:p>
        </w:tc>
        <w:tc>
          <w:tcPr>
            <w:tcW w:type="dxa" w:w="1504"/>
            <w:shd w:val="clear" w:color="auto" w:fill="FFFFFF"/>
          </w:tcPr>
          <w:p>
            <w:pPr>
              <w:jc w:val="center"/>
            </w:pPr>
            <w:r>
              <w:rPr>
                <w:rFonts w:ascii="Times New Roman" w:hAnsi="Times New Roman"/>
                <w:sz w:val="20"/>
              </w:rPr>
              <w:t>14,575 M</w:t>
            </w:r>
          </w:p>
        </w:tc>
        <w:tc>
          <w:tcPr>
            <w:tcW w:type="dxa" w:w="1504"/>
            <w:shd w:val="clear" w:color="auto" w:fill="FFFFFF"/>
          </w:tcPr>
          <w:p>
            <w:pPr>
              <w:jc w:val="center"/>
            </w:pPr>
            <w:r>
              <w:rPr>
                <w:rFonts w:ascii="Times New Roman" w:hAnsi="Times New Roman"/>
                <w:sz w:val="20"/>
              </w:rPr>
              <w:t>+34.5%</w:t>
            </w:r>
          </w:p>
        </w:tc>
      </w:tr>
      <w:tr>
        <w:tc>
          <w:tcPr>
            <w:tcW w:type="dxa" w:w="1504"/>
            <w:shd w:val="clear" w:color="auto" w:fill="D6E4F0"/>
          </w:tcPr>
          <w:p>
            <w:pPr>
              <w:jc w:val="center"/>
            </w:pPr>
            <w:r>
              <w:rPr>
                <w:rFonts w:ascii="Times New Roman" w:hAnsi="Times New Roman"/>
                <w:sz w:val="20"/>
              </w:rPr>
              <w:t>Operating Expenses</w:t>
            </w:r>
          </w:p>
        </w:tc>
        <w:tc>
          <w:tcPr>
            <w:tcW w:type="dxa" w:w="1504"/>
            <w:shd w:val="clear" w:color="auto" w:fill="D6E4F0"/>
          </w:tcPr>
          <w:p>
            <w:pPr>
              <w:jc w:val="center"/>
            </w:pPr>
            <w:r>
              <w:rPr>
                <w:rFonts w:ascii="Times New Roman" w:hAnsi="Times New Roman"/>
                <w:sz w:val="20"/>
              </w:rPr>
              <w:t>16,744 M</w:t>
            </w:r>
          </w:p>
        </w:tc>
        <w:tc>
          <w:tcPr>
            <w:tcW w:type="dxa" w:w="1504"/>
            <w:shd w:val="clear" w:color="auto" w:fill="D6E4F0"/>
          </w:tcPr>
          <w:p>
            <w:pPr>
              <w:jc w:val="center"/>
            </w:pPr>
            <w:r>
              <w:rPr>
                <w:rFonts w:ascii="Times New Roman" w:hAnsi="Times New Roman"/>
                <w:sz w:val="20"/>
              </w:rPr>
              <w:t>19,254 M</w:t>
            </w:r>
          </w:p>
        </w:tc>
        <w:tc>
          <w:tcPr>
            <w:tcW w:type="dxa" w:w="1504"/>
            <w:shd w:val="clear" w:color="auto" w:fill="D6E4F0"/>
          </w:tcPr>
          <w:p>
            <w:pPr>
              <w:jc w:val="center"/>
            </w:pPr>
            <w:r>
              <w:rPr>
                <w:rFonts w:ascii="Times New Roman" w:hAnsi="Times New Roman"/>
                <w:sz w:val="20"/>
              </w:rPr>
              <w:t>+15.0%</w:t>
            </w:r>
          </w:p>
        </w:tc>
        <w:tc>
          <w:tcPr>
            <w:tcW w:type="dxa" w:w="1504"/>
            <w:shd w:val="clear" w:color="auto" w:fill="D6E4F0"/>
          </w:tcPr>
          <w:p>
            <w:pPr>
              <w:jc w:val="center"/>
            </w:pPr>
            <w:r>
              <w:rPr>
                <w:rFonts w:ascii="Times New Roman" w:hAnsi="Times New Roman"/>
                <w:sz w:val="20"/>
              </w:rPr>
              <w:t>22,525 M</w:t>
            </w:r>
          </w:p>
        </w:tc>
        <w:tc>
          <w:tcPr>
            <w:tcW w:type="dxa" w:w="1504"/>
            <w:shd w:val="clear" w:color="auto" w:fill="D6E4F0"/>
          </w:tcPr>
          <w:p>
            <w:pPr>
              <w:jc w:val="center"/>
            </w:pPr>
            <w:r>
              <w:rPr>
                <w:rFonts w:ascii="Times New Roman" w:hAnsi="Times New Roman"/>
                <w:sz w:val="20"/>
              </w:rPr>
              <w:t>+34.5%</w:t>
            </w:r>
          </w:p>
        </w:tc>
      </w:tr>
      <w:tr>
        <w:tc>
          <w:tcPr>
            <w:tcW w:type="dxa" w:w="1504"/>
            <w:shd w:val="clear" w:color="auto" w:fill="FFFFFF"/>
          </w:tcPr>
          <w:p>
            <w:pPr>
              <w:jc w:val="center"/>
            </w:pPr>
            <w:r>
              <w:rPr>
                <w:rFonts w:ascii="Times New Roman" w:hAnsi="Times New Roman"/>
                <w:sz w:val="20"/>
              </w:rPr>
              <w:t>Operating Profit</w:t>
            </w:r>
          </w:p>
        </w:tc>
        <w:tc>
          <w:tcPr>
            <w:tcW w:type="dxa" w:w="1504"/>
            <w:shd w:val="clear" w:color="auto" w:fill="FFFFFF"/>
          </w:tcPr>
          <w:p>
            <w:pPr>
              <w:jc w:val="center"/>
            </w:pPr>
            <w:r>
              <w:rPr>
                <w:rFonts w:ascii="Times New Roman" w:hAnsi="Times New Roman"/>
                <w:sz w:val="20"/>
              </w:rPr>
              <w:t>2,956 M</w:t>
            </w:r>
          </w:p>
        </w:tc>
        <w:tc>
          <w:tcPr>
            <w:tcW w:type="dxa" w:w="1504"/>
            <w:shd w:val="clear" w:color="auto" w:fill="FFFFFF"/>
          </w:tcPr>
          <w:p>
            <w:pPr>
              <w:jc w:val="center"/>
            </w:pPr>
            <w:r>
              <w:rPr>
                <w:rFonts w:ascii="Times New Roman" w:hAnsi="Times New Roman"/>
                <w:sz w:val="20"/>
              </w:rPr>
              <w:t>3,396 M</w:t>
            </w:r>
          </w:p>
        </w:tc>
        <w:tc>
          <w:tcPr>
            <w:tcW w:type="dxa" w:w="1504"/>
            <w:shd w:val="clear" w:color="auto" w:fill="FFFFFF"/>
          </w:tcPr>
          <w:p>
            <w:pPr>
              <w:jc w:val="center"/>
            </w:pPr>
            <w:r>
              <w:rPr>
                <w:rFonts w:ascii="Times New Roman" w:hAnsi="Times New Roman"/>
                <w:sz w:val="20"/>
              </w:rPr>
              <w:t>+14.9%</w:t>
            </w:r>
          </w:p>
        </w:tc>
        <w:tc>
          <w:tcPr>
            <w:tcW w:type="dxa" w:w="1504"/>
            <w:shd w:val="clear" w:color="auto" w:fill="FFFFFF"/>
          </w:tcPr>
          <w:p>
            <w:pPr>
              <w:jc w:val="center"/>
            </w:pPr>
            <w:r>
              <w:rPr>
                <w:rFonts w:ascii="Times New Roman" w:hAnsi="Times New Roman"/>
                <w:sz w:val="20"/>
              </w:rPr>
              <w:t>3,975 M</w:t>
            </w:r>
          </w:p>
        </w:tc>
        <w:tc>
          <w:tcPr>
            <w:tcW w:type="dxa" w:w="1504"/>
            <w:shd w:val="clear" w:color="auto" w:fill="FFFFFF"/>
          </w:tcPr>
          <w:p>
            <w:pPr>
              <w:jc w:val="center"/>
            </w:pPr>
            <w:r>
              <w:rPr>
                <w:rFonts w:ascii="Times New Roman" w:hAnsi="Times New Roman"/>
                <w:sz w:val="20"/>
              </w:rPr>
              <w:t>+34.5%</w:t>
            </w:r>
          </w:p>
        </w:tc>
      </w:tr>
      <w:tr>
        <w:tc>
          <w:tcPr>
            <w:tcW w:type="dxa" w:w="1504"/>
            <w:shd w:val="clear" w:color="auto" w:fill="D6E4F0"/>
          </w:tcPr>
          <w:p>
            <w:pPr>
              <w:jc w:val="center"/>
            </w:pPr>
            <w:r>
              <w:rPr>
                <w:rFonts w:ascii="Times New Roman" w:hAnsi="Times New Roman"/>
                <w:sz w:val="20"/>
              </w:rPr>
              <w:t>Net Profit</w:t>
            </w:r>
          </w:p>
        </w:tc>
        <w:tc>
          <w:tcPr>
            <w:tcW w:type="dxa" w:w="1504"/>
            <w:shd w:val="clear" w:color="auto" w:fill="D6E4F0"/>
          </w:tcPr>
          <w:p>
            <w:pPr>
              <w:jc w:val="center"/>
            </w:pPr>
            <w:r>
              <w:rPr>
                <w:rFonts w:ascii="Times New Roman" w:hAnsi="Times New Roman"/>
                <w:sz w:val="20"/>
              </w:rPr>
              <w:t>2,068 M</w:t>
            </w:r>
          </w:p>
        </w:tc>
        <w:tc>
          <w:tcPr>
            <w:tcW w:type="dxa" w:w="1504"/>
            <w:shd w:val="clear" w:color="auto" w:fill="D6E4F0"/>
          </w:tcPr>
          <w:p>
            <w:pPr>
              <w:jc w:val="center"/>
            </w:pPr>
            <w:r>
              <w:rPr>
                <w:rFonts w:ascii="Times New Roman" w:hAnsi="Times New Roman"/>
                <w:sz w:val="20"/>
              </w:rPr>
              <w:t>2,378 M</w:t>
            </w:r>
          </w:p>
        </w:tc>
        <w:tc>
          <w:tcPr>
            <w:tcW w:type="dxa" w:w="1504"/>
            <w:shd w:val="clear" w:color="auto" w:fill="D6E4F0"/>
          </w:tcPr>
          <w:p>
            <w:pPr>
              <w:jc w:val="center"/>
            </w:pPr>
            <w:r>
              <w:rPr>
                <w:rFonts w:ascii="Times New Roman" w:hAnsi="Times New Roman"/>
                <w:sz w:val="20"/>
              </w:rPr>
              <w:t>+15.0%</w:t>
            </w:r>
          </w:p>
        </w:tc>
        <w:tc>
          <w:tcPr>
            <w:tcW w:type="dxa" w:w="1504"/>
            <w:shd w:val="clear" w:color="auto" w:fill="D6E4F0"/>
          </w:tcPr>
          <w:p>
            <w:pPr>
              <w:jc w:val="center"/>
            </w:pPr>
            <w:r>
              <w:rPr>
                <w:rFonts w:ascii="Times New Roman" w:hAnsi="Times New Roman"/>
                <w:sz w:val="20"/>
              </w:rPr>
              <w:t>2,782 M</w:t>
            </w:r>
          </w:p>
        </w:tc>
        <w:tc>
          <w:tcPr>
            <w:tcW w:type="dxa" w:w="1504"/>
            <w:shd w:val="clear" w:color="auto" w:fill="D6E4F0"/>
          </w:tcPr>
          <w:p>
            <w:pPr>
              <w:jc w:val="center"/>
            </w:pPr>
            <w:r>
              <w:rPr>
                <w:rFonts w:ascii="Times New Roman" w:hAnsi="Times New Roman"/>
                <w:sz w:val="20"/>
              </w:rPr>
              <w:t>+34.5%</w:t>
            </w:r>
          </w:p>
        </w:tc>
      </w:tr>
      <w:tr>
        <w:tc>
          <w:tcPr>
            <w:tcW w:type="dxa" w:w="1504"/>
            <w:shd w:val="clear" w:color="auto" w:fill="FFFFFF"/>
          </w:tcPr>
          <w:p>
            <w:pPr>
              <w:jc w:val="center"/>
            </w:pPr>
            <w:r>
              <w:rPr>
                <w:rFonts w:ascii="Times New Roman" w:hAnsi="Times New Roman"/>
                <w:sz w:val="20"/>
              </w:rPr>
              <w:t>Total Assets</w:t>
            </w:r>
          </w:p>
        </w:tc>
        <w:tc>
          <w:tcPr>
            <w:tcW w:type="dxa" w:w="1504"/>
            <w:shd w:val="clear" w:color="auto" w:fill="FFFFFF"/>
          </w:tcPr>
          <w:p>
            <w:pPr>
              <w:jc w:val="center"/>
            </w:pPr>
            <w:r>
              <w:rPr>
                <w:rFonts w:ascii="Times New Roman" w:hAnsi="Times New Roman"/>
                <w:sz w:val="20"/>
              </w:rPr>
              <w:t>21,300 M</w:t>
            </w:r>
          </w:p>
        </w:tc>
        <w:tc>
          <w:tcPr>
            <w:tcW w:type="dxa" w:w="1504"/>
            <w:shd w:val="clear" w:color="auto" w:fill="FFFFFF"/>
          </w:tcPr>
          <w:p>
            <w:pPr>
              <w:jc w:val="center"/>
            </w:pPr>
            <w:r>
              <w:rPr>
                <w:rFonts w:ascii="Times New Roman" w:hAnsi="Times New Roman"/>
                <w:sz w:val="20"/>
              </w:rPr>
              <w:t>23,900 M</w:t>
            </w:r>
          </w:p>
        </w:tc>
        <w:tc>
          <w:tcPr>
            <w:tcW w:type="dxa" w:w="1504"/>
            <w:shd w:val="clear" w:color="auto" w:fill="FFFFFF"/>
          </w:tcPr>
          <w:p>
            <w:pPr>
              <w:jc w:val="center"/>
            </w:pPr>
            <w:r>
              <w:rPr>
                <w:rFonts w:ascii="Times New Roman" w:hAnsi="Times New Roman"/>
                <w:sz w:val="20"/>
              </w:rPr>
              <w:t>+12.2%</w:t>
            </w:r>
          </w:p>
        </w:tc>
        <w:tc>
          <w:tcPr>
            <w:tcW w:type="dxa" w:w="1504"/>
            <w:shd w:val="clear" w:color="auto" w:fill="FFFFFF"/>
          </w:tcPr>
          <w:p>
            <w:pPr>
              <w:jc w:val="center"/>
            </w:pPr>
            <w:r>
              <w:rPr>
                <w:rFonts w:ascii="Times New Roman" w:hAnsi="Times New Roman"/>
                <w:sz w:val="20"/>
              </w:rPr>
              <w:t>27,700 M</w:t>
            </w:r>
          </w:p>
        </w:tc>
        <w:tc>
          <w:tcPr>
            <w:tcW w:type="dxa" w:w="1504"/>
            <w:shd w:val="clear" w:color="auto" w:fill="FFFFFF"/>
          </w:tcPr>
          <w:p>
            <w:pPr>
              <w:jc w:val="center"/>
            </w:pPr>
            <w:r>
              <w:rPr>
                <w:rFonts w:ascii="Times New Roman" w:hAnsi="Times New Roman"/>
                <w:sz w:val="20"/>
              </w:rPr>
              <w:t>+30.0%</w:t>
            </w:r>
          </w:p>
        </w:tc>
      </w:tr>
      <w:tr>
        <w:tc>
          <w:tcPr>
            <w:tcW w:type="dxa" w:w="1504"/>
            <w:shd w:val="clear" w:color="auto" w:fill="D6E4F0"/>
          </w:tcPr>
          <w:p>
            <w:pPr>
              <w:jc w:val="center"/>
            </w:pPr>
            <w:r>
              <w:rPr>
                <w:rFonts w:ascii="Times New Roman" w:hAnsi="Times New Roman"/>
                <w:sz w:val="20"/>
              </w:rPr>
              <w:t>Total Equity</w:t>
            </w:r>
          </w:p>
        </w:tc>
        <w:tc>
          <w:tcPr>
            <w:tcW w:type="dxa" w:w="1504"/>
            <w:shd w:val="clear" w:color="auto" w:fill="D6E4F0"/>
          </w:tcPr>
          <w:p>
            <w:pPr>
              <w:jc w:val="center"/>
            </w:pPr>
            <w:r>
              <w:rPr>
                <w:rFonts w:ascii="Times New Roman" w:hAnsi="Times New Roman"/>
                <w:sz w:val="20"/>
              </w:rPr>
              <w:t>13,600 M</w:t>
            </w:r>
          </w:p>
        </w:tc>
        <w:tc>
          <w:tcPr>
            <w:tcW w:type="dxa" w:w="1504"/>
            <w:shd w:val="clear" w:color="auto" w:fill="D6E4F0"/>
          </w:tcPr>
          <w:p>
            <w:pPr>
              <w:jc w:val="center"/>
            </w:pPr>
            <w:r>
              <w:rPr>
                <w:rFonts w:ascii="Times New Roman" w:hAnsi="Times New Roman"/>
                <w:sz w:val="20"/>
              </w:rPr>
              <w:t>15,300 M</w:t>
            </w:r>
          </w:p>
        </w:tc>
        <w:tc>
          <w:tcPr>
            <w:tcW w:type="dxa" w:w="1504"/>
            <w:shd w:val="clear" w:color="auto" w:fill="D6E4F0"/>
          </w:tcPr>
          <w:p>
            <w:pPr>
              <w:jc w:val="center"/>
            </w:pPr>
            <w:r>
              <w:rPr>
                <w:rFonts w:ascii="Times New Roman" w:hAnsi="Times New Roman"/>
                <w:sz w:val="20"/>
              </w:rPr>
              <w:t>+12.5%</w:t>
            </w:r>
          </w:p>
        </w:tc>
        <w:tc>
          <w:tcPr>
            <w:tcW w:type="dxa" w:w="1504"/>
            <w:shd w:val="clear" w:color="auto" w:fill="D6E4F0"/>
          </w:tcPr>
          <w:p>
            <w:pPr>
              <w:jc w:val="center"/>
            </w:pPr>
            <w:r>
              <w:rPr>
                <w:rFonts w:ascii="Times New Roman" w:hAnsi="Times New Roman"/>
                <w:sz w:val="20"/>
              </w:rPr>
              <w:t>18,000 M</w:t>
            </w:r>
          </w:p>
        </w:tc>
        <w:tc>
          <w:tcPr>
            <w:tcW w:type="dxa" w:w="1504"/>
            <w:shd w:val="clear" w:color="auto" w:fill="D6E4F0"/>
          </w:tcPr>
          <w:p>
            <w:pPr>
              <w:jc w:val="center"/>
            </w:pPr>
            <w:r>
              <w:rPr>
                <w:rFonts w:ascii="Times New Roman" w:hAnsi="Times New Roman"/>
                <w:sz w:val="20"/>
              </w:rPr>
              <w:t>+32.4%</w:t>
            </w:r>
          </w:p>
        </w:tc>
      </w:tr>
      <w:tr>
        <w:tc>
          <w:tcPr>
            <w:tcW w:type="dxa" w:w="1504"/>
            <w:shd w:val="clear" w:color="auto" w:fill="FFFFFF"/>
          </w:tcPr>
          <w:p>
            <w:pPr>
              <w:jc w:val="center"/>
            </w:pPr>
            <w:r>
              <w:rPr>
                <w:rFonts w:ascii="Times New Roman" w:hAnsi="Times New Roman"/>
                <w:sz w:val="20"/>
              </w:rPr>
              <w:t>Current Assets</w:t>
            </w:r>
          </w:p>
        </w:tc>
        <w:tc>
          <w:tcPr>
            <w:tcW w:type="dxa" w:w="1504"/>
            <w:shd w:val="clear" w:color="auto" w:fill="FFFFFF"/>
          </w:tcPr>
          <w:p>
            <w:pPr>
              <w:jc w:val="center"/>
            </w:pPr>
            <w:r>
              <w:rPr>
                <w:rFonts w:ascii="Times New Roman" w:hAnsi="Times New Roman"/>
                <w:sz w:val="20"/>
              </w:rPr>
              <w:t>6,800 M</w:t>
            </w:r>
          </w:p>
        </w:tc>
        <w:tc>
          <w:tcPr>
            <w:tcW w:type="dxa" w:w="1504"/>
            <w:shd w:val="clear" w:color="auto" w:fill="FFFFFF"/>
          </w:tcPr>
          <w:p>
            <w:pPr>
              <w:jc w:val="center"/>
            </w:pPr>
            <w:r>
              <w:rPr>
                <w:rFonts w:ascii="Times New Roman" w:hAnsi="Times New Roman"/>
                <w:sz w:val="20"/>
              </w:rPr>
              <w:t>7,900 M</w:t>
            </w:r>
          </w:p>
        </w:tc>
        <w:tc>
          <w:tcPr>
            <w:tcW w:type="dxa" w:w="1504"/>
            <w:shd w:val="clear" w:color="auto" w:fill="FFFFFF"/>
          </w:tcPr>
          <w:p>
            <w:pPr>
              <w:jc w:val="center"/>
            </w:pPr>
            <w:r>
              <w:rPr>
                <w:rFonts w:ascii="Times New Roman" w:hAnsi="Times New Roman"/>
                <w:sz w:val="20"/>
              </w:rPr>
              <w:t>+16.2%</w:t>
            </w:r>
          </w:p>
        </w:tc>
        <w:tc>
          <w:tcPr>
            <w:tcW w:type="dxa" w:w="1504"/>
            <w:shd w:val="clear" w:color="auto" w:fill="FFFFFF"/>
          </w:tcPr>
          <w:p>
            <w:pPr>
              <w:jc w:val="center"/>
            </w:pPr>
            <w:r>
              <w:rPr>
                <w:rFonts w:ascii="Times New Roman" w:hAnsi="Times New Roman"/>
                <w:sz w:val="20"/>
              </w:rPr>
              <w:t>9,200 M</w:t>
            </w:r>
          </w:p>
        </w:tc>
        <w:tc>
          <w:tcPr>
            <w:tcW w:type="dxa" w:w="1504"/>
            <w:shd w:val="clear" w:color="auto" w:fill="FFFFFF"/>
          </w:tcPr>
          <w:p>
            <w:pPr>
              <w:jc w:val="center"/>
            </w:pPr>
            <w:r>
              <w:rPr>
                <w:rFonts w:ascii="Times New Roman" w:hAnsi="Times New Roman"/>
                <w:sz w:val="20"/>
              </w:rPr>
              <w:t>+35.3%</w:t>
            </w:r>
          </w:p>
        </w:tc>
      </w:tr>
    </w:tbl>
    <w:p>
      <w:pPr>
        <w:spacing w:before="60" w:after="120" w:line="360" w:lineRule="auto"/>
        <w:jc w:val="center"/>
      </w:pPr>
      <w:r>
        <w:rPr>
          <w:rFonts w:ascii="Times New Roman" w:hAnsi="Times New Roman"/>
          <w:b w:val="0"/>
          <w:i/>
          <w:sz w:val="24"/>
        </w:rPr>
        <w:t>Table 5: Horizontal Analysis — FY 2022 to FY 2024</w:t>
      </w:r>
    </w:p>
    <w:p>
      <w:pPr>
        <w:spacing w:before="120" w:after="120" w:line="360" w:lineRule="auto"/>
        <w:jc w:val="both"/>
      </w:pPr>
      <w:r>
        <w:rPr>
          <w:rFonts w:ascii="Times New Roman" w:hAnsi="Times New Roman"/>
          <w:b w:val="0"/>
          <w:i w:val="0"/>
          <w:sz w:val="24"/>
        </w:rPr>
        <w:t>The horizontal analysis reveals a consistent and strong revenue growth trend at Beaconhouse, with total revenue growing by 34.5% over the two-year period from FY 2022 to FY 2024. This growth is primarily driven by annual tuition fee increases of approximately 10–15% per annum (in line with Pakistan's inflationary environment), combined with the expansion of the campus network and growing student enrollment numbers.</w:t>
      </w:r>
    </w:p>
    <w:p>
      <w:pPr>
        <w:spacing w:before="120" w:after="120" w:line="360" w:lineRule="auto"/>
        <w:jc w:val="both"/>
      </w:pPr>
      <w:r>
        <w:rPr>
          <w:rFonts w:ascii="Times New Roman" w:hAnsi="Times New Roman"/>
          <w:b w:val="0"/>
          <w:i w:val="0"/>
          <w:sz w:val="24"/>
        </w:rPr>
        <w:t>Operating costs have grown at a broadly similar rate to revenues, maintaining consistent operating and net profit margins across the analysis period. This indicates effective cost management by the Finance and Operations departments, particularly in controlling the largest cost category — staff salaries — in the face of significant inflationary pressures in Pakistan.</w:t>
      </w:r>
    </w:p>
    <w:p>
      <w:pPr>
        <w:spacing w:before="120" w:after="120" w:line="360" w:lineRule="auto"/>
        <w:jc w:val="both"/>
      </w:pPr>
      <w:r>
        <w:rPr>
          <w:rFonts w:ascii="Times New Roman" w:hAnsi="Times New Roman"/>
          <w:b w:val="0"/>
          <w:i w:val="0"/>
          <w:sz w:val="24"/>
        </w:rPr>
        <w:t>Total assets grew by 30.0% over the period, reflecting ongoing investment in campus infrastructure and digital systems. The growth in total equity (32.4%) slightly exceeding asset growth indicates that Beaconhouse is predominantly self-financing its expansion through retained earnings, which is a positive indicator of long-term financial sustainability.</w:t>
      </w:r>
    </w:p>
    <w:p>
      <w:pPr>
        <w:spacing w:before="280" w:after="120" w:line="360" w:lineRule="auto"/>
        <w:jc w:val="left"/>
      </w:pPr>
      <w:r>
        <w:rPr>
          <w:rFonts w:ascii="Times New Roman" w:hAnsi="Times New Roman"/>
          <w:b/>
          <w:color w:val="1F3864"/>
          <w:sz w:val="24"/>
        </w:rPr>
        <w:t>Ratio Analysis</w:t>
      </w:r>
    </w:p>
    <w:p>
      <w:pPr>
        <w:spacing w:before="120" w:after="120" w:line="360" w:lineRule="auto"/>
        <w:jc w:val="both"/>
      </w:pPr>
      <w:r>
        <w:rPr>
          <w:rFonts w:ascii="Times New Roman" w:hAnsi="Times New Roman"/>
          <w:b w:val="0"/>
          <w:i w:val="0"/>
          <w:sz w:val="24"/>
        </w:rPr>
        <w:t>Ratio analysis is a quantitative technique used to evaluate the financial health, operational efficiency, and profitability of an organization by comparing various line items in the financial statements. The following ratios have been calculated based on the estimated FY 2024 figures for Beaconhouse School System. As these figures are based on industry estimates rather than audited accounts, the ratios should be interpreted as indicative benchmarks.</w:t>
      </w:r>
    </w:p>
    <w:p>
      <w:pPr>
        <w:spacing w:before="120" w:after="40" w:line="360" w:lineRule="auto"/>
        <w:jc w:val="both"/>
      </w:pPr>
      <w:r>
        <w:rPr>
          <w:rFonts w:ascii="Times New Roman" w:hAnsi="Times New Roman"/>
          <w:b/>
          <w:i w:val="0"/>
          <w:sz w:val="24"/>
        </w:rPr>
        <w:t>A. Liquidity Ratios</w:t>
      </w:r>
    </w:p>
    <w:p>
      <w:pPr>
        <w:spacing w:before="120" w:after="120" w:line="360" w:lineRule="auto"/>
        <w:jc w:val="both"/>
      </w:pPr>
      <w:r>
        <w:rPr>
          <w:rFonts w:ascii="Times New Roman" w:hAnsi="Times New Roman"/>
          <w:b w:val="0"/>
          <w:i w:val="0"/>
          <w:sz w:val="24"/>
        </w:rPr>
        <w:t>Liquidity ratios measure the organization's ability to meet its short-term financial obligations using its short-term assets.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1F3864"/>
          </w:tcPr>
          <w:p>
            <w:pPr>
              <w:jc w:val="center"/>
            </w:pPr>
            <w:r>
              <w:rPr>
                <w:rFonts w:ascii="Times New Roman" w:hAnsi="Times New Roman"/>
                <w:b/>
                <w:color w:val="FFFFFF"/>
                <w:sz w:val="20"/>
              </w:rPr>
              <w:t>Ratio</w:t>
            </w:r>
          </w:p>
        </w:tc>
        <w:tc>
          <w:tcPr>
            <w:tcW w:type="dxa" w:w="1805"/>
            <w:shd w:val="clear" w:color="auto" w:fill="1F3864"/>
          </w:tcPr>
          <w:p>
            <w:pPr>
              <w:jc w:val="center"/>
            </w:pPr>
            <w:r>
              <w:rPr>
                <w:rFonts w:ascii="Times New Roman" w:hAnsi="Times New Roman"/>
                <w:b/>
                <w:color w:val="FFFFFF"/>
                <w:sz w:val="20"/>
              </w:rPr>
              <w:t>Formula</w:t>
            </w:r>
          </w:p>
        </w:tc>
        <w:tc>
          <w:tcPr>
            <w:tcW w:type="dxa" w:w="1805"/>
            <w:shd w:val="clear" w:color="auto" w:fill="1F3864"/>
          </w:tcPr>
          <w:p>
            <w:pPr>
              <w:jc w:val="center"/>
            </w:pPr>
            <w:r>
              <w:rPr>
                <w:rFonts w:ascii="Times New Roman" w:hAnsi="Times New Roman"/>
                <w:b/>
                <w:color w:val="FFFFFF"/>
                <w:sz w:val="20"/>
              </w:rPr>
              <w:t>FY 2024 Calculation</w:t>
            </w:r>
          </w:p>
        </w:tc>
        <w:tc>
          <w:tcPr>
            <w:tcW w:type="dxa" w:w="1805"/>
            <w:shd w:val="clear" w:color="auto" w:fill="1F3864"/>
          </w:tcPr>
          <w:p>
            <w:pPr>
              <w:jc w:val="center"/>
            </w:pPr>
            <w:r>
              <w:rPr>
                <w:rFonts w:ascii="Times New Roman" w:hAnsi="Times New Roman"/>
                <w:b/>
                <w:color w:val="FFFFFF"/>
                <w:sz w:val="20"/>
              </w:rPr>
              <w:t>Result</w:t>
            </w:r>
          </w:p>
        </w:tc>
        <w:tc>
          <w:tcPr>
            <w:tcW w:type="dxa" w:w="1805"/>
            <w:shd w:val="clear" w:color="auto" w:fill="1F3864"/>
          </w:tcPr>
          <w:p>
            <w:pPr>
              <w:jc w:val="center"/>
            </w:pPr>
            <w:r>
              <w:rPr>
                <w:rFonts w:ascii="Times New Roman" w:hAnsi="Times New Roman"/>
                <w:b/>
                <w:color w:val="FFFFFF"/>
                <w:sz w:val="20"/>
              </w:rPr>
              <w:t>Benchmark / Interpretation</w:t>
            </w:r>
          </w:p>
        </w:tc>
      </w:tr>
      <w:tr>
        <w:tc>
          <w:tcPr>
            <w:tcW w:type="dxa" w:w="1805"/>
            <w:shd w:val="clear" w:color="auto" w:fill="D6E4F0"/>
          </w:tcPr>
          <w:p>
            <w:pPr>
              <w:jc w:val="center"/>
            </w:pPr>
            <w:r>
              <w:rPr>
                <w:rFonts w:ascii="Times New Roman" w:hAnsi="Times New Roman"/>
                <w:sz w:val="20"/>
              </w:rPr>
              <w:t>Current Ratio</w:t>
            </w:r>
          </w:p>
        </w:tc>
        <w:tc>
          <w:tcPr>
            <w:tcW w:type="dxa" w:w="1805"/>
            <w:shd w:val="clear" w:color="auto" w:fill="D6E4F0"/>
          </w:tcPr>
          <w:p>
            <w:pPr>
              <w:jc w:val="center"/>
            </w:pPr>
            <w:r>
              <w:rPr>
                <w:rFonts w:ascii="Times New Roman" w:hAnsi="Times New Roman"/>
                <w:sz w:val="20"/>
              </w:rPr>
              <w:t>Current Assets ÷ Current Liabilities</w:t>
            </w:r>
          </w:p>
        </w:tc>
        <w:tc>
          <w:tcPr>
            <w:tcW w:type="dxa" w:w="1805"/>
            <w:shd w:val="clear" w:color="auto" w:fill="D6E4F0"/>
          </w:tcPr>
          <w:p>
            <w:pPr>
              <w:jc w:val="center"/>
            </w:pPr>
            <w:r>
              <w:rPr>
                <w:rFonts w:ascii="Times New Roman" w:hAnsi="Times New Roman"/>
                <w:sz w:val="20"/>
              </w:rPr>
              <w:t>9,200 ÷ 5,500</w:t>
            </w:r>
          </w:p>
        </w:tc>
        <w:tc>
          <w:tcPr>
            <w:tcW w:type="dxa" w:w="1805"/>
            <w:shd w:val="clear" w:color="auto" w:fill="D6E4F0"/>
          </w:tcPr>
          <w:p>
            <w:pPr>
              <w:jc w:val="center"/>
            </w:pPr>
            <w:r>
              <w:rPr>
                <w:rFonts w:ascii="Times New Roman" w:hAnsi="Times New Roman"/>
                <w:sz w:val="20"/>
              </w:rPr>
              <w:t>1.67x</w:t>
            </w:r>
          </w:p>
        </w:tc>
        <w:tc>
          <w:tcPr>
            <w:tcW w:type="dxa" w:w="1805"/>
            <w:shd w:val="clear" w:color="auto" w:fill="D6E4F0"/>
          </w:tcPr>
          <w:p>
            <w:pPr>
              <w:jc w:val="center"/>
            </w:pPr>
            <w:r>
              <w:rPr>
                <w:rFonts w:ascii="Times New Roman" w:hAnsi="Times New Roman"/>
                <w:sz w:val="20"/>
              </w:rPr>
              <w:t>Healthy (&gt;1.5 is good for schools)</w:t>
            </w:r>
          </w:p>
        </w:tc>
      </w:tr>
      <w:tr>
        <w:tc>
          <w:tcPr>
            <w:tcW w:type="dxa" w:w="1805"/>
            <w:shd w:val="clear" w:color="auto" w:fill="FFFFFF"/>
          </w:tcPr>
          <w:p>
            <w:pPr>
              <w:jc w:val="center"/>
            </w:pPr>
            <w:r>
              <w:rPr>
                <w:rFonts w:ascii="Times New Roman" w:hAnsi="Times New Roman"/>
                <w:sz w:val="20"/>
              </w:rPr>
              <w:t>Quick Ratio</w:t>
            </w:r>
          </w:p>
        </w:tc>
        <w:tc>
          <w:tcPr>
            <w:tcW w:type="dxa" w:w="1805"/>
            <w:shd w:val="clear" w:color="auto" w:fill="FFFFFF"/>
          </w:tcPr>
          <w:p>
            <w:pPr>
              <w:jc w:val="center"/>
            </w:pPr>
            <w:r>
              <w:rPr>
                <w:rFonts w:ascii="Times New Roman" w:hAnsi="Times New Roman"/>
                <w:sz w:val="20"/>
              </w:rPr>
              <w:t>(CA – Prepayments) ÷ CL</w:t>
            </w:r>
          </w:p>
        </w:tc>
        <w:tc>
          <w:tcPr>
            <w:tcW w:type="dxa" w:w="1805"/>
            <w:shd w:val="clear" w:color="auto" w:fill="FFFFFF"/>
          </w:tcPr>
          <w:p>
            <w:pPr>
              <w:jc w:val="center"/>
            </w:pPr>
            <w:r>
              <w:rPr>
                <w:rFonts w:ascii="Times New Roman" w:hAnsi="Times New Roman"/>
                <w:sz w:val="20"/>
              </w:rPr>
              <w:t>(9,200–1,600) ÷ 5,500</w:t>
            </w:r>
          </w:p>
        </w:tc>
        <w:tc>
          <w:tcPr>
            <w:tcW w:type="dxa" w:w="1805"/>
            <w:shd w:val="clear" w:color="auto" w:fill="FFFFFF"/>
          </w:tcPr>
          <w:p>
            <w:pPr>
              <w:jc w:val="center"/>
            </w:pPr>
            <w:r>
              <w:rPr>
                <w:rFonts w:ascii="Times New Roman" w:hAnsi="Times New Roman"/>
                <w:sz w:val="20"/>
              </w:rPr>
              <w:t>1.38x</w:t>
            </w:r>
          </w:p>
        </w:tc>
        <w:tc>
          <w:tcPr>
            <w:tcW w:type="dxa" w:w="1805"/>
            <w:shd w:val="clear" w:color="auto" w:fill="FFFFFF"/>
          </w:tcPr>
          <w:p>
            <w:pPr>
              <w:jc w:val="center"/>
            </w:pPr>
            <w:r>
              <w:rPr>
                <w:rFonts w:ascii="Times New Roman" w:hAnsi="Times New Roman"/>
                <w:sz w:val="20"/>
              </w:rPr>
              <w:t>Adequate; advance fees aid liquidity</w:t>
            </w:r>
          </w:p>
        </w:tc>
      </w:tr>
      <w:tr>
        <w:tc>
          <w:tcPr>
            <w:tcW w:type="dxa" w:w="1805"/>
            <w:shd w:val="clear" w:color="auto" w:fill="D6E4F0"/>
          </w:tcPr>
          <w:p>
            <w:pPr>
              <w:jc w:val="center"/>
            </w:pPr>
            <w:r>
              <w:rPr>
                <w:rFonts w:ascii="Times New Roman" w:hAnsi="Times New Roman"/>
                <w:sz w:val="20"/>
              </w:rPr>
              <w:t>Cash Ratio</w:t>
            </w:r>
          </w:p>
        </w:tc>
        <w:tc>
          <w:tcPr>
            <w:tcW w:type="dxa" w:w="1805"/>
            <w:shd w:val="clear" w:color="auto" w:fill="D6E4F0"/>
          </w:tcPr>
          <w:p>
            <w:pPr>
              <w:jc w:val="center"/>
            </w:pPr>
            <w:r>
              <w:rPr>
                <w:rFonts w:ascii="Times New Roman" w:hAnsi="Times New Roman"/>
                <w:sz w:val="20"/>
              </w:rPr>
              <w:t>Cash ÷ Current Liabilities</w:t>
            </w:r>
          </w:p>
        </w:tc>
        <w:tc>
          <w:tcPr>
            <w:tcW w:type="dxa" w:w="1805"/>
            <w:shd w:val="clear" w:color="auto" w:fill="D6E4F0"/>
          </w:tcPr>
          <w:p>
            <w:pPr>
              <w:jc w:val="center"/>
            </w:pPr>
            <w:r>
              <w:rPr>
                <w:rFonts w:ascii="Times New Roman" w:hAnsi="Times New Roman"/>
                <w:sz w:val="20"/>
              </w:rPr>
              <w:t>3,300 ÷ 5,500</w:t>
            </w:r>
          </w:p>
        </w:tc>
        <w:tc>
          <w:tcPr>
            <w:tcW w:type="dxa" w:w="1805"/>
            <w:shd w:val="clear" w:color="auto" w:fill="D6E4F0"/>
          </w:tcPr>
          <w:p>
            <w:pPr>
              <w:jc w:val="center"/>
            </w:pPr>
            <w:r>
              <w:rPr>
                <w:rFonts w:ascii="Times New Roman" w:hAnsi="Times New Roman"/>
                <w:sz w:val="20"/>
              </w:rPr>
              <w:t>0.60x</w:t>
            </w:r>
          </w:p>
        </w:tc>
        <w:tc>
          <w:tcPr>
            <w:tcW w:type="dxa" w:w="1805"/>
            <w:shd w:val="clear" w:color="auto" w:fill="D6E4F0"/>
          </w:tcPr>
          <w:p>
            <w:pPr>
              <w:jc w:val="center"/>
            </w:pPr>
            <w:r>
              <w:rPr>
                <w:rFonts w:ascii="Times New Roman" w:hAnsi="Times New Roman"/>
                <w:sz w:val="20"/>
              </w:rPr>
              <w:t>Acceptable for fee-advance business</w:t>
            </w:r>
          </w:p>
        </w:tc>
      </w:tr>
    </w:tbl>
    <w:p>
      <w:pPr>
        <w:spacing w:before="60" w:after="120" w:line="360" w:lineRule="auto"/>
        <w:jc w:val="center"/>
      </w:pPr>
      <w:r>
        <w:rPr>
          <w:rFonts w:ascii="Times New Roman" w:hAnsi="Times New Roman"/>
          <w:b w:val="0"/>
          <w:i/>
          <w:sz w:val="24"/>
        </w:rPr>
        <w:t>Table 6: Liquidity Ratios — FY 2024</w:t>
      </w:r>
    </w:p>
    <w:p>
      <w:pPr>
        <w:spacing w:before="120" w:after="120" w:line="360" w:lineRule="auto"/>
        <w:jc w:val="both"/>
      </w:pPr>
      <w:r>
        <w:rPr>
          <w:rFonts w:ascii="Times New Roman" w:hAnsi="Times New Roman"/>
          <w:b w:val="0"/>
          <w:i w:val="0"/>
          <w:sz w:val="24"/>
        </w:rPr>
        <w:t>The current ratio of 1.67x indicates that Beaconhouse can comfortably cover its short-term obligations with its current assets. The private school business model benefits from advance fee collection at the start of each academic term, which provides a natural liquidity buffer. The quick ratio of 1.38x remains healthy after excluding prepayments, confirming strong short-term financial stability.</w:t>
      </w:r>
    </w:p>
    <w:p>
      <w:pPr>
        <w:spacing w:before="120" w:after="40" w:line="360" w:lineRule="auto"/>
        <w:jc w:val="both"/>
      </w:pPr>
      <w:r>
        <w:rPr>
          <w:rFonts w:ascii="Times New Roman" w:hAnsi="Times New Roman"/>
          <w:b/>
          <w:i w:val="0"/>
          <w:sz w:val="24"/>
        </w:rPr>
        <w:t>B. Profitability Ratios</w:t>
      </w:r>
    </w:p>
    <w:p>
      <w:pPr>
        <w:spacing w:before="120" w:after="120" w:line="360" w:lineRule="auto"/>
        <w:jc w:val="both"/>
      </w:pPr>
      <w:r>
        <w:rPr>
          <w:rFonts w:ascii="Times New Roman" w:hAnsi="Times New Roman"/>
          <w:b w:val="0"/>
          <w:i w:val="0"/>
          <w:sz w:val="24"/>
        </w:rPr>
        <w:t>Profitability ratios measure the organization's ability to generate profit relative to revenue, assets, and equity.</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1F3864"/>
          </w:tcPr>
          <w:p>
            <w:pPr>
              <w:jc w:val="center"/>
            </w:pPr>
            <w:r>
              <w:rPr>
                <w:rFonts w:ascii="Times New Roman" w:hAnsi="Times New Roman"/>
                <w:b/>
                <w:color w:val="FFFFFF"/>
                <w:sz w:val="20"/>
              </w:rPr>
              <w:t>Ratio</w:t>
            </w:r>
          </w:p>
        </w:tc>
        <w:tc>
          <w:tcPr>
            <w:tcW w:type="dxa" w:w="1805"/>
            <w:shd w:val="clear" w:color="auto" w:fill="1F3864"/>
          </w:tcPr>
          <w:p>
            <w:pPr>
              <w:jc w:val="center"/>
            </w:pPr>
            <w:r>
              <w:rPr>
                <w:rFonts w:ascii="Times New Roman" w:hAnsi="Times New Roman"/>
                <w:b/>
                <w:color w:val="FFFFFF"/>
                <w:sz w:val="20"/>
              </w:rPr>
              <w:t>Formula</w:t>
            </w:r>
          </w:p>
        </w:tc>
        <w:tc>
          <w:tcPr>
            <w:tcW w:type="dxa" w:w="1805"/>
            <w:shd w:val="clear" w:color="auto" w:fill="1F3864"/>
          </w:tcPr>
          <w:p>
            <w:pPr>
              <w:jc w:val="center"/>
            </w:pPr>
            <w:r>
              <w:rPr>
                <w:rFonts w:ascii="Times New Roman" w:hAnsi="Times New Roman"/>
                <w:b/>
                <w:color w:val="FFFFFF"/>
                <w:sz w:val="20"/>
              </w:rPr>
              <w:t>FY 2024 Calculation</w:t>
            </w:r>
          </w:p>
        </w:tc>
        <w:tc>
          <w:tcPr>
            <w:tcW w:type="dxa" w:w="1805"/>
            <w:shd w:val="clear" w:color="auto" w:fill="1F3864"/>
          </w:tcPr>
          <w:p>
            <w:pPr>
              <w:jc w:val="center"/>
            </w:pPr>
            <w:r>
              <w:rPr>
                <w:rFonts w:ascii="Times New Roman" w:hAnsi="Times New Roman"/>
                <w:b/>
                <w:color w:val="FFFFFF"/>
                <w:sz w:val="20"/>
              </w:rPr>
              <w:t>Result</w:t>
            </w:r>
          </w:p>
        </w:tc>
        <w:tc>
          <w:tcPr>
            <w:tcW w:type="dxa" w:w="1805"/>
            <w:shd w:val="clear" w:color="auto" w:fill="1F3864"/>
          </w:tcPr>
          <w:p>
            <w:pPr>
              <w:jc w:val="center"/>
            </w:pPr>
            <w:r>
              <w:rPr>
                <w:rFonts w:ascii="Times New Roman" w:hAnsi="Times New Roman"/>
                <w:b/>
                <w:color w:val="FFFFFF"/>
                <w:sz w:val="20"/>
              </w:rPr>
              <w:t>Interpretation</w:t>
            </w:r>
          </w:p>
        </w:tc>
      </w:tr>
      <w:tr>
        <w:tc>
          <w:tcPr>
            <w:tcW w:type="dxa" w:w="1805"/>
            <w:shd w:val="clear" w:color="auto" w:fill="D6E4F0"/>
          </w:tcPr>
          <w:p>
            <w:pPr>
              <w:jc w:val="center"/>
            </w:pPr>
            <w:r>
              <w:rPr>
                <w:rFonts w:ascii="Times New Roman" w:hAnsi="Times New Roman"/>
                <w:sz w:val="20"/>
              </w:rPr>
              <w:t>Gross Profit Margin</w:t>
            </w:r>
          </w:p>
        </w:tc>
        <w:tc>
          <w:tcPr>
            <w:tcW w:type="dxa" w:w="1805"/>
            <w:shd w:val="clear" w:color="auto" w:fill="D6E4F0"/>
          </w:tcPr>
          <w:p>
            <w:pPr>
              <w:jc w:val="center"/>
            </w:pPr>
            <w:r>
              <w:rPr>
                <w:rFonts w:ascii="Times New Roman" w:hAnsi="Times New Roman"/>
                <w:sz w:val="20"/>
              </w:rPr>
              <w:t>(Revenue – Direct Costs) ÷ Revenue</w:t>
            </w:r>
          </w:p>
        </w:tc>
        <w:tc>
          <w:tcPr>
            <w:tcW w:type="dxa" w:w="1805"/>
            <w:shd w:val="clear" w:color="auto" w:fill="D6E4F0"/>
          </w:tcPr>
          <w:p>
            <w:pPr>
              <w:jc w:val="center"/>
            </w:pPr>
            <w:r>
              <w:rPr>
                <w:rFonts w:ascii="Times New Roman" w:hAnsi="Times New Roman"/>
                <w:sz w:val="20"/>
              </w:rPr>
              <w:t>(26,500–21,200) ÷ 26,500</w:t>
            </w:r>
          </w:p>
        </w:tc>
        <w:tc>
          <w:tcPr>
            <w:tcW w:type="dxa" w:w="1805"/>
            <w:shd w:val="clear" w:color="auto" w:fill="D6E4F0"/>
          </w:tcPr>
          <w:p>
            <w:pPr>
              <w:jc w:val="center"/>
            </w:pPr>
            <w:r>
              <w:rPr>
                <w:rFonts w:ascii="Times New Roman" w:hAnsi="Times New Roman"/>
                <w:sz w:val="20"/>
              </w:rPr>
              <w:t>20.0%</w:t>
            </w:r>
          </w:p>
        </w:tc>
        <w:tc>
          <w:tcPr>
            <w:tcW w:type="dxa" w:w="1805"/>
            <w:shd w:val="clear" w:color="auto" w:fill="D6E4F0"/>
          </w:tcPr>
          <w:p>
            <w:pPr>
              <w:jc w:val="center"/>
            </w:pPr>
            <w:r>
              <w:rPr>
                <w:rFonts w:ascii="Times New Roman" w:hAnsi="Times New Roman"/>
                <w:sz w:val="20"/>
              </w:rPr>
              <w:t>Moderate; reflects high staff costs</w:t>
            </w:r>
          </w:p>
        </w:tc>
      </w:tr>
      <w:tr>
        <w:tc>
          <w:tcPr>
            <w:tcW w:type="dxa" w:w="1805"/>
            <w:shd w:val="clear" w:color="auto" w:fill="FFFFFF"/>
          </w:tcPr>
          <w:p>
            <w:pPr>
              <w:jc w:val="center"/>
            </w:pPr>
            <w:r>
              <w:rPr>
                <w:rFonts w:ascii="Times New Roman" w:hAnsi="Times New Roman"/>
                <w:sz w:val="20"/>
              </w:rPr>
              <w:t>Net Profit Margin</w:t>
            </w:r>
          </w:p>
        </w:tc>
        <w:tc>
          <w:tcPr>
            <w:tcW w:type="dxa" w:w="1805"/>
            <w:shd w:val="clear" w:color="auto" w:fill="FFFFFF"/>
          </w:tcPr>
          <w:p>
            <w:pPr>
              <w:jc w:val="center"/>
            </w:pPr>
            <w:r>
              <w:rPr>
                <w:rFonts w:ascii="Times New Roman" w:hAnsi="Times New Roman"/>
                <w:sz w:val="20"/>
              </w:rPr>
              <w:t>Net Profit ÷ Revenue</w:t>
            </w:r>
          </w:p>
        </w:tc>
        <w:tc>
          <w:tcPr>
            <w:tcW w:type="dxa" w:w="1805"/>
            <w:shd w:val="clear" w:color="auto" w:fill="FFFFFF"/>
          </w:tcPr>
          <w:p>
            <w:pPr>
              <w:jc w:val="center"/>
            </w:pPr>
            <w:r>
              <w:rPr>
                <w:rFonts w:ascii="Times New Roman" w:hAnsi="Times New Roman"/>
                <w:sz w:val="20"/>
              </w:rPr>
              <w:t>2,782 ÷ 26,500</w:t>
            </w:r>
          </w:p>
        </w:tc>
        <w:tc>
          <w:tcPr>
            <w:tcW w:type="dxa" w:w="1805"/>
            <w:shd w:val="clear" w:color="auto" w:fill="FFFFFF"/>
          </w:tcPr>
          <w:p>
            <w:pPr>
              <w:jc w:val="center"/>
            </w:pPr>
            <w:r>
              <w:rPr>
                <w:rFonts w:ascii="Times New Roman" w:hAnsi="Times New Roman"/>
                <w:sz w:val="20"/>
              </w:rPr>
              <w:t>10.5%</w:t>
            </w:r>
          </w:p>
        </w:tc>
        <w:tc>
          <w:tcPr>
            <w:tcW w:type="dxa" w:w="1805"/>
            <w:shd w:val="clear" w:color="auto" w:fill="FFFFFF"/>
          </w:tcPr>
          <w:p>
            <w:pPr>
              <w:jc w:val="center"/>
            </w:pPr>
            <w:r>
              <w:rPr>
                <w:rFonts w:ascii="Times New Roman" w:hAnsi="Times New Roman"/>
                <w:sz w:val="20"/>
              </w:rPr>
              <w:t>Good for private education sector</w:t>
            </w:r>
          </w:p>
        </w:tc>
      </w:tr>
      <w:tr>
        <w:tc>
          <w:tcPr>
            <w:tcW w:type="dxa" w:w="1805"/>
            <w:shd w:val="clear" w:color="auto" w:fill="D6E4F0"/>
          </w:tcPr>
          <w:p>
            <w:pPr>
              <w:jc w:val="center"/>
            </w:pPr>
            <w:r>
              <w:rPr>
                <w:rFonts w:ascii="Times New Roman" w:hAnsi="Times New Roman"/>
                <w:sz w:val="20"/>
              </w:rPr>
              <w:t>Operating Profit Margin</w:t>
            </w:r>
          </w:p>
        </w:tc>
        <w:tc>
          <w:tcPr>
            <w:tcW w:type="dxa" w:w="1805"/>
            <w:shd w:val="clear" w:color="auto" w:fill="D6E4F0"/>
          </w:tcPr>
          <w:p>
            <w:pPr>
              <w:jc w:val="center"/>
            </w:pPr>
            <w:r>
              <w:rPr>
                <w:rFonts w:ascii="Times New Roman" w:hAnsi="Times New Roman"/>
                <w:sz w:val="20"/>
              </w:rPr>
              <w:t>EBIT ÷ Revenue</w:t>
            </w:r>
          </w:p>
        </w:tc>
        <w:tc>
          <w:tcPr>
            <w:tcW w:type="dxa" w:w="1805"/>
            <w:shd w:val="clear" w:color="auto" w:fill="D6E4F0"/>
          </w:tcPr>
          <w:p>
            <w:pPr>
              <w:jc w:val="center"/>
            </w:pPr>
            <w:r>
              <w:rPr>
                <w:rFonts w:ascii="Times New Roman" w:hAnsi="Times New Roman"/>
                <w:sz w:val="20"/>
              </w:rPr>
              <w:t>3,975 ÷ 26,500</w:t>
            </w:r>
          </w:p>
        </w:tc>
        <w:tc>
          <w:tcPr>
            <w:tcW w:type="dxa" w:w="1805"/>
            <w:shd w:val="clear" w:color="auto" w:fill="D6E4F0"/>
          </w:tcPr>
          <w:p>
            <w:pPr>
              <w:jc w:val="center"/>
            </w:pPr>
            <w:r>
              <w:rPr>
                <w:rFonts w:ascii="Times New Roman" w:hAnsi="Times New Roman"/>
                <w:sz w:val="20"/>
              </w:rPr>
              <w:t>15.0%</w:t>
            </w:r>
          </w:p>
        </w:tc>
        <w:tc>
          <w:tcPr>
            <w:tcW w:type="dxa" w:w="1805"/>
            <w:shd w:val="clear" w:color="auto" w:fill="D6E4F0"/>
          </w:tcPr>
          <w:p>
            <w:pPr>
              <w:jc w:val="center"/>
            </w:pPr>
            <w:r>
              <w:rPr>
                <w:rFonts w:ascii="Times New Roman" w:hAnsi="Times New Roman"/>
                <w:sz w:val="20"/>
              </w:rPr>
              <w:t>Strong operational efficiency</w:t>
            </w:r>
          </w:p>
        </w:tc>
      </w:tr>
      <w:tr>
        <w:tc>
          <w:tcPr>
            <w:tcW w:type="dxa" w:w="1805"/>
            <w:shd w:val="clear" w:color="auto" w:fill="FFFFFF"/>
          </w:tcPr>
          <w:p>
            <w:pPr>
              <w:jc w:val="center"/>
            </w:pPr>
            <w:r>
              <w:rPr>
                <w:rFonts w:ascii="Times New Roman" w:hAnsi="Times New Roman"/>
                <w:sz w:val="20"/>
              </w:rPr>
              <w:t>Return on Assets (ROA)</w:t>
            </w:r>
          </w:p>
        </w:tc>
        <w:tc>
          <w:tcPr>
            <w:tcW w:type="dxa" w:w="1805"/>
            <w:shd w:val="clear" w:color="auto" w:fill="FFFFFF"/>
          </w:tcPr>
          <w:p>
            <w:pPr>
              <w:jc w:val="center"/>
            </w:pPr>
            <w:r>
              <w:rPr>
                <w:rFonts w:ascii="Times New Roman" w:hAnsi="Times New Roman"/>
                <w:sz w:val="20"/>
              </w:rPr>
              <w:t>Net Profit ÷ Total Assets</w:t>
            </w:r>
          </w:p>
        </w:tc>
        <w:tc>
          <w:tcPr>
            <w:tcW w:type="dxa" w:w="1805"/>
            <w:shd w:val="clear" w:color="auto" w:fill="FFFFFF"/>
          </w:tcPr>
          <w:p>
            <w:pPr>
              <w:jc w:val="center"/>
            </w:pPr>
            <w:r>
              <w:rPr>
                <w:rFonts w:ascii="Times New Roman" w:hAnsi="Times New Roman"/>
                <w:sz w:val="20"/>
              </w:rPr>
              <w:t>2,782 ÷ 27,700</w:t>
            </w:r>
          </w:p>
        </w:tc>
        <w:tc>
          <w:tcPr>
            <w:tcW w:type="dxa" w:w="1805"/>
            <w:shd w:val="clear" w:color="auto" w:fill="FFFFFF"/>
          </w:tcPr>
          <w:p>
            <w:pPr>
              <w:jc w:val="center"/>
            </w:pPr>
            <w:r>
              <w:rPr>
                <w:rFonts w:ascii="Times New Roman" w:hAnsi="Times New Roman"/>
                <w:sz w:val="20"/>
              </w:rPr>
              <w:t>10.0%</w:t>
            </w:r>
          </w:p>
        </w:tc>
        <w:tc>
          <w:tcPr>
            <w:tcW w:type="dxa" w:w="1805"/>
            <w:shd w:val="clear" w:color="auto" w:fill="FFFFFF"/>
          </w:tcPr>
          <w:p>
            <w:pPr>
              <w:jc w:val="center"/>
            </w:pPr>
            <w:r>
              <w:rPr>
                <w:rFonts w:ascii="Times New Roman" w:hAnsi="Times New Roman"/>
                <w:sz w:val="20"/>
              </w:rPr>
              <w:t>Good, reflecting strong asset use</w:t>
            </w:r>
          </w:p>
        </w:tc>
      </w:tr>
      <w:tr>
        <w:tc>
          <w:tcPr>
            <w:tcW w:type="dxa" w:w="1805"/>
            <w:shd w:val="clear" w:color="auto" w:fill="D6E4F0"/>
          </w:tcPr>
          <w:p>
            <w:pPr>
              <w:jc w:val="center"/>
            </w:pPr>
            <w:r>
              <w:rPr>
                <w:rFonts w:ascii="Times New Roman" w:hAnsi="Times New Roman"/>
                <w:sz w:val="20"/>
              </w:rPr>
              <w:t>Return on Equity (ROE)</w:t>
            </w:r>
          </w:p>
        </w:tc>
        <w:tc>
          <w:tcPr>
            <w:tcW w:type="dxa" w:w="1805"/>
            <w:shd w:val="clear" w:color="auto" w:fill="D6E4F0"/>
          </w:tcPr>
          <w:p>
            <w:pPr>
              <w:jc w:val="center"/>
            </w:pPr>
            <w:r>
              <w:rPr>
                <w:rFonts w:ascii="Times New Roman" w:hAnsi="Times New Roman"/>
                <w:sz w:val="20"/>
              </w:rPr>
              <w:t>Net Profit ÷ Total Equity</w:t>
            </w:r>
          </w:p>
        </w:tc>
        <w:tc>
          <w:tcPr>
            <w:tcW w:type="dxa" w:w="1805"/>
            <w:shd w:val="clear" w:color="auto" w:fill="D6E4F0"/>
          </w:tcPr>
          <w:p>
            <w:pPr>
              <w:jc w:val="center"/>
            </w:pPr>
            <w:r>
              <w:rPr>
                <w:rFonts w:ascii="Times New Roman" w:hAnsi="Times New Roman"/>
                <w:sz w:val="20"/>
              </w:rPr>
              <w:t>2,782 ÷ 18,000</w:t>
            </w:r>
          </w:p>
        </w:tc>
        <w:tc>
          <w:tcPr>
            <w:tcW w:type="dxa" w:w="1805"/>
            <w:shd w:val="clear" w:color="auto" w:fill="D6E4F0"/>
          </w:tcPr>
          <w:p>
            <w:pPr>
              <w:jc w:val="center"/>
            </w:pPr>
            <w:r>
              <w:rPr>
                <w:rFonts w:ascii="Times New Roman" w:hAnsi="Times New Roman"/>
                <w:sz w:val="20"/>
              </w:rPr>
              <w:t>15.5%</w:t>
            </w:r>
          </w:p>
        </w:tc>
        <w:tc>
          <w:tcPr>
            <w:tcW w:type="dxa" w:w="1805"/>
            <w:shd w:val="clear" w:color="auto" w:fill="D6E4F0"/>
          </w:tcPr>
          <w:p>
            <w:pPr>
              <w:jc w:val="center"/>
            </w:pPr>
            <w:r>
              <w:rPr>
                <w:rFonts w:ascii="Times New Roman" w:hAnsi="Times New Roman"/>
                <w:sz w:val="20"/>
              </w:rPr>
              <w:t>Strong return for shareholders</w:t>
            </w:r>
          </w:p>
        </w:tc>
      </w:tr>
    </w:tbl>
    <w:p>
      <w:pPr>
        <w:spacing w:before="60" w:after="120" w:line="360" w:lineRule="auto"/>
        <w:jc w:val="center"/>
      </w:pPr>
      <w:r>
        <w:rPr>
          <w:rFonts w:ascii="Times New Roman" w:hAnsi="Times New Roman"/>
          <w:b w:val="0"/>
          <w:i/>
          <w:sz w:val="24"/>
        </w:rPr>
        <w:t>Table 7: Profitability Ratios — FY 2024</w:t>
      </w:r>
    </w:p>
    <w:p>
      <w:pPr>
        <w:spacing w:before="120" w:after="120" w:line="360" w:lineRule="auto"/>
        <w:jc w:val="both"/>
      </w:pPr>
      <w:r>
        <w:rPr>
          <w:rFonts w:ascii="Times New Roman" w:hAnsi="Times New Roman"/>
          <w:b w:val="0"/>
          <w:i w:val="0"/>
          <w:sz w:val="24"/>
        </w:rPr>
        <w:t>The net profit margin of 10.5% is healthy for a large private school network, particularly given the significant infrastructure and staffing costs involved. The ROE of 15.5% demonstrates that Beaconhouse generates a strong return on shareholder investment, making it an attractive and financially sustainable enterprise. The operating profit margin of 15.0% reflects effective cost management across the network.</w:t>
      </w:r>
    </w:p>
    <w:p>
      <w:pPr>
        <w:spacing w:before="120" w:after="40" w:line="360" w:lineRule="auto"/>
        <w:jc w:val="both"/>
      </w:pPr>
      <w:r>
        <w:rPr>
          <w:rFonts w:ascii="Times New Roman" w:hAnsi="Times New Roman"/>
          <w:b/>
          <w:i w:val="0"/>
          <w:sz w:val="24"/>
        </w:rPr>
        <w:t>C. Efficiency / Activity Ratios</w:t>
      </w:r>
    </w:p>
    <w:p>
      <w:pPr>
        <w:spacing w:before="120" w:after="120" w:line="360" w:lineRule="auto"/>
        <w:jc w:val="both"/>
      </w:pPr>
      <w:r>
        <w:rPr>
          <w:rFonts w:ascii="Times New Roman" w:hAnsi="Times New Roman"/>
          <w:b w:val="0"/>
          <w:i w:val="0"/>
          <w:sz w:val="24"/>
        </w:rPr>
        <w:t>Efficiency ratios assess how effectively the organization utilizes its assets and manages its operational processes to generate revenue.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1F3864"/>
          </w:tcPr>
          <w:p>
            <w:pPr>
              <w:jc w:val="center"/>
            </w:pPr>
            <w:r>
              <w:rPr>
                <w:rFonts w:ascii="Times New Roman" w:hAnsi="Times New Roman"/>
                <w:b/>
                <w:color w:val="FFFFFF"/>
                <w:sz w:val="20"/>
              </w:rPr>
              <w:t>Ratio</w:t>
            </w:r>
          </w:p>
        </w:tc>
        <w:tc>
          <w:tcPr>
            <w:tcW w:type="dxa" w:w="1805"/>
            <w:shd w:val="clear" w:color="auto" w:fill="1F3864"/>
          </w:tcPr>
          <w:p>
            <w:pPr>
              <w:jc w:val="center"/>
            </w:pPr>
            <w:r>
              <w:rPr>
                <w:rFonts w:ascii="Times New Roman" w:hAnsi="Times New Roman"/>
                <w:b/>
                <w:color w:val="FFFFFF"/>
                <w:sz w:val="20"/>
              </w:rPr>
              <w:t>Formula</w:t>
            </w:r>
          </w:p>
        </w:tc>
        <w:tc>
          <w:tcPr>
            <w:tcW w:type="dxa" w:w="1805"/>
            <w:shd w:val="clear" w:color="auto" w:fill="1F3864"/>
          </w:tcPr>
          <w:p>
            <w:pPr>
              <w:jc w:val="center"/>
            </w:pPr>
            <w:r>
              <w:rPr>
                <w:rFonts w:ascii="Times New Roman" w:hAnsi="Times New Roman"/>
                <w:b/>
                <w:color w:val="FFFFFF"/>
                <w:sz w:val="20"/>
              </w:rPr>
              <w:t>FY 2024 Calculation</w:t>
            </w:r>
          </w:p>
        </w:tc>
        <w:tc>
          <w:tcPr>
            <w:tcW w:type="dxa" w:w="1805"/>
            <w:shd w:val="clear" w:color="auto" w:fill="1F3864"/>
          </w:tcPr>
          <w:p>
            <w:pPr>
              <w:jc w:val="center"/>
            </w:pPr>
            <w:r>
              <w:rPr>
                <w:rFonts w:ascii="Times New Roman" w:hAnsi="Times New Roman"/>
                <w:b/>
                <w:color w:val="FFFFFF"/>
                <w:sz w:val="20"/>
              </w:rPr>
              <w:t>Result</w:t>
            </w:r>
          </w:p>
        </w:tc>
        <w:tc>
          <w:tcPr>
            <w:tcW w:type="dxa" w:w="1805"/>
            <w:shd w:val="clear" w:color="auto" w:fill="1F3864"/>
          </w:tcPr>
          <w:p>
            <w:pPr>
              <w:jc w:val="center"/>
            </w:pPr>
            <w:r>
              <w:rPr>
                <w:rFonts w:ascii="Times New Roman" w:hAnsi="Times New Roman"/>
                <w:b/>
                <w:color w:val="FFFFFF"/>
                <w:sz w:val="20"/>
              </w:rPr>
              <w:t>Interpretation</w:t>
            </w:r>
          </w:p>
        </w:tc>
      </w:tr>
      <w:tr>
        <w:tc>
          <w:tcPr>
            <w:tcW w:type="dxa" w:w="1805"/>
            <w:shd w:val="clear" w:color="auto" w:fill="D6E4F0"/>
          </w:tcPr>
          <w:p>
            <w:pPr>
              <w:jc w:val="center"/>
            </w:pPr>
            <w:r>
              <w:rPr>
                <w:rFonts w:ascii="Times New Roman" w:hAnsi="Times New Roman"/>
                <w:sz w:val="20"/>
              </w:rPr>
              <w:t>Asset Turnover Ratio</w:t>
            </w:r>
          </w:p>
        </w:tc>
        <w:tc>
          <w:tcPr>
            <w:tcW w:type="dxa" w:w="1805"/>
            <w:shd w:val="clear" w:color="auto" w:fill="D6E4F0"/>
          </w:tcPr>
          <w:p>
            <w:pPr>
              <w:jc w:val="center"/>
            </w:pPr>
            <w:r>
              <w:rPr>
                <w:rFonts w:ascii="Times New Roman" w:hAnsi="Times New Roman"/>
                <w:sz w:val="20"/>
              </w:rPr>
              <w:t>Revenue ÷ Total Assets</w:t>
            </w:r>
          </w:p>
        </w:tc>
        <w:tc>
          <w:tcPr>
            <w:tcW w:type="dxa" w:w="1805"/>
            <w:shd w:val="clear" w:color="auto" w:fill="D6E4F0"/>
          </w:tcPr>
          <w:p>
            <w:pPr>
              <w:jc w:val="center"/>
            </w:pPr>
            <w:r>
              <w:rPr>
                <w:rFonts w:ascii="Times New Roman" w:hAnsi="Times New Roman"/>
                <w:sz w:val="20"/>
              </w:rPr>
              <w:t>26,500 ÷ 27,700</w:t>
            </w:r>
          </w:p>
        </w:tc>
        <w:tc>
          <w:tcPr>
            <w:tcW w:type="dxa" w:w="1805"/>
            <w:shd w:val="clear" w:color="auto" w:fill="D6E4F0"/>
          </w:tcPr>
          <w:p>
            <w:pPr>
              <w:jc w:val="center"/>
            </w:pPr>
            <w:r>
              <w:rPr>
                <w:rFonts w:ascii="Times New Roman" w:hAnsi="Times New Roman"/>
                <w:sz w:val="20"/>
              </w:rPr>
              <w:t>0.96x</w:t>
            </w:r>
          </w:p>
        </w:tc>
        <w:tc>
          <w:tcPr>
            <w:tcW w:type="dxa" w:w="1805"/>
            <w:shd w:val="clear" w:color="auto" w:fill="D6E4F0"/>
          </w:tcPr>
          <w:p>
            <w:pPr>
              <w:jc w:val="center"/>
            </w:pPr>
            <w:r>
              <w:rPr>
                <w:rFonts w:ascii="Times New Roman" w:hAnsi="Times New Roman"/>
                <w:sz w:val="20"/>
              </w:rPr>
              <w:t>Close to 1x; efficient asset use</w:t>
            </w:r>
          </w:p>
        </w:tc>
      </w:tr>
      <w:tr>
        <w:tc>
          <w:tcPr>
            <w:tcW w:type="dxa" w:w="1805"/>
            <w:shd w:val="clear" w:color="auto" w:fill="FFFFFF"/>
          </w:tcPr>
          <w:p>
            <w:pPr>
              <w:jc w:val="center"/>
            </w:pPr>
            <w:r>
              <w:rPr>
                <w:rFonts w:ascii="Times New Roman" w:hAnsi="Times New Roman"/>
                <w:sz w:val="20"/>
              </w:rPr>
              <w:t>Receivables Turnover</w:t>
            </w:r>
          </w:p>
        </w:tc>
        <w:tc>
          <w:tcPr>
            <w:tcW w:type="dxa" w:w="1805"/>
            <w:shd w:val="clear" w:color="auto" w:fill="FFFFFF"/>
          </w:tcPr>
          <w:p>
            <w:pPr>
              <w:jc w:val="center"/>
            </w:pPr>
            <w:r>
              <w:rPr>
                <w:rFonts w:ascii="Times New Roman" w:hAnsi="Times New Roman"/>
                <w:sz w:val="20"/>
              </w:rPr>
              <w:t>Revenue ÷ Accounts Receivable</w:t>
            </w:r>
          </w:p>
        </w:tc>
        <w:tc>
          <w:tcPr>
            <w:tcW w:type="dxa" w:w="1805"/>
            <w:shd w:val="clear" w:color="auto" w:fill="FFFFFF"/>
          </w:tcPr>
          <w:p>
            <w:pPr>
              <w:jc w:val="center"/>
            </w:pPr>
            <w:r>
              <w:rPr>
                <w:rFonts w:ascii="Times New Roman" w:hAnsi="Times New Roman"/>
                <w:sz w:val="20"/>
              </w:rPr>
              <w:t>26,500 ÷ 4,300</w:t>
            </w:r>
          </w:p>
        </w:tc>
        <w:tc>
          <w:tcPr>
            <w:tcW w:type="dxa" w:w="1805"/>
            <w:shd w:val="clear" w:color="auto" w:fill="FFFFFF"/>
          </w:tcPr>
          <w:p>
            <w:pPr>
              <w:jc w:val="center"/>
            </w:pPr>
            <w:r>
              <w:rPr>
                <w:rFonts w:ascii="Times New Roman" w:hAnsi="Times New Roman"/>
                <w:sz w:val="20"/>
              </w:rPr>
              <w:t>6.16x</w:t>
            </w:r>
          </w:p>
        </w:tc>
        <w:tc>
          <w:tcPr>
            <w:tcW w:type="dxa" w:w="1805"/>
            <w:shd w:val="clear" w:color="auto" w:fill="FFFFFF"/>
          </w:tcPr>
          <w:p>
            <w:pPr>
              <w:jc w:val="center"/>
            </w:pPr>
            <w:r>
              <w:rPr>
                <w:rFonts w:ascii="Times New Roman" w:hAnsi="Times New Roman"/>
                <w:sz w:val="20"/>
              </w:rPr>
              <w:t>Good; fees collected ~6x per year</w:t>
            </w:r>
          </w:p>
        </w:tc>
      </w:tr>
      <w:tr>
        <w:tc>
          <w:tcPr>
            <w:tcW w:type="dxa" w:w="1805"/>
            <w:shd w:val="clear" w:color="auto" w:fill="D6E4F0"/>
          </w:tcPr>
          <w:p>
            <w:pPr>
              <w:jc w:val="center"/>
            </w:pPr>
            <w:r>
              <w:rPr>
                <w:rFonts w:ascii="Times New Roman" w:hAnsi="Times New Roman"/>
                <w:sz w:val="20"/>
              </w:rPr>
              <w:t>Days Sales Outstanding</w:t>
            </w:r>
          </w:p>
        </w:tc>
        <w:tc>
          <w:tcPr>
            <w:tcW w:type="dxa" w:w="1805"/>
            <w:shd w:val="clear" w:color="auto" w:fill="D6E4F0"/>
          </w:tcPr>
          <w:p>
            <w:pPr>
              <w:jc w:val="center"/>
            </w:pPr>
            <w:r>
              <w:rPr>
                <w:rFonts w:ascii="Times New Roman" w:hAnsi="Times New Roman"/>
                <w:sz w:val="20"/>
              </w:rPr>
              <w:t>365 ÷ Receivables Turnover</w:t>
            </w:r>
          </w:p>
        </w:tc>
        <w:tc>
          <w:tcPr>
            <w:tcW w:type="dxa" w:w="1805"/>
            <w:shd w:val="clear" w:color="auto" w:fill="D6E4F0"/>
          </w:tcPr>
          <w:p>
            <w:pPr>
              <w:jc w:val="center"/>
            </w:pPr>
            <w:r>
              <w:rPr>
                <w:rFonts w:ascii="Times New Roman" w:hAnsi="Times New Roman"/>
                <w:sz w:val="20"/>
              </w:rPr>
              <w:t>365 ÷ 6.16</w:t>
            </w:r>
          </w:p>
        </w:tc>
        <w:tc>
          <w:tcPr>
            <w:tcW w:type="dxa" w:w="1805"/>
            <w:shd w:val="clear" w:color="auto" w:fill="D6E4F0"/>
          </w:tcPr>
          <w:p>
            <w:pPr>
              <w:jc w:val="center"/>
            </w:pPr>
            <w:r>
              <w:rPr>
                <w:rFonts w:ascii="Times New Roman" w:hAnsi="Times New Roman"/>
                <w:sz w:val="20"/>
              </w:rPr>
              <w:t>59 days</w:t>
            </w:r>
          </w:p>
        </w:tc>
        <w:tc>
          <w:tcPr>
            <w:tcW w:type="dxa" w:w="1805"/>
            <w:shd w:val="clear" w:color="auto" w:fill="D6E4F0"/>
          </w:tcPr>
          <w:p>
            <w:pPr>
              <w:jc w:val="center"/>
            </w:pPr>
            <w:r>
              <w:rPr>
                <w:rFonts w:ascii="Times New Roman" w:hAnsi="Times New Roman"/>
                <w:sz w:val="20"/>
              </w:rPr>
              <w:t>Acceptable for term-fee model</w:t>
            </w:r>
          </w:p>
        </w:tc>
      </w:tr>
    </w:tbl>
    <w:p>
      <w:pPr>
        <w:spacing w:before="60" w:after="120" w:line="360" w:lineRule="auto"/>
        <w:jc w:val="center"/>
      </w:pPr>
      <w:r>
        <w:rPr>
          <w:rFonts w:ascii="Times New Roman" w:hAnsi="Times New Roman"/>
          <w:b w:val="0"/>
          <w:i/>
          <w:sz w:val="24"/>
        </w:rPr>
        <w:t>Table 8: Efficiency Ratios — FY 2024</w:t>
      </w:r>
    </w:p>
    <w:p>
      <w:pPr>
        <w:spacing w:before="120" w:after="120" w:line="360" w:lineRule="auto"/>
        <w:jc w:val="both"/>
      </w:pPr>
      <w:r>
        <w:rPr>
          <w:rFonts w:ascii="Times New Roman" w:hAnsi="Times New Roman"/>
          <w:b w:val="0"/>
          <w:i w:val="0"/>
          <w:sz w:val="24"/>
        </w:rPr>
        <w:t>The asset turnover ratio of 0.96x indicates that Beaconhouse generates nearly PKR 1 of revenue for every PKR 1 of assets — an efficient result for a capital-intensive educational institution. The receivables turnover of 6.16x and DSO of 59 days are consistent with the term-based fee collection model, where fees are collected termly and some accounts remain outstanding at year-end pending resolution.</w:t>
      </w:r>
    </w:p>
    <w:p>
      <w:pPr>
        <w:spacing w:before="120" w:after="40" w:line="360" w:lineRule="auto"/>
        <w:jc w:val="both"/>
      </w:pPr>
      <w:r>
        <w:rPr>
          <w:rFonts w:ascii="Times New Roman" w:hAnsi="Times New Roman"/>
          <w:b/>
          <w:i w:val="0"/>
          <w:sz w:val="24"/>
        </w:rPr>
        <w:t>D. Leverage / Solvency Ratios</w:t>
      </w:r>
    </w:p>
    <w:p>
      <w:pPr>
        <w:spacing w:before="120" w:after="120" w:line="360" w:lineRule="auto"/>
        <w:jc w:val="both"/>
      </w:pPr>
      <w:r>
        <w:rPr>
          <w:rFonts w:ascii="Times New Roman" w:hAnsi="Times New Roman"/>
          <w:b w:val="0"/>
          <w:i w:val="0"/>
          <w:sz w:val="24"/>
        </w:rPr>
        <w:t>Leverage ratios measure the extent to which the organization relies on debt financing and its ability to meet long-term financial obligations.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1F3864"/>
          </w:tcPr>
          <w:p>
            <w:pPr>
              <w:jc w:val="center"/>
            </w:pPr>
            <w:r>
              <w:rPr>
                <w:rFonts w:ascii="Times New Roman" w:hAnsi="Times New Roman"/>
                <w:b/>
                <w:color w:val="FFFFFF"/>
                <w:sz w:val="20"/>
              </w:rPr>
              <w:t>Ratio</w:t>
            </w:r>
          </w:p>
        </w:tc>
        <w:tc>
          <w:tcPr>
            <w:tcW w:type="dxa" w:w="1805"/>
            <w:shd w:val="clear" w:color="auto" w:fill="1F3864"/>
          </w:tcPr>
          <w:p>
            <w:pPr>
              <w:jc w:val="center"/>
            </w:pPr>
            <w:r>
              <w:rPr>
                <w:rFonts w:ascii="Times New Roman" w:hAnsi="Times New Roman"/>
                <w:b/>
                <w:color w:val="FFFFFF"/>
                <w:sz w:val="20"/>
              </w:rPr>
              <w:t>Formula</w:t>
            </w:r>
          </w:p>
        </w:tc>
        <w:tc>
          <w:tcPr>
            <w:tcW w:type="dxa" w:w="1805"/>
            <w:shd w:val="clear" w:color="auto" w:fill="1F3864"/>
          </w:tcPr>
          <w:p>
            <w:pPr>
              <w:jc w:val="center"/>
            </w:pPr>
            <w:r>
              <w:rPr>
                <w:rFonts w:ascii="Times New Roman" w:hAnsi="Times New Roman"/>
                <w:b/>
                <w:color w:val="FFFFFF"/>
                <w:sz w:val="20"/>
              </w:rPr>
              <w:t>FY 2024 Calculation</w:t>
            </w:r>
          </w:p>
        </w:tc>
        <w:tc>
          <w:tcPr>
            <w:tcW w:type="dxa" w:w="1805"/>
            <w:shd w:val="clear" w:color="auto" w:fill="1F3864"/>
          </w:tcPr>
          <w:p>
            <w:pPr>
              <w:jc w:val="center"/>
            </w:pPr>
            <w:r>
              <w:rPr>
                <w:rFonts w:ascii="Times New Roman" w:hAnsi="Times New Roman"/>
                <w:b/>
                <w:color w:val="FFFFFF"/>
                <w:sz w:val="20"/>
              </w:rPr>
              <w:t>Result</w:t>
            </w:r>
          </w:p>
        </w:tc>
        <w:tc>
          <w:tcPr>
            <w:tcW w:type="dxa" w:w="1805"/>
            <w:shd w:val="clear" w:color="auto" w:fill="1F3864"/>
          </w:tcPr>
          <w:p>
            <w:pPr>
              <w:jc w:val="center"/>
            </w:pPr>
            <w:r>
              <w:rPr>
                <w:rFonts w:ascii="Times New Roman" w:hAnsi="Times New Roman"/>
                <w:b/>
                <w:color w:val="FFFFFF"/>
                <w:sz w:val="20"/>
              </w:rPr>
              <w:t>Interpretation</w:t>
            </w:r>
          </w:p>
        </w:tc>
      </w:tr>
      <w:tr>
        <w:tc>
          <w:tcPr>
            <w:tcW w:type="dxa" w:w="1805"/>
            <w:shd w:val="clear" w:color="auto" w:fill="D6E4F0"/>
          </w:tcPr>
          <w:p>
            <w:pPr>
              <w:jc w:val="center"/>
            </w:pPr>
            <w:r>
              <w:rPr>
                <w:rFonts w:ascii="Times New Roman" w:hAnsi="Times New Roman"/>
                <w:sz w:val="20"/>
              </w:rPr>
              <w:t>Debt-to-Equity Ratio</w:t>
            </w:r>
          </w:p>
        </w:tc>
        <w:tc>
          <w:tcPr>
            <w:tcW w:type="dxa" w:w="1805"/>
            <w:shd w:val="clear" w:color="auto" w:fill="D6E4F0"/>
          </w:tcPr>
          <w:p>
            <w:pPr>
              <w:jc w:val="center"/>
            </w:pPr>
            <w:r>
              <w:rPr>
                <w:rFonts w:ascii="Times New Roman" w:hAnsi="Times New Roman"/>
                <w:sz w:val="20"/>
              </w:rPr>
              <w:t>Total Liabilities ÷ Total Equity</w:t>
            </w:r>
          </w:p>
        </w:tc>
        <w:tc>
          <w:tcPr>
            <w:tcW w:type="dxa" w:w="1805"/>
            <w:shd w:val="clear" w:color="auto" w:fill="D6E4F0"/>
          </w:tcPr>
          <w:p>
            <w:pPr>
              <w:jc w:val="center"/>
            </w:pPr>
            <w:r>
              <w:rPr>
                <w:rFonts w:ascii="Times New Roman" w:hAnsi="Times New Roman"/>
                <w:sz w:val="20"/>
              </w:rPr>
              <w:t>9,700 ÷ 18,000</w:t>
            </w:r>
          </w:p>
        </w:tc>
        <w:tc>
          <w:tcPr>
            <w:tcW w:type="dxa" w:w="1805"/>
            <w:shd w:val="clear" w:color="auto" w:fill="D6E4F0"/>
          </w:tcPr>
          <w:p>
            <w:pPr>
              <w:jc w:val="center"/>
            </w:pPr>
            <w:r>
              <w:rPr>
                <w:rFonts w:ascii="Times New Roman" w:hAnsi="Times New Roman"/>
                <w:sz w:val="20"/>
              </w:rPr>
              <w:t>0.54x</w:t>
            </w:r>
          </w:p>
        </w:tc>
        <w:tc>
          <w:tcPr>
            <w:tcW w:type="dxa" w:w="1805"/>
            <w:shd w:val="clear" w:color="auto" w:fill="D6E4F0"/>
          </w:tcPr>
          <w:p>
            <w:pPr>
              <w:jc w:val="center"/>
            </w:pPr>
            <w:r>
              <w:rPr>
                <w:rFonts w:ascii="Times New Roman" w:hAnsi="Times New Roman"/>
                <w:sz w:val="20"/>
              </w:rPr>
              <w:t>Low leverage; financially stable</w:t>
            </w:r>
          </w:p>
        </w:tc>
      </w:tr>
      <w:tr>
        <w:tc>
          <w:tcPr>
            <w:tcW w:type="dxa" w:w="1805"/>
            <w:shd w:val="clear" w:color="auto" w:fill="FFFFFF"/>
          </w:tcPr>
          <w:p>
            <w:pPr>
              <w:jc w:val="center"/>
            </w:pPr>
            <w:r>
              <w:rPr>
                <w:rFonts w:ascii="Times New Roman" w:hAnsi="Times New Roman"/>
                <w:sz w:val="20"/>
              </w:rPr>
              <w:t>Debt-to-Assets Ratio</w:t>
            </w:r>
          </w:p>
        </w:tc>
        <w:tc>
          <w:tcPr>
            <w:tcW w:type="dxa" w:w="1805"/>
            <w:shd w:val="clear" w:color="auto" w:fill="FFFFFF"/>
          </w:tcPr>
          <w:p>
            <w:pPr>
              <w:jc w:val="center"/>
            </w:pPr>
            <w:r>
              <w:rPr>
                <w:rFonts w:ascii="Times New Roman" w:hAnsi="Times New Roman"/>
                <w:sz w:val="20"/>
              </w:rPr>
              <w:t>Total Liabilities ÷ Total Assets</w:t>
            </w:r>
          </w:p>
        </w:tc>
        <w:tc>
          <w:tcPr>
            <w:tcW w:type="dxa" w:w="1805"/>
            <w:shd w:val="clear" w:color="auto" w:fill="FFFFFF"/>
          </w:tcPr>
          <w:p>
            <w:pPr>
              <w:jc w:val="center"/>
            </w:pPr>
            <w:r>
              <w:rPr>
                <w:rFonts w:ascii="Times New Roman" w:hAnsi="Times New Roman"/>
                <w:sz w:val="20"/>
              </w:rPr>
              <w:t>9,700 ÷ 27,700</w:t>
            </w:r>
          </w:p>
        </w:tc>
        <w:tc>
          <w:tcPr>
            <w:tcW w:type="dxa" w:w="1805"/>
            <w:shd w:val="clear" w:color="auto" w:fill="FFFFFF"/>
          </w:tcPr>
          <w:p>
            <w:pPr>
              <w:jc w:val="center"/>
            </w:pPr>
            <w:r>
              <w:rPr>
                <w:rFonts w:ascii="Times New Roman" w:hAnsi="Times New Roman"/>
                <w:sz w:val="20"/>
              </w:rPr>
              <w:t>35.0%</w:t>
            </w:r>
          </w:p>
        </w:tc>
        <w:tc>
          <w:tcPr>
            <w:tcW w:type="dxa" w:w="1805"/>
            <w:shd w:val="clear" w:color="auto" w:fill="FFFFFF"/>
          </w:tcPr>
          <w:p>
            <w:pPr>
              <w:jc w:val="center"/>
            </w:pPr>
            <w:r>
              <w:rPr>
                <w:rFonts w:ascii="Times New Roman" w:hAnsi="Times New Roman"/>
                <w:sz w:val="20"/>
              </w:rPr>
              <w:t>Conservative; 65% equity-financed</w:t>
            </w:r>
          </w:p>
        </w:tc>
      </w:tr>
      <w:tr>
        <w:tc>
          <w:tcPr>
            <w:tcW w:type="dxa" w:w="1805"/>
            <w:shd w:val="clear" w:color="auto" w:fill="D6E4F0"/>
          </w:tcPr>
          <w:p>
            <w:pPr>
              <w:jc w:val="center"/>
            </w:pPr>
            <w:r>
              <w:rPr>
                <w:rFonts w:ascii="Times New Roman" w:hAnsi="Times New Roman"/>
                <w:sz w:val="20"/>
              </w:rPr>
              <w:t>Equity Multiplier</w:t>
            </w:r>
          </w:p>
        </w:tc>
        <w:tc>
          <w:tcPr>
            <w:tcW w:type="dxa" w:w="1805"/>
            <w:shd w:val="clear" w:color="auto" w:fill="D6E4F0"/>
          </w:tcPr>
          <w:p>
            <w:pPr>
              <w:jc w:val="center"/>
            </w:pPr>
            <w:r>
              <w:rPr>
                <w:rFonts w:ascii="Times New Roman" w:hAnsi="Times New Roman"/>
                <w:sz w:val="20"/>
              </w:rPr>
              <w:t>Total Assets ÷ Total Equity</w:t>
            </w:r>
          </w:p>
        </w:tc>
        <w:tc>
          <w:tcPr>
            <w:tcW w:type="dxa" w:w="1805"/>
            <w:shd w:val="clear" w:color="auto" w:fill="D6E4F0"/>
          </w:tcPr>
          <w:p>
            <w:pPr>
              <w:jc w:val="center"/>
            </w:pPr>
            <w:r>
              <w:rPr>
                <w:rFonts w:ascii="Times New Roman" w:hAnsi="Times New Roman"/>
                <w:sz w:val="20"/>
              </w:rPr>
              <w:t>27,700 ÷ 18,000</w:t>
            </w:r>
          </w:p>
        </w:tc>
        <w:tc>
          <w:tcPr>
            <w:tcW w:type="dxa" w:w="1805"/>
            <w:shd w:val="clear" w:color="auto" w:fill="D6E4F0"/>
          </w:tcPr>
          <w:p>
            <w:pPr>
              <w:jc w:val="center"/>
            </w:pPr>
            <w:r>
              <w:rPr>
                <w:rFonts w:ascii="Times New Roman" w:hAnsi="Times New Roman"/>
                <w:sz w:val="20"/>
              </w:rPr>
              <w:t>1.54x</w:t>
            </w:r>
          </w:p>
        </w:tc>
        <w:tc>
          <w:tcPr>
            <w:tcW w:type="dxa" w:w="1805"/>
            <w:shd w:val="clear" w:color="auto" w:fill="D6E4F0"/>
          </w:tcPr>
          <w:p>
            <w:pPr>
              <w:jc w:val="center"/>
            </w:pPr>
            <w:r>
              <w:rPr>
                <w:rFonts w:ascii="Times New Roman" w:hAnsi="Times New Roman"/>
                <w:sz w:val="20"/>
              </w:rPr>
              <w:t>Low financial risk</w:t>
            </w:r>
          </w:p>
        </w:tc>
      </w:tr>
      <w:tr>
        <w:tc>
          <w:tcPr>
            <w:tcW w:type="dxa" w:w="1805"/>
            <w:shd w:val="clear" w:color="auto" w:fill="FFFFFF"/>
          </w:tcPr>
          <w:p>
            <w:pPr>
              <w:jc w:val="center"/>
            </w:pPr>
            <w:r>
              <w:rPr>
                <w:rFonts w:ascii="Times New Roman" w:hAnsi="Times New Roman"/>
                <w:sz w:val="20"/>
              </w:rPr>
              <w:t>Interest Coverage Ratio</w:t>
            </w:r>
          </w:p>
        </w:tc>
        <w:tc>
          <w:tcPr>
            <w:tcW w:type="dxa" w:w="1805"/>
            <w:shd w:val="clear" w:color="auto" w:fill="FFFFFF"/>
          </w:tcPr>
          <w:p>
            <w:pPr>
              <w:jc w:val="center"/>
            </w:pPr>
            <w:r>
              <w:rPr>
                <w:rFonts w:ascii="Times New Roman" w:hAnsi="Times New Roman"/>
                <w:sz w:val="20"/>
              </w:rPr>
              <w:t>EBIT ÷ Interest Expense (est.)</w:t>
            </w:r>
          </w:p>
        </w:tc>
        <w:tc>
          <w:tcPr>
            <w:tcW w:type="dxa" w:w="1805"/>
            <w:shd w:val="clear" w:color="auto" w:fill="FFFFFF"/>
          </w:tcPr>
          <w:p>
            <w:pPr>
              <w:jc w:val="center"/>
            </w:pPr>
            <w:r>
              <w:rPr>
                <w:rFonts w:ascii="Times New Roman" w:hAnsi="Times New Roman"/>
                <w:sz w:val="20"/>
              </w:rPr>
              <w:t>3,975 ÷ 350</w:t>
            </w:r>
          </w:p>
        </w:tc>
        <w:tc>
          <w:tcPr>
            <w:tcW w:type="dxa" w:w="1805"/>
            <w:shd w:val="clear" w:color="auto" w:fill="FFFFFF"/>
          </w:tcPr>
          <w:p>
            <w:pPr>
              <w:jc w:val="center"/>
            </w:pPr>
            <w:r>
              <w:rPr>
                <w:rFonts w:ascii="Times New Roman" w:hAnsi="Times New Roman"/>
                <w:sz w:val="20"/>
              </w:rPr>
              <w:t>11.4x</w:t>
            </w:r>
          </w:p>
        </w:tc>
        <w:tc>
          <w:tcPr>
            <w:tcW w:type="dxa" w:w="1805"/>
            <w:shd w:val="clear" w:color="auto" w:fill="FFFFFF"/>
          </w:tcPr>
          <w:p>
            <w:pPr>
              <w:jc w:val="center"/>
            </w:pPr>
            <w:r>
              <w:rPr>
                <w:rFonts w:ascii="Times New Roman" w:hAnsi="Times New Roman"/>
                <w:sz w:val="20"/>
              </w:rPr>
              <w:t>Very strong debt service capacity</w:t>
            </w:r>
          </w:p>
        </w:tc>
      </w:tr>
    </w:tbl>
    <w:p>
      <w:pPr>
        <w:spacing w:before="60" w:after="120" w:line="360" w:lineRule="auto"/>
        <w:jc w:val="center"/>
      </w:pPr>
      <w:r>
        <w:rPr>
          <w:rFonts w:ascii="Times New Roman" w:hAnsi="Times New Roman"/>
          <w:b w:val="0"/>
          <w:i/>
          <w:sz w:val="24"/>
        </w:rPr>
        <w:t>Table 9: Leverage / Solvency Ratios — FY 2024</w:t>
      </w:r>
    </w:p>
    <w:p>
      <w:pPr>
        <w:spacing w:before="120" w:after="120" w:line="360" w:lineRule="auto"/>
        <w:jc w:val="both"/>
      </w:pPr>
      <w:r>
        <w:rPr>
          <w:rFonts w:ascii="Times New Roman" w:hAnsi="Times New Roman"/>
          <w:b w:val="0"/>
          <w:i w:val="0"/>
          <w:sz w:val="24"/>
        </w:rPr>
        <w:t>The debt-to-equity ratio of 0.54x confirms that Beaconhouse is primarily equity-financed, with total liabilities representing only 35% of total assets. This conservative financial structure reduces financial risk and provides significant capacity to take on additional debt if required for strategic expansion. The interest coverage ratio of 11.4x indicates a very strong ability to service debt obligations from operating earnings, reflecting financial robustness.</w:t>
      </w:r>
    </w:p>
    <w:p>
      <w:pPr>
        <w:spacing w:before="120" w:after="40" w:line="360" w:lineRule="auto"/>
        <w:jc w:val="both"/>
      </w:pPr>
      <w:r>
        <w:rPr>
          <w:rFonts w:ascii="Times New Roman" w:hAnsi="Times New Roman"/>
          <w:b/>
          <w:i w:val="0"/>
          <w:sz w:val="24"/>
        </w:rPr>
        <w:t>E. Summary of Financial Ratios — FY 2022 to FY 2024 Trend</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1F3864"/>
          </w:tcPr>
          <w:p>
            <w:pPr>
              <w:jc w:val="center"/>
            </w:pPr>
            <w:r>
              <w:rPr>
                <w:rFonts w:ascii="Times New Roman" w:hAnsi="Times New Roman"/>
                <w:b/>
                <w:color w:val="FFFFFF"/>
                <w:sz w:val="20"/>
              </w:rPr>
              <w:t>Ratio</w:t>
            </w:r>
          </w:p>
        </w:tc>
        <w:tc>
          <w:tcPr>
            <w:tcW w:type="dxa" w:w="1805"/>
            <w:shd w:val="clear" w:color="auto" w:fill="1F3864"/>
          </w:tcPr>
          <w:p>
            <w:pPr>
              <w:jc w:val="center"/>
            </w:pPr>
            <w:r>
              <w:rPr>
                <w:rFonts w:ascii="Times New Roman" w:hAnsi="Times New Roman"/>
                <w:b/>
                <w:color w:val="FFFFFF"/>
                <w:sz w:val="20"/>
              </w:rPr>
              <w:t>FY 2022</w:t>
            </w:r>
          </w:p>
        </w:tc>
        <w:tc>
          <w:tcPr>
            <w:tcW w:type="dxa" w:w="1805"/>
            <w:shd w:val="clear" w:color="auto" w:fill="1F3864"/>
          </w:tcPr>
          <w:p>
            <w:pPr>
              <w:jc w:val="center"/>
            </w:pPr>
            <w:r>
              <w:rPr>
                <w:rFonts w:ascii="Times New Roman" w:hAnsi="Times New Roman"/>
                <w:b/>
                <w:color w:val="FFFFFF"/>
                <w:sz w:val="20"/>
              </w:rPr>
              <w:t>FY 2023</w:t>
            </w:r>
          </w:p>
        </w:tc>
        <w:tc>
          <w:tcPr>
            <w:tcW w:type="dxa" w:w="1805"/>
            <w:shd w:val="clear" w:color="auto" w:fill="1F3864"/>
          </w:tcPr>
          <w:p>
            <w:pPr>
              <w:jc w:val="center"/>
            </w:pPr>
            <w:r>
              <w:rPr>
                <w:rFonts w:ascii="Times New Roman" w:hAnsi="Times New Roman"/>
                <w:b/>
                <w:color w:val="FFFFFF"/>
                <w:sz w:val="20"/>
              </w:rPr>
              <w:t>FY 2024</w:t>
            </w:r>
          </w:p>
        </w:tc>
        <w:tc>
          <w:tcPr>
            <w:tcW w:type="dxa" w:w="1805"/>
            <w:shd w:val="clear" w:color="auto" w:fill="1F3864"/>
          </w:tcPr>
          <w:p>
            <w:pPr>
              <w:jc w:val="center"/>
            </w:pPr>
            <w:r>
              <w:rPr>
                <w:rFonts w:ascii="Times New Roman" w:hAnsi="Times New Roman"/>
                <w:b/>
                <w:color w:val="FFFFFF"/>
                <w:sz w:val="20"/>
              </w:rPr>
              <w:t>Trend</w:t>
            </w:r>
          </w:p>
        </w:tc>
      </w:tr>
      <w:tr>
        <w:tc>
          <w:tcPr>
            <w:tcW w:type="dxa" w:w="1805"/>
            <w:shd w:val="clear" w:color="auto" w:fill="D6E4F0"/>
          </w:tcPr>
          <w:p>
            <w:pPr>
              <w:jc w:val="center"/>
            </w:pPr>
            <w:r>
              <w:rPr>
                <w:rFonts w:ascii="Times New Roman" w:hAnsi="Times New Roman"/>
                <w:sz w:val="20"/>
              </w:rPr>
              <w:t>Current Ratio</w:t>
            </w:r>
          </w:p>
        </w:tc>
        <w:tc>
          <w:tcPr>
            <w:tcW w:type="dxa" w:w="1805"/>
            <w:shd w:val="clear" w:color="auto" w:fill="D6E4F0"/>
          </w:tcPr>
          <w:p>
            <w:pPr>
              <w:jc w:val="center"/>
            </w:pPr>
            <w:r>
              <w:rPr>
                <w:rFonts w:ascii="Times New Roman" w:hAnsi="Times New Roman"/>
                <w:sz w:val="20"/>
              </w:rPr>
              <w:t>1.62x</w:t>
            </w:r>
          </w:p>
        </w:tc>
        <w:tc>
          <w:tcPr>
            <w:tcW w:type="dxa" w:w="1805"/>
            <w:shd w:val="clear" w:color="auto" w:fill="D6E4F0"/>
          </w:tcPr>
          <w:p>
            <w:pPr>
              <w:jc w:val="center"/>
            </w:pPr>
            <w:r>
              <w:rPr>
                <w:rFonts w:ascii="Times New Roman" w:hAnsi="Times New Roman"/>
                <w:sz w:val="20"/>
              </w:rPr>
              <w:t>1.65x</w:t>
            </w:r>
          </w:p>
        </w:tc>
        <w:tc>
          <w:tcPr>
            <w:tcW w:type="dxa" w:w="1805"/>
            <w:shd w:val="clear" w:color="auto" w:fill="D6E4F0"/>
          </w:tcPr>
          <w:p>
            <w:pPr>
              <w:jc w:val="center"/>
            </w:pPr>
            <w:r>
              <w:rPr>
                <w:rFonts w:ascii="Times New Roman" w:hAnsi="Times New Roman"/>
                <w:sz w:val="20"/>
              </w:rPr>
              <w:t>1.67x</w:t>
            </w:r>
          </w:p>
        </w:tc>
        <w:tc>
          <w:tcPr>
            <w:tcW w:type="dxa" w:w="1805"/>
            <w:shd w:val="clear" w:color="auto" w:fill="D6E4F0"/>
          </w:tcPr>
          <w:p>
            <w:pPr>
              <w:jc w:val="center"/>
            </w:pPr>
            <w:r>
              <w:rPr>
                <w:rFonts w:ascii="Times New Roman" w:hAnsi="Times New Roman"/>
                <w:sz w:val="20"/>
              </w:rPr>
              <w:t>↑ Improving</w:t>
            </w:r>
          </w:p>
        </w:tc>
      </w:tr>
      <w:tr>
        <w:tc>
          <w:tcPr>
            <w:tcW w:type="dxa" w:w="1805"/>
            <w:shd w:val="clear" w:color="auto" w:fill="FFFFFF"/>
          </w:tcPr>
          <w:p>
            <w:pPr>
              <w:jc w:val="center"/>
            </w:pPr>
            <w:r>
              <w:rPr>
                <w:rFonts w:ascii="Times New Roman" w:hAnsi="Times New Roman"/>
                <w:sz w:val="20"/>
              </w:rPr>
              <w:t>Net Profit Margin</w:t>
            </w:r>
          </w:p>
        </w:tc>
        <w:tc>
          <w:tcPr>
            <w:tcW w:type="dxa" w:w="1805"/>
            <w:shd w:val="clear" w:color="auto" w:fill="FFFFFF"/>
          </w:tcPr>
          <w:p>
            <w:pPr>
              <w:jc w:val="center"/>
            </w:pPr>
            <w:r>
              <w:rPr>
                <w:rFonts w:ascii="Times New Roman" w:hAnsi="Times New Roman"/>
                <w:sz w:val="20"/>
              </w:rPr>
              <w:t>10.5%</w:t>
            </w:r>
          </w:p>
        </w:tc>
        <w:tc>
          <w:tcPr>
            <w:tcW w:type="dxa" w:w="1805"/>
            <w:shd w:val="clear" w:color="auto" w:fill="FFFFFF"/>
          </w:tcPr>
          <w:p>
            <w:pPr>
              <w:jc w:val="center"/>
            </w:pPr>
            <w:r>
              <w:rPr>
                <w:rFonts w:ascii="Times New Roman" w:hAnsi="Times New Roman"/>
                <w:sz w:val="20"/>
              </w:rPr>
              <w:t>10.5%</w:t>
            </w:r>
          </w:p>
        </w:tc>
        <w:tc>
          <w:tcPr>
            <w:tcW w:type="dxa" w:w="1805"/>
            <w:shd w:val="clear" w:color="auto" w:fill="FFFFFF"/>
          </w:tcPr>
          <w:p>
            <w:pPr>
              <w:jc w:val="center"/>
            </w:pPr>
            <w:r>
              <w:rPr>
                <w:rFonts w:ascii="Times New Roman" w:hAnsi="Times New Roman"/>
                <w:sz w:val="20"/>
              </w:rPr>
              <w:t>10.5%</w:t>
            </w:r>
          </w:p>
        </w:tc>
        <w:tc>
          <w:tcPr>
            <w:tcW w:type="dxa" w:w="1805"/>
            <w:shd w:val="clear" w:color="auto" w:fill="FFFFFF"/>
          </w:tcPr>
          <w:p>
            <w:pPr>
              <w:jc w:val="center"/>
            </w:pPr>
            <w:r>
              <w:rPr>
                <w:rFonts w:ascii="Times New Roman" w:hAnsi="Times New Roman"/>
                <w:sz w:val="20"/>
              </w:rPr>
              <w:t>→ Stable</w:t>
            </w:r>
          </w:p>
        </w:tc>
      </w:tr>
      <w:tr>
        <w:tc>
          <w:tcPr>
            <w:tcW w:type="dxa" w:w="1805"/>
            <w:shd w:val="clear" w:color="auto" w:fill="D6E4F0"/>
          </w:tcPr>
          <w:p>
            <w:pPr>
              <w:jc w:val="center"/>
            </w:pPr>
            <w:r>
              <w:rPr>
                <w:rFonts w:ascii="Times New Roman" w:hAnsi="Times New Roman"/>
                <w:sz w:val="20"/>
              </w:rPr>
              <w:t>ROE</w:t>
            </w:r>
          </w:p>
        </w:tc>
        <w:tc>
          <w:tcPr>
            <w:tcW w:type="dxa" w:w="1805"/>
            <w:shd w:val="clear" w:color="auto" w:fill="D6E4F0"/>
          </w:tcPr>
          <w:p>
            <w:pPr>
              <w:jc w:val="center"/>
            </w:pPr>
            <w:r>
              <w:rPr>
                <w:rFonts w:ascii="Times New Roman" w:hAnsi="Times New Roman"/>
                <w:sz w:val="20"/>
              </w:rPr>
              <w:t>15.2%</w:t>
            </w:r>
          </w:p>
        </w:tc>
        <w:tc>
          <w:tcPr>
            <w:tcW w:type="dxa" w:w="1805"/>
            <w:shd w:val="clear" w:color="auto" w:fill="D6E4F0"/>
          </w:tcPr>
          <w:p>
            <w:pPr>
              <w:jc w:val="center"/>
            </w:pPr>
            <w:r>
              <w:rPr>
                <w:rFonts w:ascii="Times New Roman" w:hAnsi="Times New Roman"/>
                <w:sz w:val="20"/>
              </w:rPr>
              <w:t>15.5%</w:t>
            </w:r>
          </w:p>
        </w:tc>
        <w:tc>
          <w:tcPr>
            <w:tcW w:type="dxa" w:w="1805"/>
            <w:shd w:val="clear" w:color="auto" w:fill="D6E4F0"/>
          </w:tcPr>
          <w:p>
            <w:pPr>
              <w:jc w:val="center"/>
            </w:pPr>
            <w:r>
              <w:rPr>
                <w:rFonts w:ascii="Times New Roman" w:hAnsi="Times New Roman"/>
                <w:sz w:val="20"/>
              </w:rPr>
              <w:t>15.5%</w:t>
            </w:r>
          </w:p>
        </w:tc>
        <w:tc>
          <w:tcPr>
            <w:tcW w:type="dxa" w:w="1805"/>
            <w:shd w:val="clear" w:color="auto" w:fill="D6E4F0"/>
          </w:tcPr>
          <w:p>
            <w:pPr>
              <w:jc w:val="center"/>
            </w:pPr>
            <w:r>
              <w:rPr>
                <w:rFonts w:ascii="Times New Roman" w:hAnsi="Times New Roman"/>
                <w:sz w:val="20"/>
              </w:rPr>
              <w:t>→ Stable</w:t>
            </w:r>
          </w:p>
        </w:tc>
      </w:tr>
      <w:tr>
        <w:tc>
          <w:tcPr>
            <w:tcW w:type="dxa" w:w="1805"/>
            <w:shd w:val="clear" w:color="auto" w:fill="FFFFFF"/>
          </w:tcPr>
          <w:p>
            <w:pPr>
              <w:jc w:val="center"/>
            </w:pPr>
            <w:r>
              <w:rPr>
                <w:rFonts w:ascii="Times New Roman" w:hAnsi="Times New Roman"/>
                <w:sz w:val="20"/>
              </w:rPr>
              <w:t>Debt-to-Equity</w:t>
            </w:r>
          </w:p>
        </w:tc>
        <w:tc>
          <w:tcPr>
            <w:tcW w:type="dxa" w:w="1805"/>
            <w:shd w:val="clear" w:color="auto" w:fill="FFFFFF"/>
          </w:tcPr>
          <w:p>
            <w:pPr>
              <w:jc w:val="center"/>
            </w:pPr>
            <w:r>
              <w:rPr>
                <w:rFonts w:ascii="Times New Roman" w:hAnsi="Times New Roman"/>
                <w:sz w:val="20"/>
              </w:rPr>
              <w:t>0.57x</w:t>
            </w:r>
          </w:p>
        </w:tc>
        <w:tc>
          <w:tcPr>
            <w:tcW w:type="dxa" w:w="1805"/>
            <w:shd w:val="clear" w:color="auto" w:fill="FFFFFF"/>
          </w:tcPr>
          <w:p>
            <w:pPr>
              <w:jc w:val="center"/>
            </w:pPr>
            <w:r>
              <w:rPr>
                <w:rFonts w:ascii="Times New Roman" w:hAnsi="Times New Roman"/>
                <w:sz w:val="20"/>
              </w:rPr>
              <w:t>0.55x</w:t>
            </w:r>
          </w:p>
        </w:tc>
        <w:tc>
          <w:tcPr>
            <w:tcW w:type="dxa" w:w="1805"/>
            <w:shd w:val="clear" w:color="auto" w:fill="FFFFFF"/>
          </w:tcPr>
          <w:p>
            <w:pPr>
              <w:jc w:val="center"/>
            </w:pPr>
            <w:r>
              <w:rPr>
                <w:rFonts w:ascii="Times New Roman" w:hAnsi="Times New Roman"/>
                <w:sz w:val="20"/>
              </w:rPr>
              <w:t>0.54x</w:t>
            </w:r>
          </w:p>
        </w:tc>
        <w:tc>
          <w:tcPr>
            <w:tcW w:type="dxa" w:w="1805"/>
            <w:shd w:val="clear" w:color="auto" w:fill="FFFFFF"/>
          </w:tcPr>
          <w:p>
            <w:pPr>
              <w:jc w:val="center"/>
            </w:pPr>
            <w:r>
              <w:rPr>
                <w:rFonts w:ascii="Times New Roman" w:hAnsi="Times New Roman"/>
                <w:sz w:val="20"/>
              </w:rPr>
              <w:t>↓ Declining (positive)</w:t>
            </w:r>
          </w:p>
        </w:tc>
      </w:tr>
      <w:tr>
        <w:tc>
          <w:tcPr>
            <w:tcW w:type="dxa" w:w="1805"/>
            <w:shd w:val="clear" w:color="auto" w:fill="D6E4F0"/>
          </w:tcPr>
          <w:p>
            <w:pPr>
              <w:jc w:val="center"/>
            </w:pPr>
            <w:r>
              <w:rPr>
                <w:rFonts w:ascii="Times New Roman" w:hAnsi="Times New Roman"/>
                <w:sz w:val="20"/>
              </w:rPr>
              <w:t>Asset Turnover</w:t>
            </w:r>
          </w:p>
        </w:tc>
        <w:tc>
          <w:tcPr>
            <w:tcW w:type="dxa" w:w="1805"/>
            <w:shd w:val="clear" w:color="auto" w:fill="D6E4F0"/>
          </w:tcPr>
          <w:p>
            <w:pPr>
              <w:jc w:val="center"/>
            </w:pPr>
            <w:r>
              <w:rPr>
                <w:rFonts w:ascii="Times New Roman" w:hAnsi="Times New Roman"/>
                <w:sz w:val="20"/>
              </w:rPr>
              <w:t>0.92x</w:t>
            </w:r>
          </w:p>
        </w:tc>
        <w:tc>
          <w:tcPr>
            <w:tcW w:type="dxa" w:w="1805"/>
            <w:shd w:val="clear" w:color="auto" w:fill="D6E4F0"/>
          </w:tcPr>
          <w:p>
            <w:pPr>
              <w:jc w:val="center"/>
            </w:pPr>
            <w:r>
              <w:rPr>
                <w:rFonts w:ascii="Times New Roman" w:hAnsi="Times New Roman"/>
                <w:sz w:val="20"/>
              </w:rPr>
              <w:t>0.95x</w:t>
            </w:r>
          </w:p>
        </w:tc>
        <w:tc>
          <w:tcPr>
            <w:tcW w:type="dxa" w:w="1805"/>
            <w:shd w:val="clear" w:color="auto" w:fill="D6E4F0"/>
          </w:tcPr>
          <w:p>
            <w:pPr>
              <w:jc w:val="center"/>
            </w:pPr>
            <w:r>
              <w:rPr>
                <w:rFonts w:ascii="Times New Roman" w:hAnsi="Times New Roman"/>
                <w:sz w:val="20"/>
              </w:rPr>
              <w:t>0.96x</w:t>
            </w:r>
          </w:p>
        </w:tc>
        <w:tc>
          <w:tcPr>
            <w:tcW w:type="dxa" w:w="1805"/>
            <w:shd w:val="clear" w:color="auto" w:fill="D6E4F0"/>
          </w:tcPr>
          <w:p>
            <w:pPr>
              <w:jc w:val="center"/>
            </w:pPr>
            <w:r>
              <w:rPr>
                <w:rFonts w:ascii="Times New Roman" w:hAnsi="Times New Roman"/>
                <w:sz w:val="20"/>
              </w:rPr>
              <w:t>↑ Improving</w:t>
            </w:r>
          </w:p>
        </w:tc>
      </w:tr>
    </w:tbl>
    <w:p>
      <w:pPr>
        <w:spacing w:before="60" w:after="120" w:line="360" w:lineRule="auto"/>
        <w:jc w:val="center"/>
      </w:pPr>
      <w:r>
        <w:rPr>
          <w:rFonts w:ascii="Times New Roman" w:hAnsi="Times New Roman"/>
          <w:b w:val="0"/>
          <w:i/>
          <w:sz w:val="24"/>
        </w:rPr>
        <w:t>Table 10: Ratio Trend Summary — FY 2022 to FY 2024</w:t>
      </w:r>
    </w:p>
    <w:p>
      <w:pPr>
        <w:spacing w:before="120" w:after="120" w:line="360" w:lineRule="auto"/>
        <w:jc w:val="both"/>
      </w:pPr>
      <w:r>
        <w:rPr>
          <w:rFonts w:ascii="Times New Roman" w:hAnsi="Times New Roman"/>
          <w:b w:val="0"/>
          <w:i w:val="0"/>
          <w:sz w:val="24"/>
        </w:rPr>
        <w:t>The ratio trend analysis confirms a consistently healthy and improving financial profile for Beaconhouse School System over the three-year analysis period. Improving liquidity ratios, stable profitability margins, and declining leverage all point to a financially disciplined and growing organization. The stable net profit margins despite a high-inflation environment in Pakistan are particularly noteworthy and reflect strong cost management and pricing discipline.</w:t>
      </w:r>
    </w:p>
    <w:p>
      <w:r>
        <w:br w:type="page"/>
      </w:r>
    </w:p>
    <w:p>
      <w:pPr>
        <w:spacing w:before="280" w:after="120" w:line="360" w:lineRule="auto"/>
        <w:jc w:val="left"/>
      </w:pPr>
      <w:r>
        <w:rPr>
          <w:rFonts w:ascii="Times New Roman" w:hAnsi="Times New Roman"/>
          <w:b/>
          <w:color w:val="1F3864"/>
          <w:sz w:val="28"/>
        </w:rPr>
        <w:t>PART SEVEN</w:t>
      </w:r>
    </w:p>
    <w:p>
      <w:pPr>
        <w:spacing w:before="280" w:after="120" w:line="360" w:lineRule="auto"/>
        <w:jc w:val="left"/>
      </w:pPr>
      <w:r>
        <w:rPr>
          <w:rFonts w:ascii="Times New Roman" w:hAnsi="Times New Roman"/>
          <w:b/>
          <w:color w:val="1F3864"/>
          <w:sz w:val="26"/>
        </w:rPr>
        <w:t>TRAINING PROGRAMME</w:t>
      </w:r>
    </w:p>
    <w:p>
      <w:pPr>
        <w:spacing w:before="280" w:after="120" w:line="360" w:lineRule="auto"/>
        <w:jc w:val="left"/>
      </w:pPr>
      <w:r>
        <w:rPr>
          <w:rFonts w:ascii="Times New Roman" w:hAnsi="Times New Roman"/>
          <w:b/>
          <w:color w:val="1F3864"/>
          <w:sz w:val="24"/>
        </w:rPr>
        <w:t>HR Internship at Beaconhouse School System — Week-by-Week Work Overview</w:t>
      </w:r>
    </w:p>
    <w:p>
      <w:pPr>
        <w:spacing w:before="120" w:after="120" w:line="360" w:lineRule="auto"/>
        <w:jc w:val="both"/>
      </w:pPr>
      <w:r>
        <w:rPr>
          <w:rFonts w:ascii="Times New Roman" w:hAnsi="Times New Roman"/>
          <w:b w:val="0"/>
          <w:i w:val="0"/>
          <w:sz w:val="24"/>
        </w:rPr>
        <w:t>My six-week internship at Beaconhouse School System was conducted in the Human Resources (HR) department at the head office in Lahore. The internship provided me with an exceptional opportunity to apply the theoretical knowledge acquired during my BBA programme at IBA to real-world HR operations in one of Pakistan's most respected educational institutions. Under the guidance of my supervisors, I was engaged in a wide range of HR activities spanning recruitment and selection, onboarding, employee record management, HR documentation, compensation and benefits administration, and employee engagement initiatives.</w:t>
      </w:r>
    </w:p>
    <w:p>
      <w:pPr>
        <w:spacing w:before="280" w:after="120" w:line="360" w:lineRule="auto"/>
        <w:jc w:val="left"/>
      </w:pPr>
      <w:r>
        <w:rPr>
          <w:rFonts w:ascii="Times New Roman" w:hAnsi="Times New Roman"/>
          <w:b/>
          <w:color w:val="1F3864"/>
          <w:sz w:val="24"/>
        </w:rPr>
        <w:t>Week 1: Orientation and Initial Training</w:t>
      </w:r>
    </w:p>
    <w:p>
      <w:pPr>
        <w:pStyle w:val="ListBullet"/>
        <w:spacing w:before="60" w:after="60" w:line="360" w:lineRule="auto"/>
      </w:pPr>
      <w:r>
        <w:rPr>
          <w:rFonts w:ascii="Times New Roman" w:hAnsi="Times New Roman"/>
          <w:sz w:val="24"/>
        </w:rPr>
        <w:t>Formal induction into Beaconhouse School System — history, values, organizational structure, and policies.</w:t>
      </w:r>
    </w:p>
    <w:p>
      <w:pPr>
        <w:pStyle w:val="ListBullet"/>
        <w:spacing w:before="60" w:after="60" w:line="360" w:lineRule="auto"/>
      </w:pPr>
      <w:r>
        <w:rPr>
          <w:rFonts w:ascii="Times New Roman" w:hAnsi="Times New Roman"/>
          <w:sz w:val="24"/>
        </w:rPr>
        <w:t>Introduction to the HR department — meeting team members and understanding each role and its responsibilities.</w:t>
      </w:r>
    </w:p>
    <w:p>
      <w:pPr>
        <w:pStyle w:val="ListBullet"/>
        <w:spacing w:before="60" w:after="60" w:line="360" w:lineRule="auto"/>
      </w:pPr>
      <w:r>
        <w:rPr>
          <w:rFonts w:ascii="Times New Roman" w:hAnsi="Times New Roman"/>
          <w:sz w:val="24"/>
        </w:rPr>
        <w:t>Overview of the HRIS system and HR documentation processes.</w:t>
      </w:r>
    </w:p>
    <w:p>
      <w:pPr>
        <w:pStyle w:val="ListBullet"/>
        <w:spacing w:before="60" w:after="60" w:line="360" w:lineRule="auto"/>
      </w:pPr>
      <w:r>
        <w:rPr>
          <w:rFonts w:ascii="Times New Roman" w:hAnsi="Times New Roman"/>
          <w:sz w:val="24"/>
        </w:rPr>
        <w:t>Introduction to the HR policy manual and employee handbook.</w:t>
      </w:r>
    </w:p>
    <w:p>
      <w:pPr>
        <w:pStyle w:val="ListBullet"/>
        <w:spacing w:before="60" w:after="60" w:line="360" w:lineRule="auto"/>
      </w:pPr>
      <w:r>
        <w:rPr>
          <w:rFonts w:ascii="Times New Roman" w:hAnsi="Times New Roman"/>
          <w:sz w:val="24"/>
        </w:rPr>
        <w:t>Attended a new employee orientation session to understand the onboarding process from the employee's perspective.</w:t>
      </w:r>
    </w:p>
    <w:p>
      <w:pPr>
        <w:pStyle w:val="ListBullet"/>
        <w:spacing w:before="60" w:after="60" w:line="360" w:lineRule="auto"/>
      </w:pPr>
      <w:r>
        <w:rPr>
          <w:rFonts w:ascii="Times New Roman" w:hAnsi="Times New Roman"/>
          <w:sz w:val="24"/>
        </w:rPr>
        <w:t>Familiarized with the office environment, dress code, communication protocols, and reporting structure.</w:t>
      </w:r>
    </w:p>
    <w:p>
      <w:pPr>
        <w:pStyle w:val="ListBullet"/>
        <w:spacing w:before="60" w:after="60" w:line="360" w:lineRule="auto"/>
      </w:pPr>
      <w:r>
        <w:rPr>
          <w:rFonts w:ascii="Times New Roman" w:hAnsi="Times New Roman"/>
          <w:sz w:val="24"/>
        </w:rPr>
        <w:t>Received an overview of the compensation and benefits framework from the HR Manager, including the grade-based pay scale, allowances, and the employee benefits portfolio.</w:t>
      </w:r>
    </w:p>
    <w:p>
      <w:pPr>
        <w:pStyle w:val="ListBullet"/>
        <w:spacing w:before="60" w:after="60" w:line="360" w:lineRule="auto"/>
      </w:pPr>
      <w:r>
        <w:rPr>
          <w:rFonts w:ascii="Times New Roman" w:hAnsi="Times New Roman"/>
          <w:sz w:val="24"/>
        </w:rPr>
        <w:t>Reviewed samples of appointment letters, increment letters, and experience certificates to understand the documentation standards maintained by the HR department.</w:t>
      </w:r>
    </w:p>
    <w:p>
      <w:pPr>
        <w:spacing w:before="280" w:after="120" w:line="360" w:lineRule="auto"/>
        <w:jc w:val="left"/>
      </w:pPr>
      <w:r>
        <w:rPr>
          <w:rFonts w:ascii="Times New Roman" w:hAnsi="Times New Roman"/>
          <w:b/>
          <w:color w:val="1F3864"/>
          <w:sz w:val="24"/>
        </w:rPr>
        <w:t>Week 2: Recruitment and Selection</w:t>
      </w:r>
    </w:p>
    <w:p>
      <w:pPr>
        <w:pStyle w:val="ListBullet"/>
        <w:spacing w:before="60" w:after="60" w:line="360" w:lineRule="auto"/>
      </w:pPr>
      <w:r>
        <w:rPr>
          <w:rFonts w:ascii="Times New Roman" w:hAnsi="Times New Roman"/>
          <w:sz w:val="24"/>
        </w:rPr>
        <w:t>Assisted the Talent Acquisition team with job posting on online portals (LinkedIn, Rozee.pk) and internal notice boards.</w:t>
      </w:r>
    </w:p>
    <w:p>
      <w:pPr>
        <w:pStyle w:val="ListBullet"/>
        <w:spacing w:before="60" w:after="60" w:line="360" w:lineRule="auto"/>
      </w:pPr>
      <w:r>
        <w:rPr>
          <w:rFonts w:ascii="Times New Roman" w:hAnsi="Times New Roman"/>
          <w:sz w:val="24"/>
        </w:rPr>
        <w:t>Reviewed incoming CVs and assisted with initial screening based on job requirements and qualification criteria.</w:t>
      </w:r>
    </w:p>
    <w:p>
      <w:pPr>
        <w:pStyle w:val="ListBullet"/>
        <w:spacing w:before="60" w:after="60" w:line="360" w:lineRule="auto"/>
      </w:pPr>
      <w:r>
        <w:rPr>
          <w:rFonts w:ascii="Times New Roman" w:hAnsi="Times New Roman"/>
          <w:sz w:val="24"/>
        </w:rPr>
        <w:t>Helped prepare interview schedules and coordinate with shortlisted candidates for interview appointments.</w:t>
      </w:r>
    </w:p>
    <w:p>
      <w:pPr>
        <w:pStyle w:val="ListBullet"/>
        <w:spacing w:before="60" w:after="60" w:line="360" w:lineRule="auto"/>
      </w:pPr>
      <w:r>
        <w:rPr>
          <w:rFonts w:ascii="Times New Roman" w:hAnsi="Times New Roman"/>
          <w:sz w:val="24"/>
        </w:rPr>
        <w:t>Observed candidate interviews conducted by the HR team and departmental managers.</w:t>
      </w:r>
    </w:p>
    <w:p>
      <w:pPr>
        <w:pStyle w:val="ListBullet"/>
        <w:spacing w:before="60" w:after="60" w:line="360" w:lineRule="auto"/>
      </w:pPr>
      <w:r>
        <w:rPr>
          <w:rFonts w:ascii="Times New Roman" w:hAnsi="Times New Roman"/>
          <w:sz w:val="24"/>
        </w:rPr>
        <w:t>Assisted with the preparation of offer letters and employment contracts for selected candidates.</w:t>
      </w:r>
    </w:p>
    <w:p>
      <w:pPr>
        <w:pStyle w:val="ListBullet"/>
        <w:spacing w:before="60" w:after="60" w:line="360" w:lineRule="auto"/>
      </w:pPr>
      <w:r>
        <w:rPr>
          <w:rFonts w:ascii="Times New Roman" w:hAnsi="Times New Roman"/>
          <w:sz w:val="24"/>
        </w:rPr>
        <w:t>Maintained recruitment logs and updated the applicant tracking records in the HRIS.</w:t>
      </w:r>
    </w:p>
    <w:p>
      <w:pPr>
        <w:pStyle w:val="ListBullet"/>
        <w:spacing w:before="60" w:after="60" w:line="360" w:lineRule="auto"/>
      </w:pPr>
      <w:r>
        <w:rPr>
          <w:rFonts w:ascii="Times New Roman" w:hAnsi="Times New Roman"/>
          <w:sz w:val="24"/>
        </w:rPr>
        <w:t>Observed how the HR team communicates offer details — including salary, allowances, and benefits — to selected candidates, and assisted in preparing the compensation breakdown component of offer packages.</w:t>
      </w:r>
    </w:p>
    <w:p>
      <w:pPr>
        <w:pStyle w:val="ListBullet"/>
        <w:spacing w:before="60" w:after="60" w:line="360" w:lineRule="auto"/>
      </w:pPr>
      <w:r>
        <w:rPr>
          <w:rFonts w:ascii="Times New Roman" w:hAnsi="Times New Roman"/>
          <w:sz w:val="24"/>
        </w:rPr>
        <w:t>Gained insight into how market salary benchmarking data is used to determine competitive compensation offers for specialized roles.</w:t>
      </w:r>
    </w:p>
    <w:p>
      <w:pPr>
        <w:spacing w:before="280" w:after="120" w:line="360" w:lineRule="auto"/>
        <w:jc w:val="left"/>
      </w:pPr>
      <w:r>
        <w:rPr>
          <w:rFonts w:ascii="Times New Roman" w:hAnsi="Times New Roman"/>
          <w:b/>
          <w:color w:val="1F3864"/>
          <w:sz w:val="24"/>
        </w:rPr>
        <w:t>Week 3: Onboarding and Induction</w:t>
      </w:r>
    </w:p>
    <w:p>
      <w:pPr>
        <w:pStyle w:val="ListBullet"/>
        <w:spacing w:before="60" w:after="60" w:line="360" w:lineRule="auto"/>
      </w:pPr>
      <w:r>
        <w:rPr>
          <w:rFonts w:ascii="Times New Roman" w:hAnsi="Times New Roman"/>
          <w:sz w:val="24"/>
        </w:rPr>
        <w:t>Assisted with the preparation of onboarding kits for new hires, including HR policy documents, ID card requisitions, and computer access forms.</w:t>
      </w:r>
    </w:p>
    <w:p>
      <w:pPr>
        <w:pStyle w:val="ListBullet"/>
        <w:spacing w:before="60" w:after="60" w:line="360" w:lineRule="auto"/>
      </w:pPr>
      <w:r>
        <w:rPr>
          <w:rFonts w:ascii="Times New Roman" w:hAnsi="Times New Roman"/>
          <w:sz w:val="24"/>
        </w:rPr>
        <w:t>Helped coordinate the formal induction programme for newly joining employees.</w:t>
      </w:r>
    </w:p>
    <w:p>
      <w:pPr>
        <w:pStyle w:val="ListBullet"/>
        <w:spacing w:before="60" w:after="60" w:line="360" w:lineRule="auto"/>
      </w:pPr>
      <w:r>
        <w:rPr>
          <w:rFonts w:ascii="Times New Roman" w:hAnsi="Times New Roman"/>
          <w:sz w:val="24"/>
        </w:rPr>
        <w:t>Maintained joining documentation files and ensured all required documents (educational certificates, CNIC copies, experience letters) were collected and filed.</w:t>
      </w:r>
    </w:p>
    <w:p>
      <w:pPr>
        <w:pStyle w:val="ListBullet"/>
        <w:spacing w:before="60" w:after="60" w:line="360" w:lineRule="auto"/>
      </w:pPr>
      <w:r>
        <w:rPr>
          <w:rFonts w:ascii="Times New Roman" w:hAnsi="Times New Roman"/>
          <w:sz w:val="24"/>
        </w:rPr>
        <w:t>Learned about the probationary period policy and end-of-probation review process.</w:t>
      </w:r>
    </w:p>
    <w:p>
      <w:pPr>
        <w:pStyle w:val="ListBullet"/>
        <w:spacing w:before="60" w:after="60" w:line="360" w:lineRule="auto"/>
      </w:pPr>
      <w:r>
        <w:rPr>
          <w:rFonts w:ascii="Times New Roman" w:hAnsi="Times New Roman"/>
          <w:sz w:val="24"/>
        </w:rPr>
        <w:t>Assisted with updating the HRIS with new employee records.</w:t>
      </w:r>
    </w:p>
    <w:p>
      <w:pPr>
        <w:pStyle w:val="ListBullet"/>
        <w:spacing w:before="60" w:after="60" w:line="360" w:lineRule="auto"/>
      </w:pPr>
      <w:r>
        <w:rPr>
          <w:rFonts w:ascii="Times New Roman" w:hAnsi="Times New Roman"/>
          <w:sz w:val="24"/>
        </w:rPr>
        <w:t>Observed how the HR team communicates benefits entitlements — including medical insurance registration, provident fund enrollment, and tuition concession applications — to new employees.</w:t>
      </w:r>
    </w:p>
    <w:p>
      <w:pPr>
        <w:pStyle w:val="ListBullet"/>
        <w:spacing w:before="60" w:after="60" w:line="360" w:lineRule="auto"/>
      </w:pPr>
      <w:r>
        <w:rPr>
          <w:rFonts w:ascii="Times New Roman" w:hAnsi="Times New Roman"/>
          <w:sz w:val="24"/>
        </w:rPr>
        <w:t>Assisted in preparing the benefits enrollment documentation for newly joined permanent employees.</w:t>
      </w:r>
    </w:p>
    <w:p>
      <w:pPr>
        <w:spacing w:before="280" w:after="120" w:line="360" w:lineRule="auto"/>
        <w:jc w:val="left"/>
      </w:pPr>
      <w:r>
        <w:rPr>
          <w:rFonts w:ascii="Times New Roman" w:hAnsi="Times New Roman"/>
          <w:b/>
          <w:color w:val="1F3864"/>
          <w:sz w:val="24"/>
        </w:rPr>
        <w:t>Week 4: Employee Relations and Engagement</w:t>
      </w:r>
    </w:p>
    <w:p>
      <w:pPr>
        <w:pStyle w:val="ListBullet"/>
        <w:spacing w:before="60" w:after="60" w:line="360" w:lineRule="auto"/>
      </w:pPr>
      <w:r>
        <w:rPr>
          <w:rFonts w:ascii="Times New Roman" w:hAnsi="Times New Roman"/>
          <w:sz w:val="24"/>
        </w:rPr>
        <w:t>Assisted in organizing an employee engagement activity — an internal quiz competition to boost team morale.</w:t>
      </w:r>
    </w:p>
    <w:p>
      <w:pPr>
        <w:pStyle w:val="ListBullet"/>
        <w:spacing w:before="60" w:after="60" w:line="360" w:lineRule="auto"/>
      </w:pPr>
      <w:r>
        <w:rPr>
          <w:rFonts w:ascii="Times New Roman" w:hAnsi="Times New Roman"/>
          <w:sz w:val="24"/>
        </w:rPr>
        <w:t>Observed how the HR team handles employee grievances and disciplinary matters through formal procedures.</w:t>
      </w:r>
    </w:p>
    <w:p>
      <w:pPr>
        <w:pStyle w:val="ListBullet"/>
        <w:spacing w:before="60" w:after="60" w:line="360" w:lineRule="auto"/>
      </w:pPr>
      <w:r>
        <w:rPr>
          <w:rFonts w:ascii="Times New Roman" w:hAnsi="Times New Roman"/>
          <w:sz w:val="24"/>
        </w:rPr>
        <w:t>Reviewed and assisted with drafting warning letters and show-cause notices (in anonymized formats for learning purposes).</w:t>
      </w:r>
    </w:p>
    <w:p>
      <w:pPr>
        <w:pStyle w:val="ListBullet"/>
        <w:spacing w:before="60" w:after="60" w:line="360" w:lineRule="auto"/>
      </w:pPr>
      <w:r>
        <w:rPr>
          <w:rFonts w:ascii="Times New Roman" w:hAnsi="Times New Roman"/>
          <w:sz w:val="24"/>
        </w:rPr>
        <w:t>Participated in a team meeting where HR discussed strategies for improving employee retention.</w:t>
      </w:r>
    </w:p>
    <w:p>
      <w:pPr>
        <w:pStyle w:val="ListBullet"/>
        <w:spacing w:before="60" w:after="60" w:line="360" w:lineRule="auto"/>
      </w:pPr>
      <w:r>
        <w:rPr>
          <w:rFonts w:ascii="Times New Roman" w:hAnsi="Times New Roman"/>
          <w:sz w:val="24"/>
        </w:rPr>
        <w:t>Assisted with circulating the monthly employee newsletter.</w:t>
      </w:r>
    </w:p>
    <w:p>
      <w:pPr>
        <w:pStyle w:val="ListBullet"/>
        <w:spacing w:before="60" w:after="60" w:line="360" w:lineRule="auto"/>
      </w:pPr>
      <w:r>
        <w:rPr>
          <w:rFonts w:ascii="Times New Roman" w:hAnsi="Times New Roman"/>
          <w:sz w:val="24"/>
        </w:rPr>
        <w:t>Attended a session with the HR Business Partner to learn how employee satisfaction is measured and how the results are used to design retention and engagement strategies.</w:t>
      </w:r>
    </w:p>
    <w:p>
      <w:pPr>
        <w:pStyle w:val="ListBullet"/>
        <w:spacing w:before="60" w:after="60" w:line="360" w:lineRule="auto"/>
      </w:pPr>
      <w:r>
        <w:rPr>
          <w:rFonts w:ascii="Times New Roman" w:hAnsi="Times New Roman"/>
          <w:sz w:val="24"/>
        </w:rPr>
        <w:t>Reviewed the structure of the annual Employee Recognition Awards programme and observed the nomination and selection process.</w:t>
      </w:r>
    </w:p>
    <w:p>
      <w:pPr>
        <w:spacing w:before="280" w:after="120" w:line="360" w:lineRule="auto"/>
        <w:jc w:val="left"/>
      </w:pPr>
      <w:r>
        <w:rPr>
          <w:rFonts w:ascii="Times New Roman" w:hAnsi="Times New Roman"/>
          <w:b/>
          <w:color w:val="1F3864"/>
          <w:sz w:val="24"/>
        </w:rPr>
        <w:t>Week 5: HR Administration, Compensation &amp; Documentation</w:t>
      </w:r>
    </w:p>
    <w:p>
      <w:pPr>
        <w:pStyle w:val="ListBullet"/>
        <w:spacing w:before="60" w:after="60" w:line="360" w:lineRule="auto"/>
      </w:pPr>
      <w:r>
        <w:rPr>
          <w:rFonts w:ascii="Times New Roman" w:hAnsi="Times New Roman"/>
          <w:sz w:val="24"/>
        </w:rPr>
        <w:t>Assisted with the processing of leave applications and maintaining leave records in the HRIS.</w:t>
      </w:r>
    </w:p>
    <w:p>
      <w:pPr>
        <w:pStyle w:val="ListBullet"/>
        <w:spacing w:before="60" w:after="60" w:line="360" w:lineRule="auto"/>
      </w:pPr>
      <w:r>
        <w:rPr>
          <w:rFonts w:ascii="Times New Roman" w:hAnsi="Times New Roman"/>
          <w:sz w:val="24"/>
        </w:rPr>
        <w:t>Helped with payroll input data preparation — verifying attendance records and leave deductions.</w:t>
      </w:r>
    </w:p>
    <w:p>
      <w:pPr>
        <w:pStyle w:val="ListBullet"/>
        <w:spacing w:before="60" w:after="60" w:line="360" w:lineRule="auto"/>
      </w:pPr>
      <w:r>
        <w:rPr>
          <w:rFonts w:ascii="Times New Roman" w:hAnsi="Times New Roman"/>
          <w:sz w:val="24"/>
        </w:rPr>
        <w:t>Assisted in the processing of annual increment letters following the performance appraisal cycle, verifying increment values against the approved salary review schedule.</w:t>
      </w:r>
    </w:p>
    <w:p>
      <w:pPr>
        <w:pStyle w:val="ListBullet"/>
        <w:spacing w:before="60" w:after="60" w:line="360" w:lineRule="auto"/>
      </w:pPr>
      <w:r>
        <w:rPr>
          <w:rFonts w:ascii="Times New Roman" w:hAnsi="Times New Roman"/>
          <w:sz w:val="24"/>
        </w:rPr>
        <w:t>Reviewed samples of performance appraisal forms and learned about the KPI-based performance management system.</w:t>
      </w:r>
    </w:p>
    <w:p>
      <w:pPr>
        <w:pStyle w:val="ListBullet"/>
        <w:spacing w:before="60" w:after="60" w:line="360" w:lineRule="auto"/>
      </w:pPr>
      <w:r>
        <w:rPr>
          <w:rFonts w:ascii="Times New Roman" w:hAnsi="Times New Roman"/>
          <w:sz w:val="24"/>
        </w:rPr>
        <w:t>Assisted with updating and maintaining employee personnel files (both physical and digital).</w:t>
      </w:r>
    </w:p>
    <w:p>
      <w:pPr>
        <w:pStyle w:val="ListBullet"/>
        <w:spacing w:before="60" w:after="60" w:line="360" w:lineRule="auto"/>
      </w:pPr>
      <w:r>
        <w:rPr>
          <w:rFonts w:ascii="Times New Roman" w:hAnsi="Times New Roman"/>
          <w:sz w:val="24"/>
        </w:rPr>
        <w:t>Worked on compiling a summary report of benefits utilization data — including medical insurance claims statistics and leave balance summaries — for the HR Director's quarterly review.</w:t>
      </w:r>
    </w:p>
    <w:p>
      <w:pPr>
        <w:pStyle w:val="ListBullet"/>
        <w:spacing w:before="60" w:after="60" w:line="360" w:lineRule="auto"/>
      </w:pPr>
      <w:r>
        <w:rPr>
          <w:rFonts w:ascii="Times New Roman" w:hAnsi="Times New Roman"/>
          <w:sz w:val="24"/>
        </w:rPr>
        <w:t>Observed the payroll reconciliation process and gained an understanding of how allowances, deductions, and bonuses are calculated and reflected in the monthly payroll.</w:t>
      </w:r>
    </w:p>
    <w:p>
      <w:pPr>
        <w:pStyle w:val="ListBullet"/>
        <w:spacing w:before="60" w:after="60" w:line="360" w:lineRule="auto"/>
      </w:pPr>
      <w:r>
        <w:rPr>
          <w:rFonts w:ascii="Times New Roman" w:hAnsi="Times New Roman"/>
          <w:sz w:val="24"/>
        </w:rPr>
        <w:t>Assisted in preparing Eid bonus payment documentation prior to the festival period.</w:t>
      </w:r>
    </w:p>
    <w:p>
      <w:pPr>
        <w:spacing w:before="280" w:after="120" w:line="360" w:lineRule="auto"/>
        <w:jc w:val="left"/>
      </w:pPr>
      <w:r>
        <w:rPr>
          <w:rFonts w:ascii="Times New Roman" w:hAnsi="Times New Roman"/>
          <w:b/>
          <w:color w:val="1F3864"/>
          <w:sz w:val="24"/>
        </w:rPr>
        <w:t>Week 6: Professional Development and Final Review</w:t>
      </w:r>
    </w:p>
    <w:p>
      <w:pPr>
        <w:pStyle w:val="ListBullet"/>
        <w:spacing w:before="60" w:after="60" w:line="360" w:lineRule="auto"/>
      </w:pPr>
      <w:r>
        <w:rPr>
          <w:rFonts w:ascii="Times New Roman" w:hAnsi="Times New Roman"/>
          <w:sz w:val="24"/>
        </w:rPr>
        <w:t>Attended an in-house teacher training session as an observer — gaining insight into Beaconhouse's professional development approach.</w:t>
      </w:r>
    </w:p>
    <w:p>
      <w:pPr>
        <w:pStyle w:val="ListBullet"/>
        <w:spacing w:before="60" w:after="60" w:line="360" w:lineRule="auto"/>
      </w:pPr>
      <w:r>
        <w:rPr>
          <w:rFonts w:ascii="Times New Roman" w:hAnsi="Times New Roman"/>
          <w:sz w:val="24"/>
        </w:rPr>
        <w:t>Assisted with the coordination of an upcoming training programme for campus administrative staff.</w:t>
      </w:r>
    </w:p>
    <w:p>
      <w:pPr>
        <w:pStyle w:val="ListBullet"/>
        <w:spacing w:before="60" w:after="60" w:line="360" w:lineRule="auto"/>
      </w:pPr>
      <w:r>
        <w:rPr>
          <w:rFonts w:ascii="Times New Roman" w:hAnsi="Times New Roman"/>
          <w:sz w:val="24"/>
        </w:rPr>
        <w:t>Prepared a summary report of my key learnings and observations during the internship.</w:t>
      </w:r>
    </w:p>
    <w:p>
      <w:pPr>
        <w:pStyle w:val="ListBullet"/>
        <w:spacing w:before="60" w:after="60" w:line="360" w:lineRule="auto"/>
      </w:pPr>
      <w:r>
        <w:rPr>
          <w:rFonts w:ascii="Times New Roman" w:hAnsi="Times New Roman"/>
          <w:sz w:val="24"/>
        </w:rPr>
        <w:t>Presented my internship experience and key takeaways to the HR team in a brief session.</w:t>
      </w:r>
    </w:p>
    <w:p>
      <w:pPr>
        <w:pStyle w:val="ListBullet"/>
        <w:spacing w:before="60" w:after="60" w:line="360" w:lineRule="auto"/>
      </w:pPr>
      <w:r>
        <w:rPr>
          <w:rFonts w:ascii="Times New Roman" w:hAnsi="Times New Roman"/>
          <w:sz w:val="24"/>
        </w:rPr>
        <w:t>Received final feedback from my supervisor and completed the internship evaluation form.</w:t>
      </w:r>
    </w:p>
    <w:p>
      <w:pPr>
        <w:pStyle w:val="ListBullet"/>
        <w:spacing w:before="60" w:after="60" w:line="360" w:lineRule="auto"/>
      </w:pPr>
      <w:r>
        <w:rPr>
          <w:rFonts w:ascii="Times New Roman" w:hAnsi="Times New Roman"/>
          <w:sz w:val="24"/>
        </w:rPr>
        <w:t>Collected my experience certificate and internship completion letter from the HR department.</w:t>
      </w:r>
    </w:p>
    <w:p>
      <w:pPr>
        <w:pStyle w:val="ListBullet"/>
        <w:spacing w:before="60" w:after="60" w:line="360" w:lineRule="auto"/>
      </w:pPr>
      <w:r>
        <w:rPr>
          <w:rFonts w:ascii="Times New Roman" w:hAnsi="Times New Roman"/>
          <w:sz w:val="24"/>
        </w:rPr>
        <w:t>Reflected on the alignment between academic HR theories studied at IBA and the practical HR practices observed at Beaconhouse.</w:t>
      </w:r>
    </w:p>
    <w:p>
      <w:pPr>
        <w:spacing w:before="280" w:after="120" w:line="360" w:lineRule="auto"/>
        <w:jc w:val="left"/>
      </w:pPr>
      <w:r>
        <w:rPr>
          <w:rFonts w:ascii="Times New Roman" w:hAnsi="Times New Roman"/>
          <w:b/>
          <w:color w:val="1F3864"/>
          <w:sz w:val="24"/>
        </w:rPr>
        <w:t>Conclusion of Training</w:t>
      </w:r>
    </w:p>
    <w:p>
      <w:pPr>
        <w:spacing w:before="120" w:after="120" w:line="360" w:lineRule="auto"/>
        <w:jc w:val="both"/>
      </w:pPr>
      <w:r>
        <w:rPr>
          <w:rFonts w:ascii="Times New Roman" w:hAnsi="Times New Roman"/>
          <w:b w:val="0"/>
          <w:i w:val="0"/>
          <w:sz w:val="24"/>
        </w:rPr>
        <w:t>The six-week internship at Beaconhouse School System's HR department was a truly enriching and transformative professional experience. I had the opportunity to observe and participate in virtually all core HR functions, from recruitment and onboarding to compensation administration, employee relations, and HR documentation. The professional and supportive environment at BSS enabled me to learn quickly and contribute meaningfully to the team's work.</w:t>
      </w:r>
    </w:p>
    <w:p>
      <w:pPr>
        <w:spacing w:before="120" w:after="120" w:line="360" w:lineRule="auto"/>
        <w:jc w:val="both"/>
      </w:pPr>
      <w:r>
        <w:rPr>
          <w:rFonts w:ascii="Times New Roman" w:hAnsi="Times New Roman"/>
          <w:b w:val="0"/>
          <w:i w:val="0"/>
          <w:sz w:val="24"/>
        </w:rPr>
        <w:t>The internship reinforced my understanding of how HR practices serve as the foundation of an organization's people strategy. I was particularly impressed by the structured and systematic approach of Beaconhouse's HR department in managing a large and diverse workforce across hundreds of campuses. The exposure to compensation and benefits administration was especially valuable, as it provided me with practical insight into how theoretical frameworks of total rewards are applied in a real organizational context.</w:t>
      </w:r>
    </w:p>
    <w:p>
      <w:pPr>
        <w:spacing w:before="120" w:after="120" w:line="360" w:lineRule="auto"/>
        <w:jc w:val="both"/>
      </w:pPr>
      <w:r>
        <w:rPr>
          <w:rFonts w:ascii="Times New Roman" w:hAnsi="Times New Roman"/>
          <w:b w:val="0"/>
          <w:i/>
          <w:sz w:val="24"/>
        </w:rPr>
        <w:t>Special Note: I was treated with great respect and professionalism by all members of the HR team. My supervisors were patient, encouraging, and genuinely invested in my learning. The organizational culture at Beaconhouse reflects its core values of respect, integrity, and excellence — qualities that are deeply embedded in the way its employees work and interact with one another.</w:t>
      </w:r>
    </w:p>
    <w:p>
      <w:pPr>
        <w:spacing w:before="280" w:after="120" w:line="360" w:lineRule="auto"/>
        <w:jc w:val="left"/>
      </w:pPr>
      <w:r>
        <w:rPr>
          <w:rFonts w:ascii="Times New Roman" w:hAnsi="Times New Roman"/>
          <w:b/>
          <w:color w:val="1F3864"/>
          <w:sz w:val="24"/>
        </w:rPr>
        <w:t>Difficulties Faced and Solutions</w:t>
      </w:r>
    </w:p>
    <w:p>
      <w:pPr>
        <w:spacing w:line="360" w:lineRule="auto" w:before="80" w:after="80"/>
      </w:pPr>
      <w:r>
        <w:rPr>
          <w:rFonts w:ascii="Times New Roman" w:hAnsi="Times New Roman"/>
          <w:b/>
          <w:sz w:val="24"/>
        </w:rPr>
        <w:t xml:space="preserve">Navigating the HRIS System: </w:t>
      </w:r>
      <w:r>
        <w:rPr>
          <w:rFonts w:ascii="Times New Roman" w:hAnsi="Times New Roman"/>
          <w:sz w:val="24"/>
        </w:rPr>
        <w:t xml:space="preserve">Initially, I found it challenging to navigate the HRIS software, as it was a proprietary system. </w:t>
      </w:r>
      <w:r>
        <w:rPr>
          <w:rFonts w:ascii="Times New Roman" w:hAnsi="Times New Roman"/>
          <w:i/>
          <w:sz w:val="24"/>
        </w:rPr>
        <w:t>Solution: My supervisor provided a one-on-one walkthrough, and I practised on sample data until I became comfortable with the interface.</w:t>
      </w:r>
    </w:p>
    <w:p>
      <w:pPr>
        <w:spacing w:line="360" w:lineRule="auto" w:before="80" w:after="80"/>
      </w:pPr>
      <w:r>
        <w:rPr>
          <w:rFonts w:ascii="Times New Roman" w:hAnsi="Times New Roman"/>
          <w:b/>
          <w:sz w:val="24"/>
        </w:rPr>
        <w:t xml:space="preserve">Volume of Documentation: </w:t>
      </w:r>
      <w:r>
        <w:rPr>
          <w:rFonts w:ascii="Times New Roman" w:hAnsi="Times New Roman"/>
          <w:sz w:val="24"/>
        </w:rPr>
        <w:t xml:space="preserve">The HR department handles an enormous volume of documentation daily, which was initially overwhelming. </w:t>
      </w:r>
      <w:r>
        <w:rPr>
          <w:rFonts w:ascii="Times New Roman" w:hAnsi="Times New Roman"/>
          <w:i/>
          <w:sz w:val="24"/>
        </w:rPr>
        <w:t>Solution: I created a personal organizational checklist and filing system to track tasks and ensure no document was missed.</w:t>
      </w:r>
    </w:p>
    <w:p>
      <w:pPr>
        <w:spacing w:line="360" w:lineRule="auto" w:before="80" w:after="80"/>
      </w:pPr>
      <w:r>
        <w:rPr>
          <w:rFonts w:ascii="Times New Roman" w:hAnsi="Times New Roman"/>
          <w:b/>
          <w:sz w:val="24"/>
        </w:rPr>
        <w:t xml:space="preserve">Confidentiality Protocols: </w:t>
      </w:r>
      <w:r>
        <w:rPr>
          <w:rFonts w:ascii="Times New Roman" w:hAnsi="Times New Roman"/>
          <w:sz w:val="24"/>
        </w:rPr>
        <w:t xml:space="preserve">As an intern, access to certain sensitive HR data was restricted. </w:t>
      </w:r>
      <w:r>
        <w:rPr>
          <w:rFonts w:ascii="Times New Roman" w:hAnsi="Times New Roman"/>
          <w:i/>
          <w:sz w:val="24"/>
        </w:rPr>
        <w:t>Solution: I focused on understanding processes conceptually through supervisor discussions and anonymized sample documents.</w:t>
      </w:r>
    </w:p>
    <w:p>
      <w:pPr>
        <w:spacing w:line="360" w:lineRule="auto" w:before="80" w:after="80"/>
      </w:pPr>
      <w:r>
        <w:rPr>
          <w:rFonts w:ascii="Times New Roman" w:hAnsi="Times New Roman"/>
          <w:b/>
          <w:sz w:val="24"/>
        </w:rPr>
        <w:t xml:space="preserve">Adapting to Professional Communication: </w:t>
      </w:r>
      <w:r>
        <w:rPr>
          <w:rFonts w:ascii="Times New Roman" w:hAnsi="Times New Roman"/>
          <w:sz w:val="24"/>
        </w:rPr>
        <w:t xml:space="preserve">Professional email correspondence and formal HR communication were new to me. </w:t>
      </w:r>
      <w:r>
        <w:rPr>
          <w:rFonts w:ascii="Times New Roman" w:hAnsi="Times New Roman"/>
          <w:i/>
          <w:sz w:val="24"/>
        </w:rPr>
        <w:t>Solution: My supervisor reviewed and provided feedback on my draft communications, helping me improve my professional writing skills.</w:t>
      </w:r>
    </w:p>
    <w:p>
      <w:pPr>
        <w:spacing w:line="360" w:lineRule="auto" w:before="80" w:after="80"/>
      </w:pPr>
      <w:r>
        <w:rPr>
          <w:rFonts w:ascii="Times New Roman" w:hAnsi="Times New Roman"/>
          <w:b/>
          <w:sz w:val="24"/>
        </w:rPr>
        <w:t xml:space="preserve">Understanding Compensation Calculations: </w:t>
      </w:r>
      <w:r>
        <w:rPr>
          <w:rFonts w:ascii="Times New Roman" w:hAnsi="Times New Roman"/>
          <w:sz w:val="24"/>
        </w:rPr>
        <w:t xml:space="preserve">The complexity of the compensation and benefits structure — with multiple allowances, deductions, and statutory contributions — was initially difficult to grasp. </w:t>
      </w:r>
      <w:r>
        <w:rPr>
          <w:rFonts w:ascii="Times New Roman" w:hAnsi="Times New Roman"/>
          <w:i/>
          <w:sz w:val="24"/>
        </w:rPr>
        <w:t>Solution: The Payroll Officer provided me with a structured walkthrough of the payroll calculation process, using sample payslips and compensation schedules, which greatly enhanced my understanding.</w:t>
      </w:r>
    </w:p>
    <w:p>
      <w:r>
        <w:br w:type="page"/>
      </w:r>
    </w:p>
    <w:p>
      <w:pPr>
        <w:spacing w:before="280" w:after="120" w:line="360" w:lineRule="auto"/>
        <w:jc w:val="left"/>
      </w:pPr>
      <w:r>
        <w:rPr>
          <w:rFonts w:ascii="Times New Roman" w:hAnsi="Times New Roman"/>
          <w:b/>
          <w:color w:val="1F3864"/>
          <w:sz w:val="28"/>
        </w:rPr>
        <w:t>PART EIGHT</w:t>
      </w:r>
    </w:p>
    <w:p>
      <w:pPr>
        <w:spacing w:before="280" w:after="120" w:line="360" w:lineRule="auto"/>
        <w:jc w:val="left"/>
      </w:pPr>
      <w:r>
        <w:rPr>
          <w:rFonts w:ascii="Times New Roman" w:hAnsi="Times New Roman"/>
          <w:b/>
          <w:color w:val="1F3864"/>
          <w:sz w:val="26"/>
        </w:rPr>
        <w:t>CONCLUSION AND RECOMMENDATIONS</w:t>
      </w:r>
    </w:p>
    <w:p>
      <w:pPr>
        <w:spacing w:before="280" w:after="120" w:line="360" w:lineRule="auto"/>
        <w:jc w:val="left"/>
      </w:pPr>
      <w:r>
        <w:rPr>
          <w:rFonts w:ascii="Times New Roman" w:hAnsi="Times New Roman"/>
          <w:b/>
          <w:color w:val="1F3864"/>
          <w:sz w:val="24"/>
        </w:rPr>
        <w:t>Conclusion</w:t>
      </w:r>
    </w:p>
    <w:p>
      <w:pPr>
        <w:spacing w:before="120" w:after="120" w:line="360" w:lineRule="auto"/>
        <w:jc w:val="both"/>
      </w:pPr>
      <w:r>
        <w:rPr>
          <w:rFonts w:ascii="Times New Roman" w:hAnsi="Times New Roman"/>
          <w:b w:val="0"/>
          <w:i w:val="0"/>
          <w:sz w:val="24"/>
        </w:rPr>
        <w:t>Beaconhouse School System stands as a testament to what strategic vision, consistent quality, and a deep commitment to educational excellence can achieve over five decades. As one of the largest and most respected private school networks in Pakistan, Beaconhouse has built a powerful brand synonymous with quality, integrity, and holistic development.</w:t>
      </w:r>
    </w:p>
    <w:p>
      <w:pPr>
        <w:spacing w:before="120" w:after="120" w:line="360" w:lineRule="auto"/>
        <w:jc w:val="both"/>
      </w:pPr>
      <w:r>
        <w:rPr>
          <w:rFonts w:ascii="Times New Roman" w:hAnsi="Times New Roman"/>
          <w:b w:val="0"/>
          <w:i w:val="0"/>
          <w:sz w:val="24"/>
        </w:rPr>
        <w:t>My six-week internship in the HR department of Beaconhouse School System provided me with invaluable insights into the functioning of a large, professionally managed educational organization. I had the opportunity to observe and participate in core HR functions, gain an understanding of the organization's management structure, compensation and benefits framework, marketing approach, financial systems — including a detailed study of its financial ratios, horizontal and vertical analyses — and operational framework, all of which form the basis of this internship report.</w:t>
      </w:r>
    </w:p>
    <w:p>
      <w:pPr>
        <w:spacing w:before="120" w:after="120" w:line="360" w:lineRule="auto"/>
        <w:jc w:val="both"/>
      </w:pPr>
      <w:r>
        <w:rPr>
          <w:rFonts w:ascii="Times New Roman" w:hAnsi="Times New Roman"/>
          <w:b w:val="0"/>
          <w:i w:val="0"/>
          <w:sz w:val="24"/>
        </w:rPr>
        <w:t>The HR department at Beaconhouse is well-organized, professionally managed, and deeply committed to attracting, developing, and retaining talented individuals who share the organization's values. The management styles employed across different departments are well-suited to the nature of their respective functions. The marketing mix is effectively calibrated to maintain BSS's premium brand positioning, and the financial management practices reflect a sound and disciplined approach to organizational sustainability.</w:t>
      </w:r>
    </w:p>
    <w:p>
      <w:pPr>
        <w:spacing w:before="120" w:after="120" w:line="360" w:lineRule="auto"/>
        <w:jc w:val="both"/>
      </w:pPr>
      <w:r>
        <w:rPr>
          <w:rFonts w:ascii="Times New Roman" w:hAnsi="Times New Roman"/>
          <w:b w:val="0"/>
          <w:i w:val="0"/>
          <w:sz w:val="24"/>
        </w:rPr>
        <w:t>The financial analysis conducted as part of this report — encompassing vertical analysis, horizontal analysis, and comprehensive ratio analysis — confirms that Beaconhouse is a financially stable and growing institution with consistent profitability, strong liquidity, and conservative leverage. These financial strengths provide a solid platform for continued expansion and investment in educational quality.</w:t>
      </w:r>
    </w:p>
    <w:p>
      <w:pPr>
        <w:spacing w:before="120" w:after="120" w:line="360" w:lineRule="auto"/>
        <w:jc w:val="both"/>
      </w:pPr>
      <w:r>
        <w:rPr>
          <w:rFonts w:ascii="Times New Roman" w:hAnsi="Times New Roman"/>
          <w:b w:val="0"/>
          <w:i w:val="0"/>
          <w:sz w:val="24"/>
        </w:rPr>
        <w:t>Overall, my internship at Beaconhouse School System has been one of the most valuable experiences of my academic career. It has broadened my perspective, enhanced my professional skills, and deepened my appreciation of the complexities and rewards of working in the human resources field within a large organization. The experience has reinforced my commitment to pursuing a career in HR management and has provided me with a strong practical foundation upon which to build my future professional journey.</w:t>
      </w:r>
    </w:p>
    <w:p>
      <w:pPr>
        <w:spacing w:before="280" w:after="120" w:line="360" w:lineRule="auto"/>
        <w:jc w:val="left"/>
      </w:pPr>
      <w:r>
        <w:rPr>
          <w:rFonts w:ascii="Times New Roman" w:hAnsi="Times New Roman"/>
          <w:b/>
          <w:color w:val="1F3864"/>
          <w:sz w:val="24"/>
        </w:rPr>
        <w:t>Recommendations</w:t>
      </w:r>
    </w:p>
    <w:p>
      <w:pPr>
        <w:spacing w:line="360" w:lineRule="auto" w:before="120" w:after="80"/>
        <w:jc w:val="both"/>
      </w:pPr>
      <w:r>
        <w:rPr>
          <w:rFonts w:ascii="Times New Roman" w:hAnsi="Times New Roman"/>
          <w:b/>
          <w:sz w:val="24"/>
        </w:rPr>
        <w:t xml:space="preserve">1. Implement an Advanced Cloud-Based HRIS: </w:t>
      </w:r>
      <w:r>
        <w:rPr>
          <w:rFonts w:ascii="Times New Roman" w:hAnsi="Times New Roman"/>
          <w:sz w:val="24"/>
        </w:rPr>
        <w:t>Beaconhouse should consider upgrading its current HRIS to a more advanced, cloud-based platform (such as SAP SuccessFactors, Oracle HCM, or a Pakistan-specific ERP system). An advanced HRIS would enable real-time data analytics, automated reporting, employee self-service portals, and better integration of payroll, attendance, performance management, and recruitment functions. This would significantly improve HR efficiency and enable data-driven decision-making.</w:t>
      </w:r>
    </w:p>
    <w:p>
      <w:pPr>
        <w:spacing w:line="360" w:lineRule="auto" w:before="120" w:after="80"/>
        <w:jc w:val="both"/>
      </w:pPr>
      <w:r>
        <w:rPr>
          <w:rFonts w:ascii="Times New Roman" w:hAnsi="Times New Roman"/>
          <w:b/>
          <w:sz w:val="24"/>
        </w:rPr>
        <w:t xml:space="preserve">2. Strengthen and Expand the Compensation and Benefits Framework: </w:t>
      </w:r>
      <w:r>
        <w:rPr>
          <w:rFonts w:ascii="Times New Roman" w:hAnsi="Times New Roman"/>
          <w:sz w:val="24"/>
        </w:rPr>
        <w:t>While Beaconhouse's current compensation and benefits structure is competitive, there is scope for enhancement. The organization should consider introducing a flexible benefits scheme allowing employees to customize their benefits package within a defined monetary envelope. Additionally, introducing a structured Long-Term Incentive Plan (LTIP) for senior management would enhance retention of key leadership talent. Regular benefits benchmarking surveys should be conducted to ensure continued market competitiveness.</w:t>
      </w:r>
    </w:p>
    <w:p>
      <w:pPr>
        <w:spacing w:line="360" w:lineRule="auto" w:before="120" w:after="80"/>
        <w:jc w:val="both"/>
      </w:pPr>
      <w:r>
        <w:rPr>
          <w:rFonts w:ascii="Times New Roman" w:hAnsi="Times New Roman"/>
          <w:b/>
          <w:sz w:val="24"/>
        </w:rPr>
        <w:t xml:space="preserve">3. Reduce Recruitment Lead Times: </w:t>
      </w:r>
      <w:r>
        <w:rPr>
          <w:rFonts w:ascii="Times New Roman" w:hAnsi="Times New Roman"/>
          <w:sz w:val="24"/>
        </w:rPr>
        <w:t>The current recruitment process, while thorough, can sometimes be lengthy. Beaconhouse should build proactive talent pipelines through campus recruitment drives at leading universities, maintain an updated talent bank of pre-screened candidates, and use AI-assisted CV screening tools to accelerate the initial selection process.</w:t>
      </w:r>
    </w:p>
    <w:p>
      <w:pPr>
        <w:spacing w:line="360" w:lineRule="auto" w:before="120" w:after="80"/>
        <w:jc w:val="both"/>
      </w:pPr>
      <w:r>
        <w:rPr>
          <w:rFonts w:ascii="Times New Roman" w:hAnsi="Times New Roman"/>
          <w:b/>
          <w:sz w:val="24"/>
        </w:rPr>
        <w:t xml:space="preserve">4. Formalize Employee Engagement Programmes: </w:t>
      </w:r>
      <w:r>
        <w:rPr>
          <w:rFonts w:ascii="Times New Roman" w:hAnsi="Times New Roman"/>
          <w:sz w:val="24"/>
        </w:rPr>
        <w:t>While Beaconhouse has a positive workplace culture, formalizing and expanding employee engagement programmes — such as regular employee satisfaction surveys, recognition and reward schemes, structured mentoring programmes, and team-building activities — would further enhance employee morale, reduce turnover, and attract top talent.</w:t>
      </w:r>
    </w:p>
    <w:p>
      <w:pPr>
        <w:spacing w:line="360" w:lineRule="auto" w:before="120" w:after="80"/>
        <w:jc w:val="both"/>
      </w:pPr>
      <w:r>
        <w:rPr>
          <w:rFonts w:ascii="Times New Roman" w:hAnsi="Times New Roman"/>
          <w:b/>
          <w:sz w:val="24"/>
        </w:rPr>
        <w:t xml:space="preserve">5. Streamline and Digitize the Onboarding Process: </w:t>
      </w:r>
      <w:r>
        <w:rPr>
          <w:rFonts w:ascii="Times New Roman" w:hAnsi="Times New Roman"/>
          <w:sz w:val="24"/>
        </w:rPr>
        <w:t>Digitizing all onboarding documentation and automating the induction schedule would reduce onboarding time and improve the new employee experience. A structured 'Buddy Programme' pairing new hires with experienced colleagues would accelerate cultural and operational integration.</w:t>
      </w:r>
    </w:p>
    <w:p>
      <w:pPr>
        <w:spacing w:line="360" w:lineRule="auto" w:before="120" w:after="80"/>
        <w:jc w:val="both"/>
      </w:pPr>
      <w:r>
        <w:rPr>
          <w:rFonts w:ascii="Times New Roman" w:hAnsi="Times New Roman"/>
          <w:b/>
          <w:sz w:val="24"/>
        </w:rPr>
        <w:t xml:space="preserve">6. Enhance Internal Policy Communication: </w:t>
      </w:r>
      <w:r>
        <w:rPr>
          <w:rFonts w:ascii="Times New Roman" w:hAnsi="Times New Roman"/>
          <w:sz w:val="24"/>
        </w:rPr>
        <w:t>A dedicated, user-friendly internal portal (intranet) where all HR policies, compensation structures, benefits information, announcements, and training resources are accessible to employees across all campuses would significantly improve policy awareness and compliance.</w:t>
      </w:r>
    </w:p>
    <w:p>
      <w:pPr>
        <w:spacing w:line="360" w:lineRule="auto" w:before="120" w:after="80"/>
        <w:jc w:val="both"/>
      </w:pPr>
      <w:r>
        <w:rPr>
          <w:rFonts w:ascii="Times New Roman" w:hAnsi="Times New Roman"/>
          <w:b/>
          <w:sz w:val="24"/>
        </w:rPr>
        <w:t xml:space="preserve">7. Invest in Advanced Digital Marketing: </w:t>
      </w:r>
      <w:r>
        <w:rPr>
          <w:rFonts w:ascii="Times New Roman" w:hAnsi="Times New Roman"/>
          <w:sz w:val="24"/>
        </w:rPr>
        <w:t>Increasing investment in data-driven digital marketing — including search engine optimization (SEO), targeted social media advertising, and virtual school tours — would enhance reach to tech-savvy younger parents and prospective international students.</w:t>
      </w:r>
    </w:p>
    <w:p>
      <w:pPr>
        <w:spacing w:line="360" w:lineRule="auto" w:before="120" w:after="80"/>
        <w:jc w:val="both"/>
      </w:pPr>
      <w:r>
        <w:rPr>
          <w:rFonts w:ascii="Times New Roman" w:hAnsi="Times New Roman"/>
          <w:b/>
          <w:sz w:val="24"/>
        </w:rPr>
        <w:t xml:space="preserve">8. Publish an Annual CSR and Impact Report: </w:t>
      </w:r>
      <w:r>
        <w:rPr>
          <w:rFonts w:ascii="Times New Roman" w:hAnsi="Times New Roman"/>
          <w:sz w:val="24"/>
        </w:rPr>
        <w:t>Beaconhouse should consider publishing an annual Corporate Social Responsibility (CSR) and impact report highlighting its scholarship programmes, community initiatives, environmental sustainability efforts, and key financial and student outcome metrics. This would strengthen its reputation as a socially responsible institution and increase transparency with stakeholders.</w:t>
      </w:r>
    </w:p>
    <w:p>
      <w:pPr>
        <w:spacing w:line="360" w:lineRule="auto" w:before="120" w:after="80"/>
        <w:jc w:val="both"/>
      </w:pPr>
      <w:r>
        <w:rPr>
          <w:rFonts w:ascii="Times New Roman" w:hAnsi="Times New Roman"/>
          <w:b/>
          <w:sz w:val="24"/>
        </w:rPr>
        <w:t xml:space="preserve">9. Expand Regional Financial Management Capabilities: </w:t>
      </w:r>
      <w:r>
        <w:rPr>
          <w:rFonts w:ascii="Times New Roman" w:hAnsi="Times New Roman"/>
          <w:sz w:val="24"/>
        </w:rPr>
        <w:t>As the network grows, decentralizing certain financial management functions to regional finance managers — supported by robust financial reporting systems — would improve the speed and accuracy of financial decision-making at the regional level, reducing the burden on the central Finance department.</w:t>
      </w:r>
    </w:p>
    <w:p>
      <w:pPr>
        <w:spacing w:line="360" w:lineRule="auto" w:before="120" w:after="80"/>
        <w:jc w:val="both"/>
      </w:pPr>
      <w:r>
        <w:rPr>
          <w:rFonts w:ascii="Times New Roman" w:hAnsi="Times New Roman"/>
          <w:b/>
          <w:sz w:val="24"/>
        </w:rPr>
        <w:t xml:space="preserve">10. Develop a Formal Succession Planning Framework: </w:t>
      </w:r>
      <w:r>
        <w:rPr>
          <w:rFonts w:ascii="Times New Roman" w:hAnsi="Times New Roman"/>
          <w:sz w:val="24"/>
        </w:rPr>
        <w:t>Given the organization's scale and the critical importance of strong leadership at all levels, Beaconhouse should formalize a succession planning framework that identifies and develops high-potential employees for future leadership roles. This would ensure leadership continuity and reduce organizational vulnerability to key-person dependencies.</w:t>
      </w:r>
    </w:p>
    <w:p>
      <w:r>
        <w:br w:type="page"/>
      </w:r>
    </w:p>
    <w:p>
      <w:pPr>
        <w:jc w:val="both"/>
        <w:spacing w:before="120" w:after="120"/>
        <w:spacing w:line="360" w:lineRule="auto"/>
      </w:pPr>
      <w:r>
        <w:rPr>
          <w:rFonts w:ascii="Times New Roman" w:hAnsi="Times New Roman"/>
          <w:sz w:val="24"/>
        </w:rPr>
        <w:t xml:space="preserve">Exit interview analysis conducted by the HR team revealed that the most common reasons for voluntary employee departures include higher salary offers from competitor institutions, geographic relocation, and limited growth opportunities at a specific campus or region. This data has informed targeted interventions, including more proactive performance-linked salary reviews for high performers and greater support for internal mobility across campuses and departments.</w:t>
      </w:r>
    </w:p>
    <w:p>
      <w:pPr>
        <w:jc w:val="both"/>
        <w:spacing w:before="120" w:after="120"/>
        <w:spacing w:line="360" w:lineRule="auto"/>
      </w:pPr>
      <w:r>
        <w:rPr>
          <w:rFonts w:ascii="Times New Roman" w:hAnsi="Times New Roman"/>
          <w:sz w:val="24"/>
        </w:rPr>
        <w:t xml:space="preserve">Beaconhouse also employs structured career pathing as a retention tool. By providing clear and transparent career progression frameworks across all functions — from the classroom teacher to the campus principal level, and from the HR coordinator to the HR director — the organization signals long-term career prospects to ambitious employees, encouraging them to view Beaconhouse as a destination employer rather than a stepping stone.</w:t>
      </w:r>
    </w:p>
    <w:p>
      <w:pPr>
        <w:jc w:val="both"/>
        <w:spacing w:before="120" w:after="120"/>
        <w:spacing w:line="360" w:lineRule="auto"/>
      </w:pPr>
      <w:r>
        <w:rPr>
          <w:rFonts w:ascii="Times New Roman" w:hAnsi="Times New Roman"/>
          <w:sz w:val="24"/>
        </w:rPr>
        <w:t xml:space="preserve">The annual employee recognition programme — recognizing outstanding performers across academic, administrative, and support functions — plays an important role in reinforcing a culture of appreciation and motivating high performance. Recognition at a formal ceremony, attended by senior leadership, provides public acknowledgement that many employees find deeply motivating beyond monetary rewards alone.</w:t>
      </w:r>
    </w:p>
    <w:p>
      <w:pPr>
        <w:jc w:val="both"/>
        <w:spacing w:before="120" w:after="120"/>
        <w:spacing w:line="360" w:lineRule="auto"/>
      </w:pPr>
      <w:r>
        <w:rPr>
          <w:rFonts w:ascii="Times New Roman" w:hAnsi="Times New Roman"/>
          <w:sz w:val="24"/>
        </w:rPr>
        <w:t xml:space="preserve">One of the most effective retention mechanisms observed at Beaconhouse is the tuition fee concession benefit for employees' children. For parents employed at Beaconhouse, the ability to enrol their children at a premium Beaconhouse campus at a significantly subsidized fee represents a substantial monetary benefit that creates strong financial incentives to remain with the organization. This benefit effectively aligns employee interests with the organization's core mission of providing quality education.</w:t>
      </w:r>
    </w:p>
    <w:p>
      <w:pPr>
        <w:jc w:val="both"/>
        <w:spacing w:before="120" w:after="120"/>
        <w:spacing w:line="360" w:lineRule="auto"/>
      </w:pPr>
      <w:r>
        <w:rPr>
          <w:rFonts w:ascii="Times New Roman" w:hAnsi="Times New Roman"/>
          <w:sz w:val="24"/>
        </w:rPr>
        <w:t xml:space="preserve">Employee retention is a critical priority for Beaconhouse School System, particularly given the high cost of teacher turnover and the time required to recruit and train qualified replacements in a competitive labour market. The HR department employs a multi-faceted retention strategy that combines competitive compensation, professional development, career progression opportunities, and a positive workplace culture.</w:t>
      </w:r>
    </w:p>
    <w:p>
      <w:pPr>
        <w:jc w:val="left"/>
        <w:spacing w:before="280" w:after="120"/>
      </w:pPr>
      <w:r>
        <w:rPr>
          <w:rFonts w:ascii="Times New Roman" w:hAnsi="Times New Roman"/>
          <w:sz w:val="24"/>
          <w:b/>
          <w:color w:val="1F3864"/>
        </w:rPr>
        <w:t xml:space="preserve">Talent Retention Strategies at Beaconhouse</w:t>
      </w:r>
    </w:p>
    <w:p>
      <w:pPr>
        <w:jc w:val="both"/>
        <w:spacing w:before="120" w:after="120"/>
        <w:spacing w:line="360" w:lineRule="auto"/>
      </w:pPr>
      <w:r>
        <w:rPr>
          <w:rFonts w:ascii="Times New Roman" w:hAnsi="Times New Roman"/>
          <w:sz w:val="24"/>
        </w:rPr>
        <w:t xml:space="preserve">Search engine marketing (SEM) campaigns are deployed during peak admissions seasons to capture high-intent online searches from parents actively looking for school admission opportunities. The Marketing team analyses campaign performance data using digital analytics tools, enabling real-time optimization of ad spend and targeting parameters. These data-driven marketing practices represent a significant evolution from the predominantly print-based marketing approaches used by Beaconhouse in earlier decades.</w:t>
      </w:r>
    </w:p>
    <w:p>
      <w:pPr>
        <w:jc w:val="both"/>
        <w:spacing w:before="120" w:after="120"/>
        <w:spacing w:line="360" w:lineRule="auto"/>
      </w:pPr>
      <w:r>
        <w:rPr>
          <w:rFonts w:ascii="Times New Roman" w:hAnsi="Times New Roman"/>
          <w:sz w:val="24"/>
        </w:rPr>
        <w:t xml:space="preserve">The Beaconhouse website serves as the primary digital touchpoint for admissions inquiries, providing comprehensive information on fee structures, curriculum offerings, campus locations, and the online admission application process. The integration of a live chat feature and automated inquiry response system has significantly reduced the response time to prospective parent inquiries, improving the admissions experience.</w:t>
      </w:r>
    </w:p>
    <w:p>
      <w:pPr>
        <w:jc w:val="both"/>
        <w:spacing w:before="120" w:after="120"/>
        <w:spacing w:line="360" w:lineRule="auto"/>
      </w:pPr>
      <w:r>
        <w:rPr>
          <w:rFonts w:ascii="Times New Roman" w:hAnsi="Times New Roman"/>
          <w:sz w:val="24"/>
        </w:rPr>
        <w:t xml:space="preserve">Beaconhouse's digital marketing strategy is anchored by an active and well-curated social media presence across Facebook, Instagram, LinkedIn, and YouTube. The Marketing team produces regular content including student achievement spotlights, campus event coverage, teacher profiles, curriculum explainer videos, and parent testimonials. This content-driven approach builds brand awareness, community engagement, and trust among prospective families.</w:t>
      </w:r>
    </w:p>
    <w:p>
      <w:pPr>
        <w:jc w:val="both"/>
        <w:spacing w:before="120" w:after="120"/>
        <w:spacing w:line="360" w:lineRule="auto"/>
      </w:pPr>
      <w:r>
        <w:rPr>
          <w:rFonts w:ascii="Times New Roman" w:hAnsi="Times New Roman"/>
          <w:sz w:val="24"/>
        </w:rPr>
        <w:t xml:space="preserve">In recent years, Beaconhouse School System has significantly accelerated its investment in digital marketing and technology-enabled admissions processes. This shift reflects broader trends in consumer behaviour, with parents increasingly researching school options online and expecting digital touchpoints throughout the admissions journey.</w:t>
      </w:r>
    </w:p>
    <w:p>
      <w:pPr>
        <w:jc w:val="left"/>
        <w:spacing w:before="280" w:after="120"/>
      </w:pPr>
      <w:r>
        <w:rPr>
          <w:rFonts w:ascii="Times New Roman" w:hAnsi="Times New Roman"/>
          <w:sz w:val="24"/>
          <w:b/>
          <w:color w:val="1F3864"/>
        </w:rPr>
        <w:t xml:space="preserve">Digital Transformation in Marketing and Admissions</w:t>
      </w:r>
    </w:p>
    <w:p>
      <w:pPr>
        <w:jc w:val="both"/>
        <w:spacing w:before="120" w:after="120"/>
        <w:spacing w:line="360" w:lineRule="auto"/>
      </w:pPr>
      <w:r>
        <w:rPr>
          <w:rFonts w:ascii="Times New Roman" w:hAnsi="Times New Roman"/>
          <w:sz w:val="24"/>
        </w:rPr>
        <w:t xml:space="preserve">Educational materials, Cambridge examination fees, and curriculum resources represent a distinct and significant cost category unique to the education sector. Cambridge examination fees paid to CAIE for each student's O-Level and A-Level subject entries represent a direct cost tied to student enrollment in the Cambridge programme, making student enrollment growth a key driver of both revenue and this specific cost category.</w:t>
      </w:r>
    </w:p>
    <w:p>
      <w:pPr>
        <w:jc w:val="both"/>
        <w:spacing w:before="120" w:after="120"/>
        <w:spacing w:line="360" w:lineRule="auto"/>
      </w:pPr>
      <w:r>
        <w:rPr>
          <w:rFonts w:ascii="Times New Roman" w:hAnsi="Times New Roman"/>
          <w:sz w:val="24"/>
        </w:rPr>
        <w:t xml:space="preserve">Campus rental and occupancy costs represent the second largest cost category, reflecting the significant real estate footprint required for a 330+ campus network. Many Beaconhouse campuses operate from rented premises, making rental cost management a critical aspect of the Finance department's operational remit. Long-term lease agreements are typically negotiated by a centralized Property and Facilities team to leverage group-level bargaining power.</w:t>
      </w:r>
    </w:p>
    <w:p>
      <w:pPr>
        <w:jc w:val="both"/>
        <w:spacing w:before="120" w:after="120"/>
        <w:spacing w:line="360" w:lineRule="auto"/>
      </w:pPr>
      <w:r>
        <w:rPr>
          <w:rFonts w:ascii="Times New Roman" w:hAnsi="Times New Roman"/>
          <w:sz w:val="24"/>
        </w:rPr>
        <w:t xml:space="preserve">The cost structure of Beaconhouse is heavily weighted towards human capital expenditure. Staff salaries and benefits, including teacher salaries, administrative staff remuneration, and employer contributions to provident fund and social security, account for an estimated 55–60% of total operating costs. This high labour cost proportion is characteristic of the education sector globally and reflects the skilled, professional workforce required to deliver quality educational services.</w:t>
      </w:r>
    </w:p>
    <w:p>
      <w:pPr>
        <w:jc w:val="both"/>
        <w:spacing w:before="120" w:after="120"/>
        <w:spacing w:line="360" w:lineRule="auto"/>
      </w:pPr>
      <w:r>
        <w:rPr>
          <w:rFonts w:ascii="Times New Roman" w:hAnsi="Times New Roman"/>
          <w:sz w:val="24"/>
        </w:rPr>
        <w:t xml:space="preserve">Beaconhouse's revenue is structured across three academic terms per year, with tuition fees constituting approximately 90–93% of total revenue. Secondary revenue streams include transportation fees (for campuses offering school bus services), co-curricular activity fees, registration and admission fees, uniform and stationery sales, and tuck shop revenues. While individually modest, these secondary revenue streams collectively contribute meaningfully to the organization's overall financial performance.</w:t>
      </w:r>
    </w:p>
    <w:p>
      <w:pPr>
        <w:jc w:val="both"/>
        <w:spacing w:before="120" w:after="120"/>
        <w:spacing w:line="360" w:lineRule="auto"/>
      </w:pPr>
      <w:r>
        <w:rPr>
          <w:rFonts w:ascii="Times New Roman" w:hAnsi="Times New Roman"/>
          <w:sz w:val="24"/>
        </w:rPr>
        <w:t xml:space="preserve">An important aspect of Beaconhouse's financial model is its revenue recognition and collection mechanism. Unlike most businesses that invoice after service delivery, educational institutions typically collect fees in advance — at the beginning of each academic term. This advance fee collection model provides Beaconhouse with a natural and consistent cash flow buffer, contributing to its strong liquidity position as reflected in the current and quick ratios analysed in Part Six.</w:t>
      </w:r>
    </w:p>
    <w:p>
      <w:pPr>
        <w:jc w:val="left"/>
        <w:spacing w:before="280" w:after="120"/>
      </w:pPr>
      <w:r>
        <w:rPr>
          <w:rFonts w:ascii="Times New Roman" w:hAnsi="Times New Roman"/>
          <w:sz w:val="24"/>
          <w:b/>
          <w:color w:val="1F3864"/>
        </w:rPr>
        <w:t xml:space="preserve">Additional Financial Commentary: Revenue Model and Cost Structure</w:t>
      </w:r>
    </w:p>
    <w:p>
      <w:pPr>
        <w:jc w:val="both"/>
        <w:spacing w:before="120" w:after="120"/>
        <w:spacing w:line="360" w:lineRule="auto"/>
      </w:pPr>
      <w:r>
        <w:rPr>
          <w:rFonts w:ascii="Times New Roman" w:hAnsi="Times New Roman"/>
          <w:sz w:val="24"/>
        </w:rPr>
        <w:t xml:space="preserve">During my internship, I attended two internal training sessions as an observer — one focused on effective communication skills for administrative staff and another on data management best practices in the HRIS. These sessions demonstrated Beaconhouse's commitment to building practical, applicable skills in its workforce rather than purely theoretical knowledge.</w:t>
      </w:r>
    </w:p>
    <w:p>
      <w:pPr>
        <w:jc w:val="both"/>
        <w:spacing w:before="120" w:after="120"/>
        <w:spacing w:line="360" w:lineRule="auto"/>
      </w:pPr>
      <w:r>
        <w:rPr>
          <w:rFonts w:ascii="Times New Roman" w:hAnsi="Times New Roman"/>
          <w:sz w:val="24"/>
        </w:rPr>
        <w:t xml:space="preserve">At the individual level, employees may request funding for external training programmes, professional certifications, and higher education qualifications relevant to their roles. The HR department manages a Training and Development budget and evaluates individual training requests against the organization's strategic priorities and the employee's performance record. High-potential employees identified through the talent management process are provided with accelerated development opportunities, including cross-functional placements and mentoring relationships with senior leaders.</w:t>
      </w:r>
    </w:p>
    <w:p>
      <w:pPr>
        <w:jc w:val="both"/>
        <w:spacing w:before="120" w:after="120"/>
        <w:spacing w:line="360" w:lineRule="auto"/>
      </w:pPr>
      <w:r>
        <w:rPr>
          <w:rFonts w:ascii="Times New Roman" w:hAnsi="Times New Roman"/>
          <w:sz w:val="24"/>
        </w:rPr>
        <w:t xml:space="preserve">At the departmental level, each functional department — including HR, Finance, Marketing, and IT — develops an annual training calendar aligned with the department's operational needs and the skills gaps identified through the performance appraisal process. Departmental training may include internal workshops, guest lectures from industry experts, and externally facilitated programmes.</w:t>
      </w:r>
    </w:p>
    <w:p>
      <w:pPr>
        <w:jc w:val="both"/>
        <w:spacing w:before="120" w:after="120"/>
        <w:spacing w:line="360" w:lineRule="auto"/>
      </w:pPr>
      <w:r>
        <w:rPr>
          <w:rFonts w:ascii="Times New Roman" w:hAnsi="Times New Roman"/>
          <w:sz w:val="24"/>
        </w:rPr>
        <w:t xml:space="preserve">Beaconhouse's training and development strategy operates on three interconnected levels: institutional, departmental, and individual. At the institutional level, Beaconhouse runs a formal Teacher Development Programme (TDP) that provides structured pedagogical training to all newly recruited teachers before they enter the classroom. This programme covers curriculum delivery methods, classroom management, assessment design, and student psychology.</w:t>
      </w:r>
    </w:p>
    <w:p>
      <w:pPr>
        <w:jc w:val="both"/>
        <w:spacing w:before="120" w:after="120"/>
        <w:spacing w:line="360" w:lineRule="auto"/>
      </w:pPr>
      <w:r>
        <w:rPr>
          <w:rFonts w:ascii="Times New Roman" w:hAnsi="Times New Roman"/>
          <w:sz w:val="24"/>
        </w:rPr>
        <w:t xml:space="preserve">One of the defining characteristics of Beaconhouse School System as an employer is its sustained investment in the training and development of its workforce. The organization recognizes that in the education sector, the quality of human capital — particularly teaching faculty — is the primary determinant of institutional reputation and student outcomes.</w:t>
      </w:r>
    </w:p>
    <w:p>
      <w:pPr>
        <w:jc w:val="left"/>
        <w:spacing w:before="280" w:after="120"/>
      </w:pPr>
      <w:r>
        <w:rPr>
          <w:rFonts w:ascii="Times New Roman" w:hAnsi="Times New Roman"/>
          <w:sz w:val="24"/>
          <w:b/>
          <w:color w:val="1F3864"/>
        </w:rPr>
        <w:t xml:space="preserve">Training and Development Strategy at Beaconhouse</w:t>
      </w:r>
    </w:p>
    <w:p>
      <w:pPr>
        <w:jc w:val="both"/>
        <w:spacing w:before="120" w:after="120"/>
        <w:spacing w:line="360" w:lineRule="auto"/>
      </w:pPr>
      <w:r>
        <w:rPr>
          <w:rFonts w:ascii="Times New Roman" w:hAnsi="Times New Roman"/>
          <w:sz w:val="24"/>
        </w:rPr>
        <w:t xml:space="preserve">The corporate governance structure places the Board of Directors at the apex, with the Group CEO responsible for overall strategic leadership. The Chief Operating Officer (COO) manages cross-brand operational coordination, ensuring that shared services — including HR, IT, Finance, and Procurement — are efficiently leveraged across all group entities. This integrated structure creates significant operational synergies and cost efficiencies across the group's vast network.</w:t>
      </w:r>
    </w:p>
    <w:p>
      <w:pPr>
        <w:jc w:val="both"/>
        <w:spacing w:before="120" w:after="120"/>
        <w:spacing w:line="360" w:lineRule="auto"/>
      </w:pPr>
      <w:r>
        <w:rPr>
          <w:rFonts w:ascii="Times New Roman" w:hAnsi="Times New Roman"/>
          <w:sz w:val="24"/>
        </w:rPr>
        <w:t xml:space="preserve">Within Pakistan, the Beaconhouse Group operates through multiple brands: Beaconhouse School System (premium segment), The Educators (middle-income segment with 1,500+ campuses), Concordia Colleges (post-secondary and professional education), and Beaconhouse Newlands (ultra-premium boarding and day school). This multi-brand strategy enables the Group to maximize market penetration across all income segments while maintaining distinct brand identities.</w:t>
      </w:r>
    </w:p>
    <w:p>
      <w:pPr>
        <w:jc w:val="both"/>
        <w:spacing w:before="120" w:after="120"/>
        <w:spacing w:line="360" w:lineRule="auto"/>
      </w:pPr>
      <w:r>
        <w:rPr>
          <w:rFonts w:ascii="Times New Roman" w:hAnsi="Times New Roman"/>
          <w:sz w:val="24"/>
        </w:rPr>
        <w:t xml:space="preserve">Beaconhouse Educational Services Limited (BESL) serves as the international holding and school management company for the group's international operations. BESL manages the conceptualization, construction, and acquisition of schools internationally and provides day-to-day management services to Beaconhouse operations in Malaysia, UAE, Philippines, Oman, and Belgium.</w:t>
      </w:r>
    </w:p>
    <w:p>
      <w:pPr>
        <w:jc w:val="both"/>
        <w:spacing w:before="120" w:after="120"/>
        <w:spacing w:line="360" w:lineRule="auto"/>
      </w:pPr>
      <w:r>
        <w:rPr>
          <w:rFonts w:ascii="Times New Roman" w:hAnsi="Times New Roman"/>
          <w:sz w:val="24"/>
        </w:rPr>
        <w:t xml:space="preserve">To fully appreciate the management system at Beaconhouse School System (BSS), it is important to understand the broader Beaconhouse Group corporate structure within which BSS operates. The Beaconhouse Group is a diversified education conglomerate encompassing multiple brands and entities, each targeting distinct market segments or fulfilling specific organizational functions.</w:t>
      </w:r>
    </w:p>
    <w:p>
      <w:pPr>
        <w:jc w:val="left"/>
        <w:spacing w:before="280" w:after="120"/>
      </w:pPr>
      <w:r>
        <w:rPr>
          <w:rFonts w:ascii="Times New Roman" w:hAnsi="Times New Roman"/>
          <w:sz w:val="26"/>
          <w:b/>
          <w:color w:val="1F3864"/>
        </w:rPr>
        <w:t xml:space="preserve">SUPPLEMENTARY NOTE: BEACONHOUSE GROUP CORPORATE STRUCTURE</w:t>
      </w:r>
    </w:p>
    <w:p>
      <w:pPr>
        <w:jc w:val="both"/>
        <w:spacing w:before="120" w:after="120" w:line="360" w:lineRule="auto"/>
      </w:pPr>
      <w:r>
        <w:rPr>
          <w:rFonts w:ascii="Times New Roman" w:hAnsi="Times New Roman"/>
          <w:sz w:val="24"/>
        </w:rPr>
        <w:t xml:space="preserve">In conclusion, Beaconhouse School System represents an outstanding example of private sector institution-building in Pakistan's education landscape. Its journey from a nineteen-student tutorial centre in 1975 to a globally recognized educational network serving over 315,000 students is a testament to the power of visionary leadership, strategic discipline, and an unwavering commitment to educational excellence. The lessons learned from studying and working within this organization will inform my professional practice and academic perspective for years to come.</w:t>
      </w:r>
    </w:p>
    <w:p>
      <w:pPr>
        <w:jc w:val="both"/>
        <w:spacing w:before="120" w:after="120" w:line="360" w:lineRule="auto"/>
      </w:pPr>
      <w:r>
        <w:rPr>
          <w:rFonts w:ascii="Times New Roman" w:hAnsi="Times New Roman"/>
          <w:sz w:val="24"/>
        </w:rPr>
        <w:t xml:space="preserve">From a personal perspective, the internship experience at Beaconhouse reinforced my conviction that effective human resource management is not merely a support function but a strategic driver of organizational success. In an organization whose core product is delivered by its people — teachers, administrators, and campus managers — the quality, motivation, and retention of human capital directly determines the quality of the educational experience delivered to hundreds of thousands of students and their families. This direct connection between HR effectiveness and organizational mission gives the HR profession in the education sector a uniquely meaningful dimension that I found deeply motivating throughout my six weeks at Beaconhouse School System.</w:t>
      </w:r>
    </w:p>
    <w:p>
      <w:pPr>
        <w:jc w:val="both"/>
        <w:spacing w:before="120" w:after="120" w:line="360" w:lineRule="auto"/>
      </w:pPr>
      <w:r>
        <w:rPr>
          <w:rFonts w:ascii="Times New Roman" w:hAnsi="Times New Roman"/>
          <w:sz w:val="24"/>
        </w:rPr>
        <w:t xml:space="preserve">However, the scale and complexity of Beaconhouse's operations also create inherent organizational challenges. The hierarchical structure, while providing clarity and control, can sometimes slow decision-making and limit the agility needed to respond to rapidly changing market conditions. The reliance on a centralized HR and Finance function for a 330+ campus network creates potential bottlenecks, and the limitations of the current HRIS system constrain the HR department's ability to leverage people analytics for strategic decision-making.</w:t>
      </w:r>
    </w:p>
    <w:p>
      <w:pPr>
        <w:jc w:val="both"/>
        <w:spacing w:before="120" w:after="120" w:line="360" w:lineRule="auto"/>
      </w:pPr>
      <w:r>
        <w:rPr>
          <w:rFonts w:ascii="Times New Roman" w:hAnsi="Times New Roman"/>
          <w:sz w:val="24"/>
        </w:rPr>
        <w:t xml:space="preserve">Beaconhouse's greatest organizational strength is the consistency of its brand promise across a remarkably large and geographically dispersed network. Achieving this consistency requires robust systems, strong leadership, and a deeply embedded organizational culture — all of which Beaconhouse has demonstrated over five decades of operation. The organization's willingness to invest in people — through teacher training, professional development funding, and a comprehensive benefits framework — reflects a mature understanding that human capital is the ultimate source of competitive advantage in the education sector.</w:t>
      </w:r>
    </w:p>
    <w:p>
      <w:pPr>
        <w:jc w:val="both"/>
        <w:spacing w:before="120" w:after="120" w:line="360" w:lineRule="auto"/>
      </w:pPr>
      <w:r>
        <w:rPr>
          <w:rFonts w:ascii="Times New Roman" w:hAnsi="Times New Roman"/>
          <w:sz w:val="24"/>
        </w:rPr>
        <w:t xml:space="preserve">Having completed a comprehensive study of Beaconhouse School System through both direct internship experience and academic analysis, it is appropriate to offer a balanced critical evaluation of the organization — acknowledging both its considerable strengths and the areas where improvement would enhance organizational effectiveness.</w:t>
      </w:r>
    </w:p>
    <w:p>
      <w:pPr>
        <w:jc w:val="left"/>
        <w:spacing w:before="280" w:after="120" w:line="360" w:lineRule="auto"/>
      </w:pPr>
      <w:r>
        <w:rPr>
          <w:rFonts w:ascii="Times New Roman" w:hAnsi="Times New Roman"/>
          <w:sz w:val="24"/>
          <w:b/>
          <w:color w:val="1F3864"/>
        </w:rPr>
        <w:t xml:space="preserve">Critical Evaluation and Personal Perspective</w:t>
      </w:r>
    </w:p>
    <w:p>
      <w:pPr>
        <w:jc w:val="both"/>
        <w:spacing w:before="120" w:after="120" w:line="360" w:lineRule="auto"/>
      </w:pPr>
      <w:r>
        <w:rPr>
          <w:rFonts w:ascii="Times New Roman" w:hAnsi="Times New Roman"/>
          <w:sz w:val="24"/>
        </w:rPr>
        <w:t xml:space="preserve">Staff social events, departmental team-building activities, and inter-campus competitions contribute to building a sense of community and belonging among Beaconhouse employees. The annual Beaconhouse Teacher's Day celebration is a particularly valued cultural tradition within the organization, providing an occasion to recognize and honour the contributions of the teaching community — the core of the Beaconhouse value delivery model.</w:t>
      </w:r>
    </w:p>
    <w:p>
      <w:pPr>
        <w:jc w:val="both"/>
        <w:spacing w:before="120" w:after="120" w:line="360" w:lineRule="auto"/>
      </w:pPr>
      <w:r>
        <w:rPr>
          <w:rFonts w:ascii="Times New Roman" w:hAnsi="Times New Roman"/>
          <w:sz w:val="24"/>
        </w:rPr>
        <w:t xml:space="preserve">Beaconhouse also provides access to an Employee Assistance Programme (EAP) that offers confidential counselling and support services to employees facing personal, family, or work-related challenges. The availability of professional support reinforces the organization's genuine commitment to employee welfare beyond the purely transactional dimensions of the employment relationship.</w:t>
      </w:r>
    </w:p>
    <w:p>
      <w:pPr>
        <w:jc w:val="both"/>
        <w:spacing w:before="120" w:after="120" w:line="360" w:lineRule="auto"/>
      </w:pPr>
      <w:r>
        <w:rPr>
          <w:rFonts w:ascii="Times New Roman" w:hAnsi="Times New Roman"/>
          <w:sz w:val="24"/>
        </w:rPr>
        <w:t xml:space="preserve">The academic calendar structure, which incorporates regular school vacation periods aligned with national holidays and term breaks, provides teaching and administrative staff with built-in recuperation periods throughout the year. This structured rest cycle is a significant quality-of-life benefit compared to roles in other sectors that do not have corresponding structured leave periods.</w:t>
      </w:r>
    </w:p>
    <w:p>
      <w:pPr>
        <w:jc w:val="both"/>
        <w:spacing w:before="120" w:after="120" w:line="360" w:lineRule="auto"/>
      </w:pPr>
      <w:r>
        <w:rPr>
          <w:rFonts w:ascii="Times New Roman" w:hAnsi="Times New Roman"/>
          <w:sz w:val="24"/>
        </w:rPr>
        <w:t xml:space="preserve">In addition to the formal compensation and benefits framework, Beaconhouse School System places considerable emphasis on employee welfare and work-life balance as integral components of its employee value proposition. Recognizing that teaching and education administration are among the most demanding professional roles — combining cognitive, emotional, and physical effort — the organization has developed a range of initiatives designed to support employee well-being and prevent professional burnout.</w:t>
      </w:r>
    </w:p>
    <w:p>
      <w:pPr>
        <w:jc w:val="left"/>
        <w:spacing w:before="280" w:after="120" w:line="360" w:lineRule="auto"/>
      </w:pPr>
      <w:r>
        <w:rPr>
          <w:rFonts w:ascii="Times New Roman" w:hAnsi="Times New Roman"/>
          <w:sz w:val="24"/>
          <w:b/>
          <w:color w:val="1F3864"/>
        </w:rPr>
        <w:t xml:space="preserve">Employee Welfare and Work-Life Balance Initiatives</w:t>
      </w:r>
    </w:p>
    <w:p>
      <w:pPr>
        <w:jc w:val="both"/>
        <w:spacing w:before="120" w:after="120" w:line="360" w:lineRule="auto"/>
      </w:pPr>
      <w:r>
        <w:rPr>
          <w:rFonts w:ascii="Times New Roman" w:hAnsi="Times New Roman"/>
          <w:sz w:val="24"/>
        </w:rPr>
        <w:t xml:space="preserve">It is also worth noting that Beaconhouse's investment in infrastructure extends beyond physical campus facilities to encompass a rapidly growing digital infrastructure. The deployment of smart classroom technology, learning management systems, and student information portals across the campus network represents a substantial capital investment that is reflected in the organization's non-current asset base. The return on this technology investment is realized through improved learning outcomes, operational efficiencies, and enhanced parent engagement — benefits that, while difficult to quantify precisely, contribute meaningfully to the organization's long-term competitive positioning and brand strength in Pakistan's dynamic private education market.</w:t>
      </w:r>
    </w:p>
    <w:p>
      <w:pPr>
        <w:jc w:val="both"/>
        <w:spacing w:before="120" w:after="120" w:line="360" w:lineRule="auto"/>
      </w:pPr>
      <w:r>
        <w:rPr>
          <w:rFonts w:ascii="Times New Roman" w:hAnsi="Times New Roman"/>
          <w:sz w:val="24"/>
        </w:rPr>
        <w:t xml:space="preserve">The academic year at Beaconhouse follows a three-term structure: Term 1 (August–November), Term 2 (December–March), and Term 3 (April–June). Each term corresponds to a distinct fee collection cycle, examinations schedule, and performance review cycle for academic staff. This structured calendar disciplines the organization's financial planning and enables the Finance department to accurately forecast cash flows, manage expenditure commitments, and ensure that operational resources are aligned with the academic programme delivery requirements at every campus across the network. The alignment of financial and academic cycles is a key feature of Beaconhouse's integrated operational planning framework.</w:t>
      </w:r>
    </w:p>
    <w:p>
      <w:pPr>
        <w:spacing w:before="280" w:after="120" w:line="360" w:lineRule="auto"/>
        <w:jc w:val="left"/>
      </w:pPr>
      <w:r>
        <w:rPr>
          <w:rFonts w:ascii="Times New Roman" w:hAnsi="Times New Roman"/>
          <w:b/>
          <w:color w:val="1F3864"/>
          <w:sz w:val="28"/>
        </w:rPr>
        <w:t>APPENDIX A: SWOT ANALYSIS OF BEACONHOUSE SCHOOL SYSTEM</w:t>
      </w:r>
    </w:p>
    <w:p>
      <w:pPr>
        <w:spacing w:before="120" w:after="120" w:line="360" w:lineRule="auto"/>
        <w:jc w:val="both"/>
      </w:pPr>
      <w:r>
        <w:rPr>
          <w:rFonts w:ascii="Times New Roman" w:hAnsi="Times New Roman"/>
          <w:b w:val="0"/>
          <w:i w:val="0"/>
          <w:sz w:val="24"/>
        </w:rPr>
        <w:t>A SWOT analysis provides a structured framework for evaluating the internal strengths and weaknesses of an organization, alongside the external opportunities and threats it faces in its operating environment. The following SWOT analysis of Beaconhouse School System is based on observations made during the internship and publicly available information about the organization.</w:t>
      </w:r>
    </w:p>
    <w:p>
      <w:pPr>
        <w:spacing w:before="280" w:after="120" w:line="360" w:lineRule="auto"/>
        <w:jc w:val="left"/>
      </w:pPr>
      <w:r>
        <w:rPr>
          <w:rFonts w:ascii="Times New Roman" w:hAnsi="Times New Roman"/>
          <w:b/>
          <w:color w:val="1F3864"/>
          <w:sz w:val="24"/>
        </w:rPr>
        <w:t>Strengths</w:t>
      </w:r>
    </w:p>
    <w:p>
      <w:pPr>
        <w:pStyle w:val="ListBullet"/>
        <w:spacing w:before="60" w:after="60" w:line="360" w:lineRule="auto"/>
      </w:pPr>
      <w:r>
        <w:rPr>
          <w:rFonts w:ascii="Times New Roman" w:hAnsi="Times New Roman"/>
          <w:b/>
          <w:sz w:val="24"/>
        </w:rPr>
        <w:t xml:space="preserve">Strong Brand Equity: </w:t>
      </w:r>
      <w:r>
        <w:rPr>
          <w:rFonts w:ascii="Times New Roman" w:hAnsi="Times New Roman"/>
          <w:sz w:val="24"/>
        </w:rPr>
        <w:t>Beaconhouse is one of the most recognized and trusted educational brands in Pakistan, built over five decades of consistent quality delivery. The brand commands premium pricing and strong parent loyalty across generations.</w:t>
      </w:r>
    </w:p>
    <w:p>
      <w:pPr>
        <w:pStyle w:val="ListBullet"/>
        <w:spacing w:before="60" w:after="60" w:line="360" w:lineRule="auto"/>
      </w:pPr>
      <w:r>
        <w:rPr>
          <w:rFonts w:ascii="Times New Roman" w:hAnsi="Times New Roman"/>
          <w:b/>
          <w:sz w:val="24"/>
        </w:rPr>
        <w:t xml:space="preserve">Extensive Campus Network: </w:t>
      </w:r>
      <w:r>
        <w:rPr>
          <w:rFonts w:ascii="Times New Roman" w:hAnsi="Times New Roman"/>
          <w:sz w:val="24"/>
        </w:rPr>
        <w:t>With over 330 campuses spanning all major cities and towns of Pakistan, Beaconhouse has an unparalleled geographic footprint in the private education sector, providing significant economies of scale in procurement, operations, and marketing.</w:t>
      </w:r>
    </w:p>
    <w:p>
      <w:pPr>
        <w:pStyle w:val="ListBullet"/>
        <w:spacing w:before="60" w:after="60" w:line="360" w:lineRule="auto"/>
      </w:pPr>
      <w:r>
        <w:rPr>
          <w:rFonts w:ascii="Times New Roman" w:hAnsi="Times New Roman"/>
          <w:b/>
          <w:sz w:val="24"/>
        </w:rPr>
        <w:t xml:space="preserve">International Curriculum: </w:t>
      </w:r>
      <w:r>
        <w:rPr>
          <w:rFonts w:ascii="Times New Roman" w:hAnsi="Times New Roman"/>
          <w:sz w:val="24"/>
        </w:rPr>
        <w:t>The adoption of the Cambridge International Curriculum (O-Levels, A-Levels, IGCSE) differentiates Beaconhouse from competitors offering only national curricula and positions it as the preferred choice for families seeking internationally recognized qualifications.</w:t>
      </w:r>
    </w:p>
    <w:p>
      <w:pPr>
        <w:pStyle w:val="ListBullet"/>
        <w:spacing w:before="60" w:after="60" w:line="360" w:lineRule="auto"/>
      </w:pPr>
      <w:r>
        <w:rPr>
          <w:rFonts w:ascii="Times New Roman" w:hAnsi="Times New Roman"/>
          <w:b/>
          <w:sz w:val="24"/>
        </w:rPr>
        <w:t xml:space="preserve">Experienced and Qualified Faculty: </w:t>
      </w:r>
      <w:r>
        <w:rPr>
          <w:rFonts w:ascii="Times New Roman" w:hAnsi="Times New Roman"/>
          <w:sz w:val="24"/>
        </w:rPr>
        <w:t>Beaconhouse invests significantly in recruiting, training, and retaining highly qualified teachers. Its structured teacher development programmes ensure consistently high teaching quality across campuses.</w:t>
      </w:r>
    </w:p>
    <w:p>
      <w:pPr>
        <w:pStyle w:val="ListBullet"/>
        <w:spacing w:before="60" w:after="60" w:line="360" w:lineRule="auto"/>
      </w:pPr>
      <w:r>
        <w:rPr>
          <w:rFonts w:ascii="Times New Roman" w:hAnsi="Times New Roman"/>
          <w:b/>
          <w:sz w:val="24"/>
        </w:rPr>
        <w:t xml:space="preserve">Diversified Group Structure: </w:t>
      </w:r>
      <w:r>
        <w:rPr>
          <w:rFonts w:ascii="Times New Roman" w:hAnsi="Times New Roman"/>
          <w:sz w:val="24"/>
        </w:rPr>
        <w:t>The Beaconhouse Group's portfolio of educational brands — including The Educators, Concordia Colleges, and Beaconhouse Newlands — allows the group to address multiple market segments simultaneously, from middle-income to ultra-premium.</w:t>
      </w:r>
    </w:p>
    <w:p>
      <w:pPr>
        <w:pStyle w:val="ListBullet"/>
        <w:spacing w:before="60" w:after="60" w:line="360" w:lineRule="auto"/>
      </w:pPr>
      <w:r>
        <w:rPr>
          <w:rFonts w:ascii="Times New Roman" w:hAnsi="Times New Roman"/>
          <w:b/>
          <w:sz w:val="24"/>
        </w:rPr>
        <w:t xml:space="preserve">Robust HR and Administrative Systems: </w:t>
      </w:r>
      <w:r>
        <w:rPr>
          <w:rFonts w:ascii="Times New Roman" w:hAnsi="Times New Roman"/>
          <w:sz w:val="24"/>
        </w:rPr>
        <w:t>A centralized HR system, standardized policies, and a well-structured organizational hierarchy enable consistent management practices across a large and geographically dispersed workforce.</w:t>
      </w:r>
    </w:p>
    <w:p>
      <w:pPr>
        <w:pStyle w:val="ListBullet"/>
        <w:spacing w:before="60" w:after="60" w:line="360" w:lineRule="auto"/>
      </w:pPr>
      <w:r>
        <w:rPr>
          <w:rFonts w:ascii="Times New Roman" w:hAnsi="Times New Roman"/>
          <w:b/>
          <w:sz w:val="24"/>
        </w:rPr>
        <w:t xml:space="preserve">International Presence: </w:t>
      </w:r>
      <w:r>
        <w:rPr>
          <w:rFonts w:ascii="Times New Roman" w:hAnsi="Times New Roman"/>
          <w:sz w:val="24"/>
        </w:rPr>
        <w:t>Operations in Belgium, Malaysia, Philippines, UAE, and Oman extend Beaconhouse's reach beyond Pakistan and diversify its revenue streams, while reinforcing the brand's global credentials.</w:t>
      </w:r>
    </w:p>
    <w:p>
      <w:pPr>
        <w:spacing w:before="280" w:after="120" w:line="360" w:lineRule="auto"/>
        <w:jc w:val="left"/>
      </w:pPr>
      <w:r>
        <w:rPr>
          <w:rFonts w:ascii="Times New Roman" w:hAnsi="Times New Roman"/>
          <w:b/>
          <w:color w:val="1F3864"/>
          <w:sz w:val="24"/>
        </w:rPr>
        <w:t>Weaknesses</w:t>
      </w:r>
    </w:p>
    <w:p>
      <w:pPr>
        <w:pStyle w:val="ListBullet"/>
        <w:spacing w:before="60" w:after="60" w:line="360" w:lineRule="auto"/>
      </w:pPr>
      <w:r>
        <w:rPr>
          <w:rFonts w:ascii="Times New Roman" w:hAnsi="Times New Roman"/>
          <w:b/>
          <w:sz w:val="24"/>
        </w:rPr>
        <w:t xml:space="preserve">High Operational Costs: </w:t>
      </w:r>
      <w:r>
        <w:rPr>
          <w:rFonts w:ascii="Times New Roman" w:hAnsi="Times New Roman"/>
          <w:sz w:val="24"/>
        </w:rPr>
        <w:t>The large campus network and significant investment in teacher training, technology, and facilities result in high fixed costs. Managing cost efficiency across 330+ campuses is a constant operational challenge.</w:t>
      </w:r>
    </w:p>
    <w:p>
      <w:pPr>
        <w:pStyle w:val="ListBullet"/>
        <w:spacing w:before="60" w:after="60" w:line="360" w:lineRule="auto"/>
      </w:pPr>
      <w:r>
        <w:rPr>
          <w:rFonts w:ascii="Times New Roman" w:hAnsi="Times New Roman"/>
          <w:b/>
          <w:sz w:val="24"/>
        </w:rPr>
        <w:t xml:space="preserve">HRIS Limitations: </w:t>
      </w:r>
      <w:r>
        <w:rPr>
          <w:rFonts w:ascii="Times New Roman" w:hAnsi="Times New Roman"/>
          <w:sz w:val="24"/>
        </w:rPr>
        <w:t>The existing HR information system lacks advanced analytics and reporting capabilities, limiting the HR department's ability to make fully data-driven decisions on talent management, compensation planning, and workforce analytics.</w:t>
      </w:r>
    </w:p>
    <w:p>
      <w:pPr>
        <w:pStyle w:val="ListBullet"/>
        <w:spacing w:before="60" w:after="60" w:line="360" w:lineRule="auto"/>
      </w:pPr>
      <w:r>
        <w:rPr>
          <w:rFonts w:ascii="Times New Roman" w:hAnsi="Times New Roman"/>
          <w:b/>
          <w:sz w:val="24"/>
        </w:rPr>
        <w:t xml:space="preserve">Lengthy Recruitment Processes: </w:t>
      </w:r>
      <w:r>
        <w:rPr>
          <w:rFonts w:ascii="Times New Roman" w:hAnsi="Times New Roman"/>
          <w:sz w:val="24"/>
        </w:rPr>
        <w:t>The scale of annual recruitment required across the network can result in long time-to-hire, particularly for specialized academic and administrative roles.</w:t>
      </w:r>
    </w:p>
    <w:p>
      <w:pPr>
        <w:pStyle w:val="ListBullet"/>
        <w:spacing w:before="60" w:after="60" w:line="360" w:lineRule="auto"/>
      </w:pPr>
      <w:r>
        <w:rPr>
          <w:rFonts w:ascii="Times New Roman" w:hAnsi="Times New Roman"/>
          <w:b/>
          <w:sz w:val="24"/>
        </w:rPr>
        <w:t xml:space="preserve">Communication Challenges: </w:t>
      </w:r>
      <w:r>
        <w:rPr>
          <w:rFonts w:ascii="Times New Roman" w:hAnsi="Times New Roman"/>
          <w:sz w:val="24"/>
        </w:rPr>
        <w:t>With hundreds of campuses across diverse geographies, ensuring timely and consistent communication of policy updates, operational directives, and strategic initiatives from the head office to all campuses remains a challenge.</w:t>
      </w:r>
    </w:p>
    <w:p>
      <w:pPr>
        <w:pStyle w:val="ListBullet"/>
        <w:spacing w:before="60" w:after="60" w:line="360" w:lineRule="auto"/>
      </w:pPr>
      <w:r>
        <w:rPr>
          <w:rFonts w:ascii="Times New Roman" w:hAnsi="Times New Roman"/>
          <w:b/>
          <w:sz w:val="24"/>
        </w:rPr>
        <w:t xml:space="preserve">Premium Pricing Limitation: </w:t>
      </w:r>
      <w:r>
        <w:rPr>
          <w:rFonts w:ascii="Times New Roman" w:hAnsi="Times New Roman"/>
          <w:sz w:val="24"/>
        </w:rPr>
        <w:t>Beaconhouse's premium pricing strategy, while supporting brand positioning, limits its accessibility to middle- and lower-income families, capping its total addressable market within Pakistan's broader population.</w:t>
      </w:r>
    </w:p>
    <w:p>
      <w:pPr>
        <w:spacing w:before="280" w:after="120" w:line="360" w:lineRule="auto"/>
        <w:jc w:val="left"/>
      </w:pPr>
      <w:r>
        <w:rPr>
          <w:rFonts w:ascii="Times New Roman" w:hAnsi="Times New Roman"/>
          <w:b/>
          <w:color w:val="1F3864"/>
          <w:sz w:val="24"/>
        </w:rPr>
        <w:t>Opportunities</w:t>
      </w:r>
    </w:p>
    <w:p>
      <w:pPr>
        <w:pStyle w:val="ListBullet"/>
        <w:spacing w:before="60" w:after="60" w:line="360" w:lineRule="auto"/>
      </w:pPr>
      <w:r>
        <w:rPr>
          <w:rFonts w:ascii="Times New Roman" w:hAnsi="Times New Roman"/>
          <w:b/>
          <w:sz w:val="24"/>
        </w:rPr>
        <w:t xml:space="preserve">Growing Middle Class in Pakistan: </w:t>
      </w:r>
      <w:r>
        <w:rPr>
          <w:rFonts w:ascii="Times New Roman" w:hAnsi="Times New Roman"/>
          <w:sz w:val="24"/>
        </w:rPr>
        <w:t>Pakistan's expanding urban middle class, with rising disposable incomes and increasing aspirations for quality education, represents a significant growth opportunity for Beaconhouse's premium and mid-tier educational brands.</w:t>
      </w:r>
    </w:p>
    <w:p>
      <w:pPr>
        <w:pStyle w:val="ListBullet"/>
        <w:spacing w:before="60" w:after="60" w:line="360" w:lineRule="auto"/>
      </w:pPr>
      <w:r>
        <w:rPr>
          <w:rFonts w:ascii="Times New Roman" w:hAnsi="Times New Roman"/>
          <w:b/>
          <w:sz w:val="24"/>
        </w:rPr>
        <w:t xml:space="preserve">Digital and EdTech Expansion: </w:t>
      </w:r>
      <w:r>
        <w:rPr>
          <w:rFonts w:ascii="Times New Roman" w:hAnsi="Times New Roman"/>
          <w:sz w:val="24"/>
        </w:rPr>
        <w:t>The post-COVID acceleration in digital education presents an opportunity for Beaconhouse to expand its online learning offering, develop proprietary EdTech products, and reach students in underserved geographies through blended learning models.</w:t>
      </w:r>
    </w:p>
    <w:p>
      <w:pPr>
        <w:pStyle w:val="ListBullet"/>
        <w:spacing w:before="60" w:after="60" w:line="360" w:lineRule="auto"/>
      </w:pPr>
      <w:r>
        <w:rPr>
          <w:rFonts w:ascii="Times New Roman" w:hAnsi="Times New Roman"/>
          <w:b/>
          <w:sz w:val="24"/>
        </w:rPr>
        <w:t xml:space="preserve">International Market Expansion: </w:t>
      </w:r>
      <w:r>
        <w:rPr>
          <w:rFonts w:ascii="Times New Roman" w:hAnsi="Times New Roman"/>
          <w:sz w:val="24"/>
        </w:rPr>
        <w:t>Growing demand for quality education among Pakistani diaspora communities and broader markets in the Middle East, South and Southeast Asia offers opportunities for further international expansion.</w:t>
      </w:r>
    </w:p>
    <w:p>
      <w:pPr>
        <w:pStyle w:val="ListBullet"/>
        <w:spacing w:before="60" w:after="60" w:line="360" w:lineRule="auto"/>
      </w:pPr>
      <w:r>
        <w:rPr>
          <w:rFonts w:ascii="Times New Roman" w:hAnsi="Times New Roman"/>
          <w:b/>
          <w:sz w:val="24"/>
        </w:rPr>
        <w:t xml:space="preserve">Public-Private Partnerships: </w:t>
      </w:r>
      <w:r>
        <w:rPr>
          <w:rFonts w:ascii="Times New Roman" w:hAnsi="Times New Roman"/>
          <w:sz w:val="24"/>
        </w:rPr>
        <w:t>Opportunities exist to partner with provincial governments for managing public schools under a public-private partnership model, leveraging Beaconhouse's management expertise while expanding access to quality education at scale.</w:t>
      </w:r>
    </w:p>
    <w:p>
      <w:pPr>
        <w:pStyle w:val="ListBullet"/>
        <w:spacing w:before="60" w:after="60" w:line="360" w:lineRule="auto"/>
      </w:pPr>
      <w:r>
        <w:rPr>
          <w:rFonts w:ascii="Times New Roman" w:hAnsi="Times New Roman"/>
          <w:b/>
          <w:sz w:val="24"/>
        </w:rPr>
        <w:t xml:space="preserve">Teacher Training Services: </w:t>
      </w:r>
      <w:r>
        <w:rPr>
          <w:rFonts w:ascii="Times New Roman" w:hAnsi="Times New Roman"/>
          <w:sz w:val="24"/>
        </w:rPr>
        <w:t>Beaconhouse's expertise in teacher training could be commercialized as a standalone service offering to other educational institutions, government bodies, and international development organizations, creating an additional revenue stream.</w:t>
      </w:r>
    </w:p>
    <w:p>
      <w:pPr>
        <w:spacing w:before="280" w:after="120" w:line="360" w:lineRule="auto"/>
        <w:jc w:val="left"/>
      </w:pPr>
      <w:r>
        <w:rPr>
          <w:rFonts w:ascii="Times New Roman" w:hAnsi="Times New Roman"/>
          <w:b/>
          <w:color w:val="1F3864"/>
          <w:sz w:val="24"/>
        </w:rPr>
        <w:t>Threats</w:t>
      </w:r>
    </w:p>
    <w:p>
      <w:pPr>
        <w:pStyle w:val="ListBullet"/>
        <w:spacing w:before="60" w:after="60" w:line="360" w:lineRule="auto"/>
      </w:pPr>
      <w:r>
        <w:rPr>
          <w:rFonts w:ascii="Times New Roman" w:hAnsi="Times New Roman"/>
          <w:b/>
          <w:sz w:val="24"/>
        </w:rPr>
        <w:t xml:space="preserve">Intense Competition: </w:t>
      </w:r>
      <w:r>
        <w:rPr>
          <w:rFonts w:ascii="Times New Roman" w:hAnsi="Times New Roman"/>
          <w:sz w:val="24"/>
        </w:rPr>
        <w:t>The private education sector in Pakistan is increasingly competitive, with growing numbers of well-resourced competitors entering the premium segment. Maintaining Beaconhouse's competitive advantage requires continuous investment in quality and innovation.</w:t>
      </w:r>
    </w:p>
    <w:p>
      <w:pPr>
        <w:pStyle w:val="ListBullet"/>
        <w:spacing w:before="60" w:after="60" w:line="360" w:lineRule="auto"/>
      </w:pPr>
      <w:r>
        <w:rPr>
          <w:rFonts w:ascii="Times New Roman" w:hAnsi="Times New Roman"/>
          <w:b/>
          <w:sz w:val="24"/>
        </w:rPr>
        <w:t xml:space="preserve">Economic Instability and Inflation: </w:t>
      </w:r>
      <w:r>
        <w:rPr>
          <w:rFonts w:ascii="Times New Roman" w:hAnsi="Times New Roman"/>
          <w:sz w:val="24"/>
        </w:rPr>
        <w:t>Pakistan's high inflation and economic volatility pose risks to Beaconhouse's cost structure. Rising salaries, utility costs, and operational expenses create pressure on profit margins, while families facing economic hardship may withdraw children from premium private schools.</w:t>
      </w:r>
    </w:p>
    <w:p>
      <w:pPr>
        <w:pStyle w:val="ListBullet"/>
        <w:spacing w:before="60" w:after="60" w:line="360" w:lineRule="auto"/>
      </w:pPr>
      <w:r>
        <w:rPr>
          <w:rFonts w:ascii="Times New Roman" w:hAnsi="Times New Roman"/>
          <w:b/>
          <w:sz w:val="24"/>
        </w:rPr>
        <w:t xml:space="preserve">Regulatory Changes: </w:t>
      </w:r>
      <w:r>
        <w:rPr>
          <w:rFonts w:ascii="Times New Roman" w:hAnsi="Times New Roman"/>
          <w:sz w:val="24"/>
        </w:rPr>
        <w:t>Changes in education policy, curriculum mandates, or fee regulation by provincial governments could impact Beaconhouse's operations, pricing flexibility, and curriculum offerings.</w:t>
      </w:r>
    </w:p>
    <w:p>
      <w:pPr>
        <w:pStyle w:val="ListBullet"/>
        <w:spacing w:before="60" w:after="60" w:line="360" w:lineRule="auto"/>
      </w:pPr>
      <w:r>
        <w:rPr>
          <w:rFonts w:ascii="Times New Roman" w:hAnsi="Times New Roman"/>
          <w:b/>
          <w:sz w:val="24"/>
        </w:rPr>
        <w:t xml:space="preserve">Digital Disruption: </w:t>
      </w:r>
      <w:r>
        <w:rPr>
          <w:rFonts w:ascii="Times New Roman" w:hAnsi="Times New Roman"/>
          <w:sz w:val="24"/>
        </w:rPr>
        <w:t>The growth of low-cost online learning platforms and EdTech competitors represents a longer-term threat to traditional brick-and-mortar school models, particularly for higher secondary level students.</w:t>
      </w:r>
    </w:p>
    <w:p>
      <w:pPr>
        <w:pStyle w:val="ListBullet"/>
        <w:spacing w:before="60" w:after="60" w:line="360" w:lineRule="auto"/>
      </w:pPr>
      <w:r>
        <w:rPr>
          <w:rFonts w:ascii="Times New Roman" w:hAnsi="Times New Roman"/>
          <w:b/>
          <w:sz w:val="24"/>
        </w:rPr>
        <w:t xml:space="preserve">Currency and Exchange Rate Risk: </w:t>
      </w:r>
      <w:r>
        <w:rPr>
          <w:rFonts w:ascii="Times New Roman" w:hAnsi="Times New Roman"/>
          <w:sz w:val="24"/>
        </w:rPr>
        <w:t>International operations in Malaysia, UAE, Philippines, and other countries expose the Beaconhouse Group to foreign currency risks, which can affect consolidated financial performance when reporting in Pakistani Rupees.</w:t>
      </w:r>
    </w:p>
    <w:p>
      <w:r>
        <w:br w:type="page"/>
      </w:r>
    </w:p>
    <w:p>
      <w:pPr>
        <w:spacing w:before="280" w:after="120" w:line="360" w:lineRule="auto"/>
        <w:jc w:val="left"/>
      </w:pPr>
      <w:r>
        <w:rPr>
          <w:rFonts w:ascii="Times New Roman" w:hAnsi="Times New Roman"/>
          <w:b/>
          <w:color w:val="1F3864"/>
          <w:sz w:val="28"/>
        </w:rPr>
        <w:t>APPENDIX B: PERSONAL LEARNING OUTCOMES AND SKILL DEVELOPMENT</w:t>
      </w:r>
    </w:p>
    <w:p>
      <w:pPr>
        <w:spacing w:before="120" w:after="120" w:line="360" w:lineRule="auto"/>
        <w:jc w:val="both"/>
      </w:pPr>
      <w:r>
        <w:rPr>
          <w:rFonts w:ascii="Times New Roman" w:hAnsi="Times New Roman"/>
          <w:b w:val="0"/>
          <w:i w:val="0"/>
          <w:sz w:val="24"/>
        </w:rPr>
        <w:t>The six-week internship at Beaconhouse School System resulted in significant personal and professional development across multiple competency areas. The following section documents the key skills and knowledge acquired during the internship period and reflects on how these learnings align with the theoretical frameworks studied at IBA.</w:t>
      </w:r>
    </w:p>
    <w:p>
      <w:pPr>
        <w:spacing w:before="280" w:after="120" w:line="360" w:lineRule="auto"/>
        <w:jc w:val="left"/>
      </w:pPr>
      <w:r>
        <w:rPr>
          <w:rFonts w:ascii="Times New Roman" w:hAnsi="Times New Roman"/>
          <w:b/>
          <w:color w:val="1F3864"/>
          <w:sz w:val="24"/>
        </w:rPr>
        <w:t>Technical HR Skills Developed</w:t>
      </w:r>
    </w:p>
    <w:p>
      <w:pPr>
        <w:pStyle w:val="ListBullet"/>
        <w:spacing w:before="60" w:after="60" w:line="360" w:lineRule="auto"/>
      </w:pPr>
      <w:r>
        <w:rPr>
          <w:rFonts w:ascii="Times New Roman" w:hAnsi="Times New Roman"/>
          <w:b/>
          <w:sz w:val="24"/>
        </w:rPr>
        <w:t xml:space="preserve">Recruitment and Selection: </w:t>
      </w:r>
      <w:r>
        <w:rPr>
          <w:rFonts w:ascii="Times New Roman" w:hAnsi="Times New Roman"/>
          <w:sz w:val="24"/>
        </w:rPr>
        <w:t>Gained practical experience in the end-to-end recruitment process, including job analysis, posting, CV screening, interview coordination, and offer preparation. Applied knowledge of competency-based interviewing frameworks studied in HR Management courses.</w:t>
      </w:r>
    </w:p>
    <w:p>
      <w:pPr>
        <w:pStyle w:val="ListBullet"/>
        <w:spacing w:before="60" w:after="60" w:line="360" w:lineRule="auto"/>
      </w:pPr>
      <w:r>
        <w:rPr>
          <w:rFonts w:ascii="Times New Roman" w:hAnsi="Times New Roman"/>
          <w:b/>
          <w:sz w:val="24"/>
        </w:rPr>
        <w:t xml:space="preserve">HRIS Operation: </w:t>
      </w:r>
      <w:r>
        <w:rPr>
          <w:rFonts w:ascii="Times New Roman" w:hAnsi="Times New Roman"/>
          <w:sz w:val="24"/>
        </w:rPr>
        <w:t>Developed proficiency in navigating a proprietary HR information system, including employee record management, leave processing, and payroll input preparation.</w:t>
      </w:r>
    </w:p>
    <w:p>
      <w:pPr>
        <w:pStyle w:val="ListBullet"/>
        <w:spacing w:before="60" w:after="60" w:line="360" w:lineRule="auto"/>
      </w:pPr>
      <w:r>
        <w:rPr>
          <w:rFonts w:ascii="Times New Roman" w:hAnsi="Times New Roman"/>
          <w:b/>
          <w:sz w:val="24"/>
        </w:rPr>
        <w:t xml:space="preserve">Compensation and Benefits Administration: </w:t>
      </w:r>
      <w:r>
        <w:rPr>
          <w:rFonts w:ascii="Times New Roman" w:hAnsi="Times New Roman"/>
          <w:sz w:val="24"/>
        </w:rPr>
        <w:t>Acquired practical understanding of how grade-based pay scales are administered, how allowances are calculated, and how benefits enrolment and processing are managed within a large organization.</w:t>
      </w:r>
    </w:p>
    <w:p>
      <w:pPr>
        <w:pStyle w:val="ListBullet"/>
        <w:spacing w:before="60" w:after="60" w:line="360" w:lineRule="auto"/>
      </w:pPr>
      <w:r>
        <w:rPr>
          <w:rFonts w:ascii="Times New Roman" w:hAnsi="Times New Roman"/>
          <w:b/>
          <w:sz w:val="24"/>
        </w:rPr>
        <w:t xml:space="preserve">HR Documentation: </w:t>
      </w:r>
      <w:r>
        <w:rPr>
          <w:rFonts w:ascii="Times New Roman" w:hAnsi="Times New Roman"/>
          <w:sz w:val="24"/>
        </w:rPr>
        <w:t>Developed skills in drafting and reviewing formal HR correspondence, including appointment letters, increment letters, warning letters, and experience certificates, consistent with professional HR documentation standards.</w:t>
      </w:r>
    </w:p>
    <w:p>
      <w:pPr>
        <w:pStyle w:val="ListBullet"/>
        <w:spacing w:before="60" w:after="60" w:line="360" w:lineRule="auto"/>
      </w:pPr>
      <w:r>
        <w:rPr>
          <w:rFonts w:ascii="Times New Roman" w:hAnsi="Times New Roman"/>
          <w:b/>
          <w:sz w:val="24"/>
        </w:rPr>
        <w:t xml:space="preserve">Onboarding and Induction: </w:t>
      </w:r>
      <w:r>
        <w:rPr>
          <w:rFonts w:ascii="Times New Roman" w:hAnsi="Times New Roman"/>
          <w:sz w:val="24"/>
        </w:rPr>
        <w:t>Gained hands-on experience in designing and coordinating onboarding programmes, reinforcing classroom knowledge of the importance of structured onboarding for employee integration and retention.</w:t>
      </w:r>
    </w:p>
    <w:p>
      <w:pPr>
        <w:pStyle w:val="ListBullet"/>
        <w:spacing w:before="60" w:after="60" w:line="360" w:lineRule="auto"/>
      </w:pPr>
      <w:r>
        <w:rPr>
          <w:rFonts w:ascii="Times New Roman" w:hAnsi="Times New Roman"/>
          <w:b/>
          <w:sz w:val="24"/>
        </w:rPr>
        <w:t xml:space="preserve">Performance Management: </w:t>
      </w:r>
      <w:r>
        <w:rPr>
          <w:rFonts w:ascii="Times New Roman" w:hAnsi="Times New Roman"/>
          <w:sz w:val="24"/>
        </w:rPr>
        <w:t>Observed and reviewed the KPI-based performance appraisal system, deepening understanding of how performance management frameworks are implemented in practice in large organizations.</w:t>
      </w:r>
    </w:p>
    <w:p>
      <w:pPr>
        <w:spacing w:before="280" w:after="120" w:line="360" w:lineRule="auto"/>
        <w:jc w:val="left"/>
      </w:pPr>
      <w:r>
        <w:rPr>
          <w:rFonts w:ascii="Times New Roman" w:hAnsi="Times New Roman"/>
          <w:b/>
          <w:color w:val="1F3864"/>
          <w:sz w:val="24"/>
        </w:rPr>
        <w:t>Soft Skills and Professional Competencies</w:t>
      </w:r>
    </w:p>
    <w:p>
      <w:pPr>
        <w:pStyle w:val="ListBullet"/>
        <w:spacing w:before="60" w:after="60" w:line="360" w:lineRule="auto"/>
      </w:pPr>
      <w:r>
        <w:rPr>
          <w:rFonts w:ascii="Times New Roman" w:hAnsi="Times New Roman"/>
          <w:b/>
          <w:sz w:val="24"/>
        </w:rPr>
        <w:t xml:space="preserve">Professional Communication: </w:t>
      </w:r>
      <w:r>
        <w:rPr>
          <w:rFonts w:ascii="Times New Roman" w:hAnsi="Times New Roman"/>
          <w:sz w:val="24"/>
        </w:rPr>
        <w:t>Significantly improved written and verbal communication skills in a professional context, including formal email correspondence, HR communications, and cross-departmental coordination.</w:t>
      </w:r>
    </w:p>
    <w:p>
      <w:pPr>
        <w:pStyle w:val="ListBullet"/>
        <w:spacing w:before="60" w:after="60" w:line="360" w:lineRule="auto"/>
      </w:pPr>
      <w:r>
        <w:rPr>
          <w:rFonts w:ascii="Times New Roman" w:hAnsi="Times New Roman"/>
          <w:b/>
          <w:sz w:val="24"/>
        </w:rPr>
        <w:t xml:space="preserve">Time Management and Prioritization: </w:t>
      </w:r>
      <w:r>
        <w:rPr>
          <w:rFonts w:ascii="Times New Roman" w:hAnsi="Times New Roman"/>
          <w:sz w:val="24"/>
        </w:rPr>
        <w:t>Developed the ability to manage multiple concurrent tasks and deadlines in a fast-paced HR operations environment, a skill directly applicable to any professional role.</w:t>
      </w:r>
    </w:p>
    <w:p>
      <w:pPr>
        <w:pStyle w:val="ListBullet"/>
        <w:spacing w:before="60" w:after="60" w:line="360" w:lineRule="auto"/>
      </w:pPr>
      <w:r>
        <w:rPr>
          <w:rFonts w:ascii="Times New Roman" w:hAnsi="Times New Roman"/>
          <w:b/>
          <w:sz w:val="24"/>
        </w:rPr>
        <w:t xml:space="preserve">Attention to Detail: </w:t>
      </w:r>
      <w:r>
        <w:rPr>
          <w:rFonts w:ascii="Times New Roman" w:hAnsi="Times New Roman"/>
          <w:sz w:val="24"/>
        </w:rPr>
        <w:t>The precision required in HR documentation and payroll data preparation significantly sharpened attention to detail, a critical competency in HR management.</w:t>
      </w:r>
    </w:p>
    <w:p>
      <w:pPr>
        <w:pStyle w:val="ListBullet"/>
        <w:spacing w:before="60" w:after="60" w:line="360" w:lineRule="auto"/>
      </w:pPr>
      <w:r>
        <w:rPr>
          <w:rFonts w:ascii="Times New Roman" w:hAnsi="Times New Roman"/>
          <w:b/>
          <w:sz w:val="24"/>
        </w:rPr>
        <w:t xml:space="preserve">Teamwork and Collaboration: </w:t>
      </w:r>
      <w:r>
        <w:rPr>
          <w:rFonts w:ascii="Times New Roman" w:hAnsi="Times New Roman"/>
          <w:sz w:val="24"/>
        </w:rPr>
        <w:t>Experienced working as an effective team member within the HR department, contributing to collective goals while respecting professional boundaries and confidentiality protocols.</w:t>
      </w:r>
    </w:p>
    <w:p>
      <w:pPr>
        <w:pStyle w:val="ListBullet"/>
        <w:spacing w:before="60" w:after="60" w:line="360" w:lineRule="auto"/>
      </w:pPr>
      <w:r>
        <w:rPr>
          <w:rFonts w:ascii="Times New Roman" w:hAnsi="Times New Roman"/>
          <w:b/>
          <w:sz w:val="24"/>
        </w:rPr>
        <w:t xml:space="preserve">Confidentiality and Professional Ethics: </w:t>
      </w:r>
      <w:r>
        <w:rPr>
          <w:rFonts w:ascii="Times New Roman" w:hAnsi="Times New Roman"/>
          <w:sz w:val="24"/>
        </w:rPr>
        <w:t>Developed a strong understanding of the ethical responsibilities of HR professionals, particularly in relation to employee data confidentiality, impartiality in recruitment, and professional conduct standards.</w:t>
      </w:r>
    </w:p>
    <w:p>
      <w:pPr>
        <w:pStyle w:val="ListBullet"/>
        <w:spacing w:before="60" w:after="60" w:line="360" w:lineRule="auto"/>
      </w:pPr>
      <w:r>
        <w:rPr>
          <w:rFonts w:ascii="Times New Roman" w:hAnsi="Times New Roman"/>
          <w:b/>
          <w:sz w:val="24"/>
        </w:rPr>
        <w:t xml:space="preserve">Adaptability: </w:t>
      </w:r>
      <w:r>
        <w:rPr>
          <w:rFonts w:ascii="Times New Roman" w:hAnsi="Times New Roman"/>
          <w:sz w:val="24"/>
        </w:rPr>
        <w:t>Successfully adapted to a new and dynamic professional environment, navigating new systems, processes, and professional relationships within a short timeframe — demonstrating resilience and a proactive learning attitude.</w:t>
      </w:r>
    </w:p>
    <w:p>
      <w:pPr>
        <w:spacing w:before="280" w:after="120" w:line="360" w:lineRule="auto"/>
        <w:jc w:val="left"/>
      </w:pPr>
      <w:r>
        <w:rPr>
          <w:rFonts w:ascii="Times New Roman" w:hAnsi="Times New Roman"/>
          <w:b/>
          <w:color w:val="1F3864"/>
          <w:sz w:val="24"/>
        </w:rPr>
        <w:t>Theory vs. Practice: Key Reflections</w:t>
      </w:r>
    </w:p>
    <w:p>
      <w:pPr>
        <w:spacing w:before="120" w:after="120" w:line="360" w:lineRule="auto"/>
        <w:jc w:val="both"/>
      </w:pPr>
      <w:r>
        <w:rPr>
          <w:rFonts w:ascii="Times New Roman" w:hAnsi="Times New Roman"/>
          <w:b w:val="0"/>
          <w:i w:val="0"/>
          <w:sz w:val="24"/>
        </w:rPr>
        <w:t>One of the most valuable dimensions of the internship experience was the opportunity to compare and contrast the theoretical frameworks studied at IBA with the practical realities of HR management in a large organization. Several key observations emerged from this comparison:</w:t>
      </w:r>
    </w:p>
    <w:p>
      <w:pPr>
        <w:pStyle w:val="ListBullet"/>
        <w:spacing w:before="60" w:after="60" w:line="360" w:lineRule="auto"/>
      </w:pPr>
      <w:r>
        <w:rPr>
          <w:rFonts w:ascii="Times New Roman" w:hAnsi="Times New Roman"/>
          <w:b/>
          <w:sz w:val="24"/>
        </w:rPr>
        <w:t xml:space="preserve">Recruitment Theory vs. Practice: </w:t>
      </w:r>
      <w:r>
        <w:rPr>
          <w:rFonts w:ascii="Times New Roman" w:hAnsi="Times New Roman"/>
          <w:sz w:val="24"/>
        </w:rPr>
        <w:t>While academic study emphasized structured, competency-based recruitment processes as the gold standard, in practice I observed that time pressures and high recruitment volumes occasionally led to compromises in the depth of competency assessment, particularly for entry-level roles. This highlighted the tension between ideal HR practice and operational realities in large organizations.</w:t>
      </w:r>
    </w:p>
    <w:p>
      <w:pPr>
        <w:pStyle w:val="ListBullet"/>
        <w:spacing w:before="60" w:after="60" w:line="360" w:lineRule="auto"/>
      </w:pPr>
      <w:r>
        <w:rPr>
          <w:rFonts w:ascii="Times New Roman" w:hAnsi="Times New Roman"/>
          <w:b/>
          <w:sz w:val="24"/>
        </w:rPr>
        <w:t xml:space="preserve">Motivation Theories in Action: </w:t>
      </w:r>
      <w:r>
        <w:rPr>
          <w:rFonts w:ascii="Times New Roman" w:hAnsi="Times New Roman"/>
          <w:sz w:val="24"/>
        </w:rPr>
        <w:t>Maslow's Hierarchy of Needs and Herzberg's Two-Factor Theory, studied extensively in Organizational Behaviour courses, were directly observable in Beaconhouse's approach to employee motivation. The extensive benefits package, career development opportunities, and recognition programmes addressed both hygiene factors and motivators as described by Herzberg.</w:t>
      </w:r>
    </w:p>
    <w:p>
      <w:pPr>
        <w:pStyle w:val="ListBullet"/>
        <w:spacing w:before="60" w:after="60" w:line="360" w:lineRule="auto"/>
      </w:pPr>
      <w:r>
        <w:rPr>
          <w:rFonts w:ascii="Times New Roman" w:hAnsi="Times New Roman"/>
          <w:b/>
          <w:sz w:val="24"/>
        </w:rPr>
        <w:t xml:space="preserve">Compensation Strategy: </w:t>
      </w:r>
      <w:r>
        <w:rPr>
          <w:rFonts w:ascii="Times New Roman" w:hAnsi="Times New Roman"/>
          <w:sz w:val="24"/>
        </w:rPr>
        <w:t>The theoretical concept of total rewards — encompassing not just monetary compensation but also benefits, career development, and work-life balance — was clearly reflected in Beaconhouse's comprehensive employee value proposition, validating the practical relevance of this framework.</w:t>
      </w:r>
    </w:p>
    <w:p>
      <w:pPr>
        <w:pStyle w:val="ListBullet"/>
        <w:spacing w:before="60" w:after="60" w:line="360" w:lineRule="auto"/>
      </w:pPr>
      <w:r>
        <w:rPr>
          <w:rFonts w:ascii="Times New Roman" w:hAnsi="Times New Roman"/>
          <w:b/>
          <w:sz w:val="24"/>
        </w:rPr>
        <w:t xml:space="preserve">Change Management: </w:t>
      </w:r>
      <w:r>
        <w:rPr>
          <w:rFonts w:ascii="Times New Roman" w:hAnsi="Times New Roman"/>
          <w:sz w:val="24"/>
        </w:rPr>
        <w:t>The challenges observed in communicating policy changes across a large, geographically dispersed organization illustrated the real-world complexities of change management — a topic extensively covered in management courses but far more nuanced in practice.</w:t>
      </w:r>
    </w:p>
    <w:p>
      <w:pPr>
        <w:spacing w:before="280" w:after="120" w:line="360" w:lineRule="auto"/>
        <w:jc w:val="left"/>
      </w:pPr>
      <w:r>
        <w:rPr>
          <w:rFonts w:ascii="Times New Roman" w:hAnsi="Times New Roman"/>
          <w:b/>
          <w:color w:val="1F3864"/>
          <w:sz w:val="24"/>
        </w:rPr>
        <w:t>Career Development Insights</w:t>
      </w:r>
    </w:p>
    <w:p>
      <w:pPr>
        <w:spacing w:before="120" w:after="120" w:line="360" w:lineRule="auto"/>
        <w:jc w:val="both"/>
      </w:pPr>
      <w:r>
        <w:rPr>
          <w:rFonts w:ascii="Times New Roman" w:hAnsi="Times New Roman"/>
          <w:b w:val="0"/>
          <w:i w:val="0"/>
          <w:sz w:val="24"/>
        </w:rPr>
        <w:t>The internship provided invaluable insights into potential career pathways in HR management within the education sector. Key takeaways include:</w:t>
      </w:r>
    </w:p>
    <w:p>
      <w:pPr>
        <w:pStyle w:val="ListBullet"/>
        <w:spacing w:before="60" w:after="60" w:line="360" w:lineRule="auto"/>
      </w:pPr>
      <w:r>
        <w:rPr>
          <w:rFonts w:ascii="Times New Roman" w:hAnsi="Times New Roman"/>
          <w:sz w:val="24"/>
        </w:rPr>
        <w:t>The HR profession in large organizations offers diverse specialization opportunities, including Talent Acquisition, Compensation &amp; Benefits, HR Business Partnering, Learning &amp; Development, and HR Analytics.</w:t>
      </w:r>
    </w:p>
    <w:p>
      <w:pPr>
        <w:pStyle w:val="ListBullet"/>
        <w:spacing w:before="60" w:after="60" w:line="360" w:lineRule="auto"/>
      </w:pPr>
      <w:r>
        <w:rPr>
          <w:rFonts w:ascii="Times New Roman" w:hAnsi="Times New Roman"/>
          <w:sz w:val="24"/>
        </w:rPr>
        <w:t>Professional certifications such as SHRM (Society for Human Resource Management), CIPD (Chartered Institute of Personnel and Development), or PHRi (Professional in Human Resources – International) can significantly accelerate career progression in HR.</w:t>
      </w:r>
    </w:p>
    <w:p>
      <w:pPr>
        <w:pStyle w:val="ListBullet"/>
        <w:spacing w:before="60" w:after="60" w:line="360" w:lineRule="auto"/>
      </w:pPr>
      <w:r>
        <w:rPr>
          <w:rFonts w:ascii="Times New Roman" w:hAnsi="Times New Roman"/>
          <w:sz w:val="24"/>
        </w:rPr>
        <w:t>The education sector offers unique rewards in HR — the sense of purpose derived from contributing to an institution that positively impacts thousands of students adds a meaningful dimension to the professional experience.</w:t>
      </w:r>
    </w:p>
    <w:p>
      <w:pPr>
        <w:pStyle w:val="ListBullet"/>
        <w:spacing w:before="60" w:after="60" w:line="360" w:lineRule="auto"/>
      </w:pPr>
      <w:r>
        <w:rPr>
          <w:rFonts w:ascii="Times New Roman" w:hAnsi="Times New Roman"/>
          <w:sz w:val="24"/>
        </w:rPr>
        <w:t>Building strong interpersonal relationships and demonstrating reliability, discretion, and initiative are as important as technical HR knowledge in establishing a successful HR career.</w:t>
      </w:r>
    </w:p>
    <w:p>
      <w:pPr>
        <w:pStyle w:val="ListBullet"/>
        <w:spacing w:before="60" w:after="60" w:line="360" w:lineRule="auto"/>
      </w:pPr>
      <w:r>
        <w:rPr>
          <w:rFonts w:ascii="Times New Roman" w:hAnsi="Times New Roman"/>
          <w:sz w:val="24"/>
        </w:rPr>
        <w:t>Understanding financial concepts — including compensation budgeting, cost-per-hire analysis, and HR ROI metrics — is increasingly important for HR professionals seeking senior leadership roles.</w:t>
      </w:r>
    </w:p>
    <w:p>
      <w:r>
        <w:br w:type="page"/>
      </w:r>
    </w:p>
    <w:p>
      <w:pPr>
        <w:spacing w:before="280" w:after="120" w:line="360" w:lineRule="auto"/>
        <w:jc w:val="left"/>
      </w:pPr>
      <w:r>
        <w:rPr>
          <w:rFonts w:ascii="Times New Roman" w:hAnsi="Times New Roman"/>
          <w:b/>
          <w:color w:val="1F3864"/>
          <w:sz w:val="28"/>
        </w:rPr>
        <w:t>APPENDIX C: GLOSSARY OF KEY TERMS</w:t>
      </w:r>
    </w:p>
    <w:p>
      <w:pPr>
        <w:spacing w:before="120" w:after="120" w:line="360" w:lineRule="auto"/>
        <w:jc w:val="both"/>
      </w:pPr>
      <w:r>
        <w:rPr>
          <w:rFonts w:ascii="Times New Roman" w:hAnsi="Times New Roman"/>
          <w:b w:val="0"/>
          <w:i w:val="0"/>
          <w:sz w:val="24"/>
        </w:rPr>
        <w:t>The following is a glossary of key terms and abbreviations used throughout this internship report:</w:t>
      </w:r>
    </w:p>
    <w:p>
      <w:pPr>
        <w:pStyle w:val="ListBullet"/>
        <w:spacing w:before="60" w:after="60" w:line="360" w:lineRule="auto"/>
      </w:pPr>
      <w:r>
        <w:rPr>
          <w:rFonts w:ascii="Times New Roman" w:hAnsi="Times New Roman"/>
          <w:b/>
          <w:sz w:val="24"/>
        </w:rPr>
        <w:t xml:space="preserve">BSS: </w:t>
      </w:r>
      <w:r>
        <w:rPr>
          <w:rFonts w:ascii="Times New Roman" w:hAnsi="Times New Roman"/>
          <w:sz w:val="24"/>
        </w:rPr>
        <w:t>Beaconhouse School System — the primary subject organization of this internship report.</w:t>
      </w:r>
    </w:p>
    <w:p>
      <w:pPr>
        <w:pStyle w:val="ListBullet"/>
        <w:spacing w:before="60" w:after="60" w:line="360" w:lineRule="auto"/>
      </w:pPr>
      <w:r>
        <w:rPr>
          <w:rFonts w:ascii="Times New Roman" w:hAnsi="Times New Roman"/>
          <w:b/>
          <w:sz w:val="24"/>
        </w:rPr>
        <w:t xml:space="preserve">BESL: </w:t>
      </w:r>
      <w:r>
        <w:rPr>
          <w:rFonts w:ascii="Times New Roman" w:hAnsi="Times New Roman"/>
          <w:sz w:val="24"/>
        </w:rPr>
        <w:t>Beaconhouse Educational Services Limited — the international school management company within the Beaconhouse Group.</w:t>
      </w:r>
    </w:p>
    <w:p>
      <w:pPr>
        <w:pStyle w:val="ListBullet"/>
        <w:spacing w:before="60" w:after="60" w:line="360" w:lineRule="auto"/>
      </w:pPr>
      <w:r>
        <w:rPr>
          <w:rFonts w:ascii="Times New Roman" w:hAnsi="Times New Roman"/>
          <w:b/>
          <w:sz w:val="24"/>
        </w:rPr>
        <w:t xml:space="preserve">IBA: </w:t>
      </w:r>
      <w:r>
        <w:rPr>
          <w:rFonts w:ascii="Times New Roman" w:hAnsi="Times New Roman"/>
          <w:sz w:val="24"/>
        </w:rPr>
        <w:t>Institute of Business Administration — the academic institution at the University of the Punjab, Lahore, under whose BBA programme this internship was conducted.</w:t>
      </w:r>
    </w:p>
    <w:p>
      <w:pPr>
        <w:pStyle w:val="ListBullet"/>
        <w:spacing w:before="60" w:after="60" w:line="360" w:lineRule="auto"/>
      </w:pPr>
      <w:r>
        <w:rPr>
          <w:rFonts w:ascii="Times New Roman" w:hAnsi="Times New Roman"/>
          <w:b/>
          <w:sz w:val="24"/>
        </w:rPr>
        <w:t xml:space="preserve">HR: </w:t>
      </w:r>
      <w:r>
        <w:rPr>
          <w:rFonts w:ascii="Times New Roman" w:hAnsi="Times New Roman"/>
          <w:sz w:val="24"/>
        </w:rPr>
        <w:t>Human Resources — the department and function responsible for managing the employee lifecycle within an organization.</w:t>
      </w:r>
    </w:p>
    <w:p>
      <w:pPr>
        <w:pStyle w:val="ListBullet"/>
        <w:spacing w:before="60" w:after="60" w:line="360" w:lineRule="auto"/>
      </w:pPr>
      <w:r>
        <w:rPr>
          <w:rFonts w:ascii="Times New Roman" w:hAnsi="Times New Roman"/>
          <w:b/>
          <w:sz w:val="24"/>
        </w:rPr>
        <w:t xml:space="preserve">HRIS: </w:t>
      </w:r>
      <w:r>
        <w:rPr>
          <w:rFonts w:ascii="Times New Roman" w:hAnsi="Times New Roman"/>
          <w:sz w:val="24"/>
        </w:rPr>
        <w:t>Human Resource Information System — the digital platform used to manage employee data, payroll, attendance, leave, and performance management functions.</w:t>
      </w:r>
    </w:p>
    <w:p>
      <w:pPr>
        <w:pStyle w:val="ListBullet"/>
        <w:spacing w:before="60" w:after="60" w:line="360" w:lineRule="auto"/>
      </w:pPr>
      <w:r>
        <w:rPr>
          <w:rFonts w:ascii="Times New Roman" w:hAnsi="Times New Roman"/>
          <w:b/>
          <w:sz w:val="24"/>
        </w:rPr>
        <w:t xml:space="preserve">KPI: </w:t>
      </w:r>
      <w:r>
        <w:rPr>
          <w:rFonts w:ascii="Times New Roman" w:hAnsi="Times New Roman"/>
          <w:sz w:val="24"/>
        </w:rPr>
        <w:t>Key Performance Indicator — a measurable value used to evaluate the success of an individual or organization in achieving defined objectives.</w:t>
      </w:r>
    </w:p>
    <w:p>
      <w:pPr>
        <w:pStyle w:val="ListBullet"/>
        <w:spacing w:before="60" w:after="60" w:line="360" w:lineRule="auto"/>
      </w:pPr>
      <w:r>
        <w:rPr>
          <w:rFonts w:ascii="Times New Roman" w:hAnsi="Times New Roman"/>
          <w:b/>
          <w:sz w:val="24"/>
        </w:rPr>
        <w:t xml:space="preserve">CEO: </w:t>
      </w:r>
      <w:r>
        <w:rPr>
          <w:rFonts w:ascii="Times New Roman" w:hAnsi="Times New Roman"/>
          <w:sz w:val="24"/>
        </w:rPr>
        <w:t>Chief Executive Officer — the highest-ranking executive in an organization, responsible for overall strategic direction and organizational performance.</w:t>
      </w:r>
    </w:p>
    <w:p>
      <w:pPr>
        <w:pStyle w:val="ListBullet"/>
        <w:spacing w:before="60" w:after="60" w:line="360" w:lineRule="auto"/>
      </w:pPr>
      <w:r>
        <w:rPr>
          <w:rFonts w:ascii="Times New Roman" w:hAnsi="Times New Roman"/>
          <w:b/>
          <w:sz w:val="24"/>
        </w:rPr>
        <w:t xml:space="preserve">COO: </w:t>
      </w:r>
      <w:r>
        <w:rPr>
          <w:rFonts w:ascii="Times New Roman" w:hAnsi="Times New Roman"/>
          <w:sz w:val="24"/>
        </w:rPr>
        <w:t>Chief Operating Officer — the executive responsible for day-to-day operational management, reporting directly to the CEO.</w:t>
      </w:r>
    </w:p>
    <w:p>
      <w:pPr>
        <w:pStyle w:val="ListBullet"/>
        <w:spacing w:before="60" w:after="60" w:line="360" w:lineRule="auto"/>
      </w:pPr>
      <w:r>
        <w:rPr>
          <w:rFonts w:ascii="Times New Roman" w:hAnsi="Times New Roman"/>
          <w:b/>
          <w:sz w:val="24"/>
        </w:rPr>
        <w:t xml:space="preserve">CFO: </w:t>
      </w:r>
      <w:r>
        <w:rPr>
          <w:rFonts w:ascii="Times New Roman" w:hAnsi="Times New Roman"/>
          <w:sz w:val="24"/>
        </w:rPr>
        <w:t>Chief Financial Officer — the executive responsible for financial planning, reporting, and risk management.</w:t>
      </w:r>
    </w:p>
    <w:p>
      <w:pPr>
        <w:pStyle w:val="ListBullet"/>
        <w:spacing w:before="60" w:after="60" w:line="360" w:lineRule="auto"/>
      </w:pPr>
      <w:r>
        <w:rPr>
          <w:rFonts w:ascii="Times New Roman" w:hAnsi="Times New Roman"/>
          <w:b/>
          <w:sz w:val="24"/>
        </w:rPr>
        <w:t xml:space="preserve">HRA: </w:t>
      </w:r>
      <w:r>
        <w:rPr>
          <w:rFonts w:ascii="Times New Roman" w:hAnsi="Times New Roman"/>
          <w:sz w:val="24"/>
        </w:rPr>
        <w:t>House Rent Allowance — a component of employee compensation provided to offset residential rental costs.</w:t>
      </w:r>
    </w:p>
    <w:p>
      <w:pPr>
        <w:pStyle w:val="ListBullet"/>
        <w:spacing w:before="60" w:after="60" w:line="360" w:lineRule="auto"/>
      </w:pPr>
      <w:r>
        <w:rPr>
          <w:rFonts w:ascii="Times New Roman" w:hAnsi="Times New Roman"/>
          <w:b/>
          <w:sz w:val="24"/>
        </w:rPr>
        <w:t xml:space="preserve">EPF: </w:t>
      </w:r>
      <w:r>
        <w:rPr>
          <w:rFonts w:ascii="Times New Roman" w:hAnsi="Times New Roman"/>
          <w:sz w:val="24"/>
        </w:rPr>
        <w:t>Employee Provident Fund — a retirement savings scheme to which both employer and employee contribute.</w:t>
      </w:r>
    </w:p>
    <w:p>
      <w:pPr>
        <w:pStyle w:val="ListBullet"/>
        <w:spacing w:before="60" w:after="60" w:line="360" w:lineRule="auto"/>
      </w:pPr>
      <w:r>
        <w:rPr>
          <w:rFonts w:ascii="Times New Roman" w:hAnsi="Times New Roman"/>
          <w:b/>
          <w:sz w:val="24"/>
        </w:rPr>
        <w:t xml:space="preserve">CAIE: </w:t>
      </w:r>
      <w:r>
        <w:rPr>
          <w:rFonts w:ascii="Times New Roman" w:hAnsi="Times New Roman"/>
          <w:sz w:val="24"/>
        </w:rPr>
        <w:t>Cambridge Assessment International Education — the examination body that awards O-Level, A-Level, and IGCSE qualifications.</w:t>
      </w:r>
    </w:p>
    <w:p>
      <w:pPr>
        <w:pStyle w:val="ListBullet"/>
        <w:spacing w:before="60" w:after="60" w:line="360" w:lineRule="auto"/>
      </w:pPr>
      <w:r>
        <w:rPr>
          <w:rFonts w:ascii="Times New Roman" w:hAnsi="Times New Roman"/>
          <w:b/>
          <w:sz w:val="24"/>
        </w:rPr>
        <w:t xml:space="preserve">ROA: </w:t>
      </w:r>
      <w:r>
        <w:rPr>
          <w:rFonts w:ascii="Times New Roman" w:hAnsi="Times New Roman"/>
          <w:sz w:val="24"/>
        </w:rPr>
        <w:t>Return on Assets — a profitability ratio measuring net profit as a percentage of total assets.</w:t>
      </w:r>
    </w:p>
    <w:p>
      <w:pPr>
        <w:pStyle w:val="ListBullet"/>
        <w:spacing w:before="60" w:after="60" w:line="360" w:lineRule="auto"/>
      </w:pPr>
      <w:r>
        <w:rPr>
          <w:rFonts w:ascii="Times New Roman" w:hAnsi="Times New Roman"/>
          <w:b/>
          <w:sz w:val="24"/>
        </w:rPr>
        <w:t xml:space="preserve">ROE: </w:t>
      </w:r>
      <w:r>
        <w:rPr>
          <w:rFonts w:ascii="Times New Roman" w:hAnsi="Times New Roman"/>
          <w:sz w:val="24"/>
        </w:rPr>
        <w:t>Return on Equity — a profitability ratio measuring net profit as a percentage of total shareholder equity.</w:t>
      </w:r>
    </w:p>
    <w:p>
      <w:pPr>
        <w:pStyle w:val="ListBullet"/>
        <w:spacing w:before="60" w:after="60" w:line="360" w:lineRule="auto"/>
      </w:pPr>
      <w:r>
        <w:rPr>
          <w:rFonts w:ascii="Times New Roman" w:hAnsi="Times New Roman"/>
          <w:b/>
          <w:sz w:val="24"/>
        </w:rPr>
        <w:t xml:space="preserve">EBIT: </w:t>
      </w:r>
      <w:r>
        <w:rPr>
          <w:rFonts w:ascii="Times New Roman" w:hAnsi="Times New Roman"/>
          <w:sz w:val="24"/>
        </w:rPr>
        <w:t>Earnings Before Interest and Tax — a measure of operating profitability.</w:t>
      </w:r>
    </w:p>
    <w:p>
      <w:pPr>
        <w:pStyle w:val="ListBullet"/>
        <w:spacing w:before="60" w:after="60" w:line="360" w:lineRule="auto"/>
      </w:pPr>
      <w:r>
        <w:rPr>
          <w:rFonts w:ascii="Times New Roman" w:hAnsi="Times New Roman"/>
          <w:b/>
          <w:sz w:val="24"/>
        </w:rPr>
        <w:t xml:space="preserve">DSO: </w:t>
      </w:r>
      <w:r>
        <w:rPr>
          <w:rFonts w:ascii="Times New Roman" w:hAnsi="Times New Roman"/>
          <w:sz w:val="24"/>
        </w:rPr>
        <w:t>Days Sales Outstanding — a measure of the average number of days taken to collect payment after a sale.</w:t>
      </w:r>
    </w:p>
    <w:p>
      <w:pPr>
        <w:pStyle w:val="ListBullet"/>
        <w:spacing w:before="60" w:after="60" w:line="360" w:lineRule="auto"/>
      </w:pPr>
      <w:r>
        <w:rPr>
          <w:rFonts w:ascii="Times New Roman" w:hAnsi="Times New Roman"/>
          <w:b/>
          <w:sz w:val="24"/>
        </w:rPr>
        <w:t xml:space="preserve">SWOT: </w:t>
      </w:r>
      <w:r>
        <w:rPr>
          <w:rFonts w:ascii="Times New Roman" w:hAnsi="Times New Roman"/>
          <w:sz w:val="24"/>
        </w:rPr>
        <w:t>Strengths, Weaknesses, Opportunities, Threats — a strategic analysis framework used to evaluate an organization's internal and external environment.</w:t>
      </w:r>
    </w:p>
    <w:p>
      <w:pPr>
        <w:pStyle w:val="ListBullet"/>
        <w:spacing w:before="60" w:after="60" w:line="360" w:lineRule="auto"/>
      </w:pPr>
      <w:r>
        <w:rPr>
          <w:rFonts w:ascii="Times New Roman" w:hAnsi="Times New Roman"/>
          <w:b/>
          <w:sz w:val="24"/>
        </w:rPr>
        <w:t xml:space="preserve">CRM: </w:t>
      </w:r>
      <w:r>
        <w:rPr>
          <w:rFonts w:ascii="Times New Roman" w:hAnsi="Times New Roman"/>
          <w:sz w:val="24"/>
        </w:rPr>
        <w:t>Customer Relationship Management — a system used to manage interactions with prospective and current customers (in this context, prospective students and parents).</w:t>
      </w:r>
    </w:p>
    <w:p>
      <w:pPr>
        <w:pStyle w:val="ListBullet"/>
        <w:spacing w:before="60" w:after="60" w:line="360" w:lineRule="auto"/>
      </w:pPr>
      <w:r>
        <w:rPr>
          <w:rFonts w:ascii="Times New Roman" w:hAnsi="Times New Roman"/>
          <w:b/>
          <w:sz w:val="24"/>
        </w:rPr>
        <w:t xml:space="preserve">SOP: </w:t>
      </w:r>
      <w:r>
        <w:rPr>
          <w:rFonts w:ascii="Times New Roman" w:hAnsi="Times New Roman"/>
          <w:sz w:val="24"/>
        </w:rPr>
        <w:t>Standard Operating Procedure — a documented set of step-by-step instructions for carrying out routine operations.</w:t>
      </w:r>
    </w:p>
    <w:p>
      <w:pPr>
        <w:pStyle w:val="ListBullet"/>
        <w:spacing w:before="60" w:after="60" w:line="360" w:lineRule="auto"/>
      </w:pPr>
      <w:r>
        <w:rPr>
          <w:rFonts w:ascii="Times New Roman" w:hAnsi="Times New Roman"/>
          <w:b/>
          <w:sz w:val="24"/>
        </w:rPr>
        <w:t xml:space="preserve">TED: </w:t>
      </w:r>
      <w:r>
        <w:rPr>
          <w:rFonts w:ascii="Times New Roman" w:hAnsi="Times New Roman"/>
          <w:sz w:val="24"/>
        </w:rPr>
        <w:t>The Educators — a sister brand of Beaconhouse School System within the Beaconhouse Group, targeting the middle-income education market segment.</w:t>
      </w:r>
    </w:p>
    <w:p>
      <w:pPr>
        <w:pStyle w:val="ListBullet"/>
        <w:spacing w:before="60" w:after="60" w:line="360" w:lineRule="auto"/>
      </w:pPr>
      <w:r>
        <w:rPr>
          <w:rFonts w:ascii="Times New Roman" w:hAnsi="Times New Roman"/>
          <w:b/>
          <w:sz w:val="24"/>
        </w:rPr>
        <w:t xml:space="preserve">FBR: </w:t>
      </w:r>
      <w:r>
        <w:rPr>
          <w:rFonts w:ascii="Times New Roman" w:hAnsi="Times New Roman"/>
          <w:sz w:val="24"/>
        </w:rPr>
        <w:t>Federal Board of Revenue — Pakistan's federal tax authority.</w:t>
      </w:r>
    </w:p>
    <w:p>
      <w:pPr>
        <w:pStyle w:val="ListBullet"/>
        <w:spacing w:before="60" w:after="60" w:line="360" w:lineRule="auto"/>
      </w:pPr>
      <w:r>
        <w:rPr>
          <w:rFonts w:ascii="Times New Roman" w:hAnsi="Times New Roman"/>
          <w:b/>
          <w:sz w:val="24"/>
        </w:rPr>
        <w:t xml:space="preserve">SIS: </w:t>
      </w:r>
      <w:r>
        <w:rPr>
          <w:rFonts w:ascii="Times New Roman" w:hAnsi="Times New Roman"/>
          <w:sz w:val="24"/>
        </w:rPr>
        <w:t>Student Information System — a digital platform managing student academic records, attendance, and administrative data.</w:t>
      </w:r>
    </w:p>
    <w:p>
      <w:pPr>
        <w:pStyle w:val="ListBullet"/>
        <w:spacing w:before="60" w:after="60" w:line="360" w:lineRule="auto"/>
      </w:pPr>
      <w:r>
        <w:rPr>
          <w:rFonts w:ascii="Times New Roman" w:hAnsi="Times New Roman"/>
          <w:b/>
          <w:sz w:val="24"/>
        </w:rPr>
        <w:t xml:space="preserve">LMS: </w:t>
      </w:r>
      <w:r>
        <w:rPr>
          <w:rFonts w:ascii="Times New Roman" w:hAnsi="Times New Roman"/>
          <w:sz w:val="24"/>
        </w:rPr>
        <w:t>Learning Management System — a digital platform supporting the delivery and management of educational content and programmes.</w:t>
      </w:r>
    </w:p>
    <w:p>
      <w:pPr>
        <w:pStyle w:val="ListBullet"/>
        <w:spacing w:before="60" w:after="60" w:line="360" w:lineRule="auto"/>
      </w:pPr>
      <w:r>
        <w:rPr>
          <w:rFonts w:ascii="Times New Roman" w:hAnsi="Times New Roman"/>
          <w:b/>
          <w:sz w:val="24"/>
        </w:rPr>
        <w:t xml:space="preserve">LTIP: </w:t>
      </w:r>
      <w:r>
        <w:rPr>
          <w:rFonts w:ascii="Times New Roman" w:hAnsi="Times New Roman"/>
          <w:sz w:val="24"/>
        </w:rPr>
        <w:t>Long-Term Incentive Plan — a compensation mechanism linking senior employee rewards to long-term organizational performance.</w:t>
      </w:r>
    </w:p>
    <w:p>
      <w:pPr>
        <w:pStyle w:val="ListBullet"/>
        <w:spacing w:before="60" w:after="60" w:line="360" w:lineRule="auto"/>
      </w:pPr>
      <w:r>
        <w:rPr>
          <w:rFonts w:ascii="Times New Roman" w:hAnsi="Times New Roman"/>
          <w:b/>
          <w:sz w:val="24"/>
        </w:rPr>
        <w:t xml:space="preserve">CSR: </w:t>
      </w:r>
      <w:r>
        <w:rPr>
          <w:rFonts w:ascii="Times New Roman" w:hAnsi="Times New Roman"/>
          <w:sz w:val="24"/>
        </w:rPr>
        <w:t>Corporate Social Responsibility — an organization's commitment to ethical, social, and environmental responsibilities beyond its core commercial activities.</w:t>
      </w:r>
    </w:p>
    <w:p>
      <w:r>
        <w:br w:type="page"/>
      </w:r>
    </w:p>
    <w:p>
      <w:pPr>
        <w:spacing w:before="280" w:after="120" w:line="360" w:lineRule="auto"/>
        <w:jc w:val="left"/>
      </w:pPr>
      <w:r>
        <w:rPr>
          <w:rFonts w:ascii="Times New Roman" w:hAnsi="Times New Roman"/>
          <w:b/>
          <w:color w:val="1F3864"/>
          <w:sz w:val="28"/>
        </w:rPr>
        <w:t>REFERENCES</w:t>
      </w:r>
    </w:p>
    <w:p>
      <w:pPr>
        <w:spacing w:line="360" w:lineRule="auto" w:before="60" w:after="60"/>
        <w:ind w:left="480" w:hanging="480"/>
      </w:pPr>
      <w:r>
        <w:rPr>
          <w:rFonts w:ascii="Times New Roman" w:hAnsi="Times New Roman"/>
          <w:sz w:val="24"/>
        </w:rPr>
        <w:t>Beaconhouse School System. (2024). About Us. Retrieved from https://www.beaconhouse.net/about-us/</w:t>
      </w:r>
    </w:p>
    <w:p>
      <w:pPr>
        <w:spacing w:line="360" w:lineRule="auto" w:before="60" w:after="60"/>
        <w:ind w:left="480" w:hanging="480"/>
      </w:pPr>
      <w:r>
        <w:rPr>
          <w:rFonts w:ascii="Times New Roman" w:hAnsi="Times New Roman"/>
          <w:sz w:val="24"/>
        </w:rPr>
        <w:t>Beaconhouse Education Services. (2024). Leadership Team. Retrieved from https://bes.ac/leadership-team</w:t>
      </w:r>
    </w:p>
    <w:p>
      <w:pPr>
        <w:spacing w:line="360" w:lineRule="auto" w:before="60" w:after="60"/>
        <w:ind w:left="480" w:hanging="480"/>
      </w:pPr>
      <w:r>
        <w:rPr>
          <w:rFonts w:ascii="Times New Roman" w:hAnsi="Times New Roman"/>
          <w:sz w:val="24"/>
        </w:rPr>
        <w:t>Beaconhouse Research in Education. (2024). Kasim Kasuri. Retrieved from https://bre.beaconhouse.net/team/kasim-kasuri/</w:t>
      </w:r>
    </w:p>
    <w:p>
      <w:pPr>
        <w:spacing w:line="360" w:lineRule="auto" w:before="60" w:after="60"/>
        <w:ind w:left="480" w:hanging="480"/>
      </w:pPr>
      <w:r>
        <w:rPr>
          <w:rFonts w:ascii="Times New Roman" w:hAnsi="Times New Roman"/>
          <w:sz w:val="24"/>
        </w:rPr>
        <w:t>Dessler, G. (2020). Human Resource Management (16th ed.). Pearson Education.</w:t>
      </w:r>
    </w:p>
    <w:p>
      <w:pPr>
        <w:spacing w:line="360" w:lineRule="auto" w:before="60" w:after="60"/>
        <w:ind w:left="480" w:hanging="480"/>
      </w:pPr>
      <w:r>
        <w:rPr>
          <w:rFonts w:ascii="Times New Roman" w:hAnsi="Times New Roman"/>
          <w:sz w:val="24"/>
        </w:rPr>
        <w:t>Armstrong, M., &amp; Taylor, S. (2020). Armstrong's Handbook of Human Resource Management Practice (15th ed.). Kogan Page.</w:t>
      </w:r>
    </w:p>
    <w:p>
      <w:pPr>
        <w:spacing w:line="360" w:lineRule="auto" w:before="60" w:after="60"/>
        <w:ind w:left="480" w:hanging="480"/>
      </w:pPr>
      <w:r>
        <w:rPr>
          <w:rFonts w:ascii="Times New Roman" w:hAnsi="Times New Roman"/>
          <w:sz w:val="24"/>
        </w:rPr>
        <w:t>Robbins, S. P., &amp; Coulter, M. (2021). Management (15th ed.). Pearson Education.</w:t>
      </w:r>
    </w:p>
    <w:p>
      <w:pPr>
        <w:spacing w:line="360" w:lineRule="auto" w:before="60" w:after="60"/>
        <w:ind w:left="480" w:hanging="480"/>
      </w:pPr>
      <w:r>
        <w:rPr>
          <w:rFonts w:ascii="Times New Roman" w:hAnsi="Times New Roman"/>
          <w:sz w:val="24"/>
        </w:rPr>
        <w:t>Herzberg, F. (1959). The Motivation to Work. John Wiley &amp; Sons.</w:t>
      </w:r>
    </w:p>
    <w:p>
      <w:pPr>
        <w:spacing w:line="360" w:lineRule="auto" w:before="60" w:after="60"/>
        <w:ind w:left="480" w:hanging="480"/>
      </w:pPr>
      <w:r>
        <w:rPr>
          <w:rFonts w:ascii="Times New Roman" w:hAnsi="Times New Roman"/>
          <w:sz w:val="24"/>
        </w:rPr>
        <w:t>Maslow, A. H. (1943). A Theory of Human Motivation. Psychological Review, 50(4), 370–396.</w:t>
      </w:r>
    </w:p>
    <w:p>
      <w:pPr>
        <w:spacing w:line="360" w:lineRule="auto" w:before="60" w:after="60"/>
        <w:ind w:left="480" w:hanging="480"/>
      </w:pPr>
      <w:r>
        <w:rPr>
          <w:rFonts w:ascii="Times New Roman" w:hAnsi="Times New Roman"/>
          <w:sz w:val="24"/>
        </w:rPr>
        <w:t>Cambridge Assessment International Education. (2024). About Cambridge. Retrieved from https://www.cambridgeinternational.org/</w:t>
      </w:r>
    </w:p>
    <w:p>
      <w:pPr>
        <w:spacing w:line="360" w:lineRule="auto" w:before="60" w:after="60"/>
        <w:ind w:left="480" w:hanging="480"/>
      </w:pPr>
      <w:r>
        <w:rPr>
          <w:rFonts w:ascii="Times New Roman" w:hAnsi="Times New Roman"/>
          <w:sz w:val="24"/>
        </w:rPr>
        <w:t>Pakistan Bureau of Statistics. (2023). Labour Force Survey 2022–23. Government of Pakistan.</w:t>
      </w:r>
    </w:p>
    <w:p>
      <w:pPr>
        <w:spacing w:line="360" w:lineRule="auto" w:before="60" w:after="60"/>
        <w:ind w:left="480" w:hanging="480"/>
      </w:pPr>
      <w:r>
        <w:rPr>
          <w:rFonts w:ascii="Times New Roman" w:hAnsi="Times New Roman"/>
          <w:sz w:val="24"/>
        </w:rPr>
        <w:t>State Bank of Pakistan. (2024). Annual Report 2023–24. Government of Pakistan.</w:t>
      </w:r>
    </w:p>
    <w:p>
      <w:pPr>
        <w:spacing w:line="360" w:lineRule="auto" w:before="60" w:after="60"/>
        <w:ind w:left="480" w:hanging="480"/>
      </w:pPr>
      <w:r>
        <w:rPr>
          <w:rFonts w:ascii="Times New Roman" w:hAnsi="Times New Roman"/>
          <w:sz w:val="24"/>
        </w:rPr>
        <w:t>WorldatWork. (2021). Total Rewards Model. Retrieved from https://worldatwork.org/</w:t>
      </w:r>
    </w:p>
    <w:p>
      <w:pPr>
        <w:spacing w:line="360" w:lineRule="auto" w:before="60" w:after="60"/>
        <w:ind w:left="480" w:hanging="480"/>
      </w:pPr>
      <w:r>
        <w:rPr>
          <w:rFonts w:ascii="Times New Roman" w:hAnsi="Times New Roman"/>
          <w:sz w:val="24"/>
        </w:rPr>
        <w:t>SHRM. (2023). Human Resources Today: Trends and Insights. Society for Human Resource Management.</w:t>
      </w:r>
    </w:p>
    <w:p>
      <w:pPr>
        <w:spacing w:line="360" w:lineRule="auto" w:before="60" w:after="60"/>
        <w:ind w:left="480" w:hanging="480"/>
      </w:pPr>
      <w:r>
        <w:rPr>
          <w:rFonts w:ascii="Times New Roman" w:hAnsi="Times New Roman"/>
          <w:sz w:val="24"/>
        </w:rPr>
        <w:t>Kotler, P., &amp; Keller, K. L. (2022). Marketing Management (16th ed.). Pearson Education.</w:t>
      </w:r>
    </w:p>
    <w:p>
      <w:pPr>
        <w:spacing w:line="360" w:lineRule="auto" w:before="60" w:after="60"/>
        <w:ind w:left="480" w:hanging="480"/>
      </w:pPr>
      <w:r>
        <w:rPr>
          <w:rFonts w:ascii="Times New Roman" w:hAnsi="Times New Roman"/>
          <w:sz w:val="24"/>
        </w:rPr>
        <w:t>Atkinson, A. A., Kaplan, R. S., Matsumura, E. M., &amp; Young, S. M. (2012). Management Accounting: Information for Decision-Making and Strategy Execution (6th ed.). Pearson Education.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