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803"/>
        <w:gridCol w:w="3061"/>
      </w:tblGrid>
      <w:tr>
        <w:tc>
          <w:tcPr>
            <w:tcW w:type="dxa" w:w="4933"/>
            <w:shd w:val="clear" w:color="auto" w:fill="1E3A5F"/>
          </w:tcPr>
          <w:p>
            <w:pPr>
              <w:spacing w:before="120" w:after="40"/>
              <w:jc w:val="left"/>
            </w:pPr>
            <w:r>
              <w:rPr>
                <w:b/>
                <w:color w:val="FFFFFF"/>
                <w:sz w:val="28"/>
              </w:rPr>
              <w:t>BEACONHOUSE GROUP</w:t>
            </w:r>
          </w:p>
          <w:p>
            <w:pPr>
              <w:spacing w:before="0" w:after="120"/>
              <w:jc w:val="left"/>
            </w:pPr>
            <w:r>
              <w:rPr>
                <w:color w:val="B0C8E8"/>
                <w:sz w:val="19"/>
              </w:rPr>
              <w:t>Systems &amp; Audit — Annual Report FY 2024</w:t>
            </w:r>
          </w:p>
        </w:tc>
        <w:tc>
          <w:tcPr>
            <w:tcW w:type="dxa" w:w="4933"/>
            <w:shd w:val="clear" w:color="auto" w:fill="1E3A5F"/>
          </w:tcPr>
          <w:p>
            <w:pPr>
              <w:spacing w:before="120" w:after="40"/>
              <w:jc w:val="right"/>
            </w:pPr>
            <w:r>
              <w:rPr>
                <w:b/>
                <w:color w:val="FFD700"/>
                <w:sz w:val="20"/>
              </w:rPr>
              <w:t>CEO BRIEFING NOTE</w:t>
            </w:r>
          </w:p>
          <w:p>
            <w:pPr>
              <w:spacing w:before="0" w:after="120"/>
              <w:jc w:val="right"/>
            </w:pPr>
            <w:r>
              <w:rPr>
                <w:color w:val="B0C8E8"/>
                <w:sz w:val="17"/>
              </w:rPr>
              <w:t>Period: Jul 2023 – Jun 2024</w:t>
            </w:r>
          </w:p>
        </w:tc>
      </w:tr>
    </w:tbl>
    <w:p>
      <w:pPr>
        <w:shd w:val="clear" w:color="auto" w:fill="F59E0B"/>
        <w:spacing w:before="0" w:after="0"/>
        <w:pBdr>
          <w:bottom w:val="single" w:sz="8" w:space="0" w:color="F59E0B"/>
        </w:pBdr>
      </w:pPr>
    </w:p>
    <w:p>
      <w:pPr>
        <w:spacing w:before="80" w:after="80"/>
        <w:jc w:val="center"/>
        <w:shd w:val="clear" w:color="auto" w:fill="1E3A5F"/>
      </w:pPr>
      <w:r>
        <w:rPr>
          <w:b/>
          <w:color w:val="FFFFFF"/>
          <w:sz w:val="20"/>
        </w:rPr>
        <w:t>▌ KEY PERFORMANCE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8FAFC"/>
            <w:tcBorders>
              <w:top w:val="single" w:sz="4" w:space="0" w:color="16a34a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100"/>
              <w:jc w:val="left"/>
            </w:pPr>
            <w:r>
              <w:rPr>
                <w:b/>
                <w:i w:val="0"/>
                <w:color w:val="16A34A"/>
                <w:sz w:val="15"/>
              </w:rPr>
              <w:t>TOTAL SAVINGS</w:t>
              <w:br/>
            </w:r>
          </w:p>
          <w:p>
            <w:pPr>
              <w:jc w:val="left"/>
            </w:pPr>
            <w:r>
              <w:rPr>
                <w:b/>
                <w:color w:val="1E3A5F"/>
                <w:sz w:val="30"/>
              </w:rPr>
              <w:t>Rs. 192.8 M</w:t>
            </w:r>
          </w:p>
          <w:p>
            <w:pPr>
              <w:spacing w:after="100"/>
            </w:pPr>
            <w:r>
              <w:rPr>
                <w:color w:val="64748B"/>
                <w:sz w:val="14"/>
              </w:rPr>
              <w:t>Prev. Cont. Rs. 73.1M  |  Curr. Cont. Rs. 6.2M  |  One-off Rs. 113.5M</w:t>
            </w:r>
          </w:p>
        </w:tc>
        <w:tc>
          <w:tcPr>
            <w:tcW w:type="dxa" w:w="3289"/>
            <w:shd w:val="clear" w:color="auto" w:fill="F8FAFC"/>
            <w:tcBorders>
              <w:top w:val="single" w:sz="4" w:space="0" w:color="b91c1c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100"/>
              <w:jc w:val="left"/>
            </w:pPr>
            <w:r>
              <w:rPr>
                <w:b/>
                <w:i w:val="0"/>
                <w:color w:val="B91C1C"/>
                <w:sz w:val="15"/>
              </w:rPr>
              <w:t>INVESTIGATIONS</w:t>
              <w:br/>
            </w:r>
          </w:p>
          <w:p>
            <w:pPr>
              <w:jc w:val="left"/>
            </w:pPr>
            <w:r>
              <w:rPr>
                <w:b/>
                <w:color w:val="1E3A5F"/>
                <w:sz w:val="30"/>
              </w:rPr>
              <w:t>27  Cases</w:t>
            </w:r>
          </w:p>
          <w:p>
            <w:pPr>
              <w:spacing w:after="100"/>
            </w:pPr>
            <w:r>
              <w:rPr>
                <w:color w:val="64748B"/>
                <w:sz w:val="14"/>
              </w:rPr>
              <w:t>79 disciplinary outcomes across 27 assignments</w:t>
            </w:r>
          </w:p>
        </w:tc>
        <w:tc>
          <w:tcPr>
            <w:tcW w:type="dxa" w:w="3289"/>
            <w:shd w:val="clear" w:color="auto" w:fill="F8FAFC"/>
            <w:tcBorders>
              <w:top w:val="single" w:sz="4" w:space="0" w:color="0369a1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100"/>
              <w:jc w:val="left"/>
            </w:pPr>
            <w:r>
              <w:rPr>
                <w:b/>
                <w:i w:val="0"/>
                <w:color w:val="0369A1"/>
                <w:sz w:val="15"/>
              </w:rPr>
              <w:t>BRANCH AUDIT</w:t>
              <w:br/>
            </w:r>
          </w:p>
          <w:p>
            <w:pPr>
              <w:jc w:val="left"/>
            </w:pPr>
            <w:r>
              <w:rPr>
                <w:b/>
                <w:color w:val="1E3A5F"/>
                <w:sz w:val="30"/>
              </w:rPr>
              <w:t>39  Branches</w:t>
            </w:r>
          </w:p>
          <w:p>
            <w:pPr>
              <w:spacing w:after="100"/>
            </w:pPr>
            <w:r>
              <w:rPr>
                <w:color w:val="64748B"/>
                <w:sz w:val="14"/>
              </w:rPr>
              <w:t>2,264 observations raised  |  ROC · RON · ROS · FHS</w:t>
            </w:r>
          </w:p>
        </w:tc>
      </w:tr>
      <w:tr>
        <w:tc>
          <w:tcPr>
            <w:tcW w:type="dxa" w:w="3289"/>
            <w:shd w:val="clear" w:color="auto" w:fill="F8FAFC"/>
            <w:tcBorders>
              <w:top w:val="single" w:sz="4" w:space="0" w:color="b45309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100"/>
              <w:jc w:val="left"/>
            </w:pPr>
            <w:r>
              <w:rPr>
                <w:b/>
                <w:i w:val="0"/>
                <w:color w:val="B45309"/>
                <w:sz w:val="15"/>
              </w:rPr>
              <w:t>PRE-AUDIT</w:t>
              <w:br/>
            </w:r>
          </w:p>
          <w:p>
            <w:pPr>
              <w:jc w:val="left"/>
            </w:pPr>
            <w:r>
              <w:rPr>
                <w:b/>
                <w:color w:val="1E3A5F"/>
                <w:sz w:val="30"/>
              </w:rPr>
              <w:t>27,432 Vouchers</w:t>
            </w:r>
          </w:p>
          <w:p>
            <w:pPr>
              <w:spacing w:after="100"/>
            </w:pPr>
            <w:r>
              <w:rPr>
                <w:color w:val="64748B"/>
                <w:sz w:val="14"/>
              </w:rPr>
              <w:t>2,158 observations  |  19 entities covered</w:t>
            </w:r>
          </w:p>
        </w:tc>
        <w:tc>
          <w:tcPr>
            <w:tcW w:type="dxa" w:w="3289"/>
            <w:shd w:val="clear" w:color="auto" w:fill="F8FAFC"/>
            <w:tcBorders>
              <w:top w:val="single" w:sz="4" w:space="0" w:color="6d28d9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100"/>
              <w:jc w:val="left"/>
            </w:pPr>
            <w:r>
              <w:rPr>
                <w:b/>
                <w:i w:val="0"/>
                <w:color w:val="6D28D9"/>
                <w:sz w:val="15"/>
              </w:rPr>
              <w:t>AIDN VOUCHERS</w:t>
              <w:br/>
            </w:r>
          </w:p>
          <w:p>
            <w:pPr>
              <w:jc w:val="left"/>
            </w:pPr>
            <w:r>
              <w:rPr>
                <w:b/>
                <w:color w:val="1E3A5F"/>
                <w:sz w:val="30"/>
              </w:rPr>
              <w:t>121  Checked</w:t>
            </w:r>
          </w:p>
          <w:p>
            <w:pPr>
              <w:spacing w:after="100"/>
            </w:pPr>
            <w:r>
              <w:rPr>
                <w:color w:val="64748B"/>
                <w:sz w:val="14"/>
              </w:rPr>
              <w:t>Rs. 27.6M reviewed  |  Rs. 1.39M savings achieved</w:t>
            </w:r>
          </w:p>
        </w:tc>
        <w:tc>
          <w:tcPr>
            <w:tcW w:type="dxa" w:w="3289"/>
            <w:shd w:val="clear" w:color="auto" w:fill="F8FAFC"/>
            <w:tcBorders>
              <w:top w:val="single" w:sz="4" w:space="0" w:color="0f766e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100"/>
              <w:jc w:val="left"/>
            </w:pPr>
            <w:r>
              <w:rPr>
                <w:b/>
                <w:i w:val="0"/>
                <w:color w:val="0F766E"/>
                <w:sz w:val="15"/>
              </w:rPr>
              <w:t>ENTITY COVERAGE</w:t>
              <w:br/>
            </w:r>
          </w:p>
          <w:p>
            <w:pPr>
              <w:jc w:val="left"/>
            </w:pPr>
            <w:r>
              <w:rPr>
                <w:b/>
                <w:color w:val="1E3A5F"/>
                <w:sz w:val="30"/>
              </w:rPr>
              <w:t>19  Entities</w:t>
            </w:r>
          </w:p>
          <w:p>
            <w:pPr>
              <w:spacing w:after="100"/>
            </w:pPr>
            <w:r>
              <w:rPr>
                <w:color w:val="64748B"/>
                <w:sz w:val="14"/>
              </w:rPr>
              <w:t>4 Full · 7 Savings · 8 Pre-Audit Only · 0 Nil</w:t>
            </w:r>
          </w:p>
        </w:tc>
      </w:tr>
    </w:tbl>
    <w:p>
      <w:pPr>
        <w:spacing w:before="80" w:after="80"/>
        <w:jc w:val="center"/>
        <w:shd w:val="clear" w:color="auto" w:fill="B91C1C"/>
      </w:pPr>
      <w:r>
        <w:rPr>
          <w:b/>
          <w:color w:val="FFFFFF"/>
          <w:sz w:val="19"/>
        </w:rPr>
        <w:t>▌ INVESTIGATIONS &amp; DISCIPLINARY OUTCOMES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  <w:shd w:val="clear" w:color="auto" w:fill="FEF2F2"/>
          </w:tcPr>
          <w:p>
            <w:pPr>
              <w:spacing w:before="60" w:after="40"/>
              <w:jc w:val="center"/>
            </w:pPr>
            <w:r>
              <w:rPr>
                <w:b/>
                <w:i w:val="0"/>
                <w:color w:val="DC2626"/>
                <w:sz w:val="15"/>
              </w:rPr>
              <w:t>End of</w:t>
              <w:br/>
              <w:t>Service</w:t>
            </w:r>
          </w:p>
        </w:tc>
        <w:tc>
          <w:tcPr>
            <w:tcW w:type="dxa" w:w="1409"/>
            <w:shd w:val="clear" w:color="auto" w:fill="FEF2F2"/>
          </w:tcPr>
          <w:p>
            <w:pPr>
              <w:spacing w:before="60" w:after="40"/>
              <w:jc w:val="center"/>
            </w:pPr>
            <w:r>
              <w:rPr>
                <w:b/>
                <w:i w:val="0"/>
                <w:color w:val="2563EB"/>
                <w:sz w:val="15"/>
              </w:rPr>
              <w:t>Financial</w:t>
              <w:br/>
              <w:t>Recoveries</w:t>
            </w:r>
          </w:p>
        </w:tc>
        <w:tc>
          <w:tcPr>
            <w:tcW w:type="dxa" w:w="1409"/>
            <w:shd w:val="clear" w:color="auto" w:fill="FEF2F2"/>
          </w:tcPr>
          <w:p>
            <w:pPr>
              <w:spacing w:before="60" w:after="40"/>
              <w:jc w:val="center"/>
            </w:pPr>
            <w:r>
              <w:rPr>
                <w:b/>
                <w:i w:val="0"/>
                <w:color w:val="D97706"/>
                <w:sz w:val="15"/>
              </w:rPr>
              <w:t>Warning</w:t>
              <w:br/>
              <w:t>Letters</w:t>
            </w:r>
          </w:p>
        </w:tc>
        <w:tc>
          <w:tcPr>
            <w:tcW w:type="dxa" w:w="1409"/>
            <w:shd w:val="clear" w:color="auto" w:fill="FEF2F2"/>
          </w:tcPr>
          <w:p>
            <w:pPr>
              <w:spacing w:before="60" w:after="40"/>
              <w:jc w:val="center"/>
            </w:pPr>
            <w:r>
              <w:rPr>
                <w:b/>
                <w:i w:val="0"/>
                <w:color w:val="16A34A"/>
                <w:sz w:val="15"/>
              </w:rPr>
              <w:t>Letters</w:t>
              <w:br/>
              <w:t>of Advice</w:t>
            </w:r>
          </w:p>
        </w:tc>
        <w:tc>
          <w:tcPr>
            <w:tcW w:type="dxa" w:w="1409"/>
            <w:shd w:val="clear" w:color="auto" w:fill="FEF2F2"/>
          </w:tcPr>
          <w:p>
            <w:pPr>
              <w:spacing w:before="60" w:after="40"/>
              <w:jc w:val="center"/>
            </w:pPr>
            <w:r>
              <w:rPr>
                <w:b/>
                <w:i w:val="0"/>
                <w:color w:val="7C3AED"/>
                <w:sz w:val="15"/>
              </w:rPr>
              <w:t>Letters</w:t>
              <w:br/>
              <w:t>of Caution</w:t>
            </w:r>
          </w:p>
        </w:tc>
        <w:tc>
          <w:tcPr>
            <w:tcW w:type="dxa" w:w="1409"/>
            <w:shd w:val="clear" w:color="auto" w:fill="FEF2F2"/>
          </w:tcPr>
          <w:p>
            <w:pPr>
              <w:spacing w:before="60" w:after="40"/>
              <w:jc w:val="center"/>
            </w:pPr>
            <w:r>
              <w:rPr>
                <w:b/>
                <w:i w:val="0"/>
                <w:color w:val="111827"/>
                <w:sz w:val="15"/>
              </w:rPr>
              <w:t>Vendor</w:t>
              <w:br/>
              <w:t>Blacklisting</w:t>
            </w:r>
          </w:p>
        </w:tc>
        <w:tc>
          <w:tcPr>
            <w:tcW w:type="dxa" w:w="1409"/>
            <w:shd w:val="clear" w:color="auto" w:fill="FEF2F2"/>
          </w:tcPr>
          <w:p>
            <w:pPr>
              <w:spacing w:before="60" w:after="40"/>
              <w:jc w:val="center"/>
            </w:pPr>
            <w:r>
              <w:rPr>
                <w:b/>
                <w:i w:val="0"/>
                <w:color w:val="0369A1"/>
                <w:sz w:val="15"/>
              </w:rPr>
              <w:t>Staff</w:t>
              <w:br/>
              <w:t>Transfers</w:t>
            </w:r>
          </w:p>
        </w:tc>
      </w:tr>
      <w:tr>
        <w:tc>
          <w:tcPr>
            <w:tcW w:type="dxa" w:w="1409"/>
            <w:shd w:val="clear" w:color="auto" w:fill="FFFBEB"/>
          </w:tcPr>
          <w:p>
            <w:pPr>
              <w:spacing w:before="80" w:after="80"/>
              <w:jc w:val="center"/>
            </w:pPr>
            <w:r>
              <w:rPr>
                <w:b/>
                <w:color w:val="DC2626"/>
                <w:sz w:val="32"/>
              </w:rPr>
              <w:t>19</w:t>
            </w:r>
          </w:p>
        </w:tc>
        <w:tc>
          <w:tcPr>
            <w:tcW w:type="dxa" w:w="1409"/>
            <w:shd w:val="clear" w:color="auto" w:fill="FFFBEB"/>
          </w:tcPr>
          <w:p>
            <w:pPr>
              <w:spacing w:before="80" w:after="80"/>
              <w:jc w:val="center"/>
            </w:pPr>
            <w:r>
              <w:rPr>
                <w:b/>
                <w:color w:val="2563EB"/>
                <w:sz w:val="32"/>
              </w:rPr>
              <w:t>24</w:t>
            </w:r>
          </w:p>
        </w:tc>
        <w:tc>
          <w:tcPr>
            <w:tcW w:type="dxa" w:w="1409"/>
            <w:shd w:val="clear" w:color="auto" w:fill="FFFBEB"/>
          </w:tcPr>
          <w:p>
            <w:pPr>
              <w:spacing w:before="80" w:after="80"/>
              <w:jc w:val="center"/>
            </w:pPr>
            <w:r>
              <w:rPr>
                <w:b/>
                <w:color w:val="D97706"/>
                <w:sz w:val="32"/>
              </w:rPr>
              <w:t>16</w:t>
            </w:r>
          </w:p>
        </w:tc>
        <w:tc>
          <w:tcPr>
            <w:tcW w:type="dxa" w:w="1409"/>
            <w:shd w:val="clear" w:color="auto" w:fill="FFFBEB"/>
          </w:tcPr>
          <w:p>
            <w:pPr>
              <w:spacing w:before="80" w:after="80"/>
              <w:jc w:val="center"/>
            </w:pPr>
            <w:r>
              <w:rPr>
                <w:b/>
                <w:color w:val="16A34A"/>
                <w:sz w:val="32"/>
              </w:rPr>
              <w:t>9</w:t>
            </w:r>
          </w:p>
        </w:tc>
        <w:tc>
          <w:tcPr>
            <w:tcW w:type="dxa" w:w="1409"/>
            <w:shd w:val="clear" w:color="auto" w:fill="FFFBEB"/>
          </w:tcPr>
          <w:p>
            <w:pPr>
              <w:spacing w:before="80" w:after="80"/>
              <w:jc w:val="center"/>
            </w:pPr>
            <w:r>
              <w:rPr>
                <w:b/>
                <w:color w:val="7C3AED"/>
                <w:sz w:val="32"/>
              </w:rPr>
              <w:t>3</w:t>
            </w:r>
          </w:p>
        </w:tc>
        <w:tc>
          <w:tcPr>
            <w:tcW w:type="dxa" w:w="1409"/>
            <w:shd w:val="clear" w:color="auto" w:fill="FFFBEB"/>
          </w:tcPr>
          <w:p>
            <w:pPr>
              <w:spacing w:before="80" w:after="80"/>
              <w:jc w:val="center"/>
            </w:pPr>
            <w:r>
              <w:rPr>
                <w:b/>
                <w:color w:val="111827"/>
                <w:sz w:val="32"/>
              </w:rPr>
              <w:t>6</w:t>
            </w:r>
          </w:p>
        </w:tc>
        <w:tc>
          <w:tcPr>
            <w:tcW w:type="dxa" w:w="1409"/>
            <w:shd w:val="clear" w:color="auto" w:fill="FFFBEB"/>
          </w:tcPr>
          <w:p>
            <w:pPr>
              <w:spacing w:before="80" w:after="80"/>
              <w:jc w:val="center"/>
            </w:pPr>
            <w:r>
              <w:rPr>
                <w:b/>
                <w:color w:val="0369A1"/>
                <w:sz w:val="32"/>
              </w:rPr>
              <w:t>2</w:t>
            </w:r>
          </w:p>
        </w:tc>
      </w:tr>
    </w:tbl>
    <w:p>
      <w:pPr>
        <w:spacing w:before="60" w:after="60"/>
      </w:pPr>
      <w:r>
        <w:rPr>
          <w:b/>
          <w:color w:val="1E3A5F"/>
          <w:sz w:val="17"/>
        </w:rPr>
        <w:t xml:space="preserve">Financial Recoveries: </w:t>
      </w:r>
      <w:r>
        <w:rPr>
          <w:color w:val="334155"/>
          <w:sz w:val="16"/>
        </w:rPr>
        <w:t>Total Rs. 2.2M recovered across 24 recovery outcomes. Largest: KG-1 Jauhar Rs. 605,593 (attendance fraud + unregistered students). FHS Rs. 768,605 (cash misappropriation). RON Rs. 390,204 (accounts discrepancy).</w:t>
      </w:r>
    </w:p>
    <w:p>
      <w:pPr>
        <w:spacing w:before="80" w:after="80"/>
        <w:jc w:val="center"/>
        <w:shd w:val="clear" w:color="auto" w:fill="0F766E"/>
      </w:pPr>
      <w:r>
        <w:rPr>
          <w:b/>
          <w:color w:val="FFFFFF"/>
          <w:sz w:val="19"/>
        </w:rPr>
        <w:t>▌ SAVINGS &amp; FINANCIAL IMPACT BY ENTITY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0F766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1973"/>
            <w:shd w:val="clear" w:color="auto" w:fill="0F766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6"/>
              </w:rPr>
              <w:t>Prev. Cont. (Rs.)</w:t>
            </w:r>
          </w:p>
        </w:tc>
        <w:tc>
          <w:tcPr>
            <w:tcW w:type="dxa" w:w="1973"/>
            <w:shd w:val="clear" w:color="auto" w:fill="0F766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6"/>
              </w:rPr>
              <w:t>Curr. Cont. (Rs.)</w:t>
            </w:r>
          </w:p>
        </w:tc>
        <w:tc>
          <w:tcPr>
            <w:tcW w:type="dxa" w:w="1973"/>
            <w:shd w:val="clear" w:color="auto" w:fill="0F766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6"/>
              </w:rPr>
              <w:t>One-off (Rs.)</w:t>
            </w:r>
          </w:p>
        </w:tc>
        <w:tc>
          <w:tcPr>
            <w:tcW w:type="dxa" w:w="1973"/>
            <w:shd w:val="clear" w:color="auto" w:fill="0F766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6"/>
              </w:rPr>
              <w:t>TOTAL (Rs.)</w:t>
            </w:r>
          </w:p>
        </w:tc>
      </w:tr>
      <w:tr>
        <w:tc>
          <w:tcPr>
            <w:tcW w:type="dxa" w:w="1973"/>
            <w:shd w:val="clear" w:color="auto" w:fill="F0FDF4"/>
          </w:tcPr>
          <w:p>
            <w:pPr>
              <w:spacing w:before="40" w:after="40"/>
              <w:jc w:val="left"/>
            </w:pPr>
            <w:r>
              <w:rPr>
                <w:b w:val="0"/>
                <w:color w:val="334155"/>
                <w:sz w:val="16"/>
              </w:rPr>
              <w:t>Construction (HO)</w:t>
            </w:r>
          </w:p>
        </w:tc>
        <w:tc>
          <w:tcPr>
            <w:tcW w:type="dxa" w:w="1973"/>
            <w:shd w:val="clear" w:color="auto" w:fill="F0FDF4"/>
          </w:tcPr>
          <w:p>
            <w:pPr>
              <w:spacing w:before="40" w:after="40"/>
              <w:jc w:val="right"/>
            </w:pPr>
            <w:r>
              <w:rPr>
                <w:b w:val="0"/>
                <w:color w:val="334155"/>
                <w:sz w:val="16"/>
              </w:rPr>
              <w:t>—</w:t>
            </w:r>
          </w:p>
        </w:tc>
        <w:tc>
          <w:tcPr>
            <w:tcW w:type="dxa" w:w="1973"/>
            <w:shd w:val="clear" w:color="auto" w:fill="F0FDF4"/>
          </w:tcPr>
          <w:p>
            <w:pPr>
              <w:spacing w:before="40" w:after="40"/>
              <w:jc w:val="right"/>
            </w:pPr>
            <w:r>
              <w:rPr>
                <w:b w:val="0"/>
                <w:color w:val="334155"/>
                <w:sz w:val="16"/>
              </w:rPr>
              <w:t>—</w:t>
            </w:r>
          </w:p>
        </w:tc>
        <w:tc>
          <w:tcPr>
            <w:tcW w:type="dxa" w:w="1973"/>
            <w:shd w:val="clear" w:color="auto" w:fill="F0FDF4"/>
          </w:tcPr>
          <w:p>
            <w:pPr>
              <w:spacing w:before="40" w:after="40"/>
              <w:jc w:val="right"/>
            </w:pPr>
            <w:r>
              <w:rPr>
                <w:b w:val="0"/>
                <w:color w:val="334155"/>
                <w:sz w:val="16"/>
              </w:rPr>
              <w:t>89,552,194</w:t>
            </w:r>
          </w:p>
        </w:tc>
        <w:tc>
          <w:tcPr>
            <w:tcW w:type="dxa" w:w="1973"/>
            <w:shd w:val="clear" w:color="auto" w:fill="F0FDF4"/>
          </w:tcPr>
          <w:p>
            <w:pPr>
              <w:spacing w:before="40" w:after="40"/>
              <w:jc w:val="right"/>
            </w:pPr>
            <w:r>
              <w:rPr>
                <w:b/>
                <w:color w:val="15803D"/>
                <w:sz w:val="16"/>
              </w:rPr>
              <w:t>89,552,194</w:t>
            </w:r>
          </w:p>
        </w:tc>
      </w:tr>
      <w:tr>
        <w:tc>
          <w:tcPr>
            <w:tcW w:type="dxa" w:w="1973"/>
            <w:shd w:val="clear" w:color="auto" w:fill="F8FAFC"/>
          </w:tcPr>
          <w:p>
            <w:pPr>
              <w:spacing w:before="40" w:after="40"/>
              <w:jc w:val="left"/>
            </w:pPr>
            <w:r>
              <w:rPr>
                <w:b w:val="0"/>
                <w:color w:val="334155"/>
                <w:sz w:val="16"/>
              </w:rPr>
              <w:t>ROS – Region South</w:t>
            </w:r>
          </w:p>
        </w:tc>
        <w:tc>
          <w:tcPr>
            <w:tcW w:type="dxa" w:w="1973"/>
            <w:shd w:val="clear" w:color="auto" w:fill="F8FAFC"/>
          </w:tcPr>
          <w:p>
            <w:pPr>
              <w:spacing w:before="40" w:after="40"/>
              <w:jc w:val="right"/>
            </w:pPr>
            <w:r>
              <w:rPr>
                <w:b w:val="0"/>
                <w:color w:val="334155"/>
                <w:sz w:val="16"/>
              </w:rPr>
              <w:t>50,386,416</w:t>
            </w:r>
          </w:p>
        </w:tc>
        <w:tc>
          <w:tcPr>
            <w:tcW w:type="dxa" w:w="1973"/>
            <w:shd w:val="clear" w:color="auto" w:fill="F8FAFC"/>
          </w:tcPr>
          <w:p>
            <w:pPr>
              <w:spacing w:before="40" w:after="40"/>
              <w:jc w:val="right"/>
            </w:pPr>
            <w:r>
              <w:rPr>
                <w:b w:val="0"/>
                <w:color w:val="334155"/>
                <w:sz w:val="16"/>
              </w:rPr>
              <w:t>1,340,198</w:t>
            </w:r>
          </w:p>
        </w:tc>
        <w:tc>
          <w:tcPr>
            <w:tcW w:type="dxa" w:w="1973"/>
            <w:shd w:val="clear" w:color="auto" w:fill="F8FAFC"/>
          </w:tcPr>
          <w:p>
            <w:pPr>
              <w:spacing w:before="40" w:after="40"/>
              <w:jc w:val="right"/>
            </w:pPr>
            <w:r>
              <w:rPr>
                <w:b w:val="0"/>
                <w:color w:val="334155"/>
                <w:sz w:val="16"/>
              </w:rPr>
              <w:t>2,850,767</w:t>
            </w:r>
          </w:p>
        </w:tc>
        <w:tc>
          <w:tcPr>
            <w:tcW w:type="dxa" w:w="1973"/>
            <w:shd w:val="clear" w:color="auto" w:fill="F8FAFC"/>
          </w:tcPr>
          <w:p>
            <w:pPr>
              <w:spacing w:before="40" w:after="40"/>
              <w:jc w:val="right"/>
            </w:pPr>
            <w:r>
              <w:rPr>
                <w:b/>
                <w:color w:val="15803D"/>
                <w:sz w:val="16"/>
              </w:rPr>
              <w:t>54,577,381</w:t>
            </w:r>
          </w:p>
        </w:tc>
      </w:tr>
      <w:tr>
        <w:tc>
          <w:tcPr>
            <w:tcW w:type="dxa" w:w="1973"/>
            <w:shd w:val="clear" w:color="auto" w:fill="F0FDF4"/>
          </w:tcPr>
          <w:p>
            <w:pPr>
              <w:spacing w:before="40" w:after="40"/>
              <w:jc w:val="left"/>
            </w:pPr>
            <w:r>
              <w:rPr>
                <w:b w:val="0"/>
                <w:color w:val="334155"/>
                <w:sz w:val="16"/>
              </w:rPr>
              <w:t>ROC – Region Central</w:t>
            </w:r>
          </w:p>
        </w:tc>
        <w:tc>
          <w:tcPr>
            <w:tcW w:type="dxa" w:w="1973"/>
            <w:shd w:val="clear" w:color="auto" w:fill="F0FDF4"/>
          </w:tcPr>
          <w:p>
            <w:pPr>
              <w:spacing w:before="40" w:after="40"/>
              <w:jc w:val="right"/>
            </w:pPr>
            <w:r>
              <w:rPr>
                <w:b w:val="0"/>
                <w:color w:val="334155"/>
                <w:sz w:val="16"/>
              </w:rPr>
              <w:t>22,669,200</w:t>
            </w:r>
          </w:p>
        </w:tc>
        <w:tc>
          <w:tcPr>
            <w:tcW w:type="dxa" w:w="1973"/>
            <w:shd w:val="clear" w:color="auto" w:fill="F0FDF4"/>
          </w:tcPr>
          <w:p>
            <w:pPr>
              <w:spacing w:before="40" w:after="40"/>
              <w:jc w:val="right"/>
            </w:pPr>
            <w:r>
              <w:rPr>
                <w:b w:val="0"/>
                <w:color w:val="334155"/>
                <w:sz w:val="16"/>
              </w:rPr>
              <w:t>—</w:t>
            </w:r>
          </w:p>
        </w:tc>
        <w:tc>
          <w:tcPr>
            <w:tcW w:type="dxa" w:w="1973"/>
            <w:shd w:val="clear" w:color="auto" w:fill="F0FDF4"/>
          </w:tcPr>
          <w:p>
            <w:pPr>
              <w:spacing w:before="40" w:after="40"/>
              <w:jc w:val="right"/>
            </w:pPr>
            <w:r>
              <w:rPr>
                <w:b w:val="0"/>
                <w:color w:val="334155"/>
                <w:sz w:val="16"/>
              </w:rPr>
              <w:t>5,300,698</w:t>
            </w:r>
          </w:p>
        </w:tc>
        <w:tc>
          <w:tcPr>
            <w:tcW w:type="dxa" w:w="1973"/>
            <w:shd w:val="clear" w:color="auto" w:fill="F0FDF4"/>
          </w:tcPr>
          <w:p>
            <w:pPr>
              <w:spacing w:before="40" w:after="40"/>
              <w:jc w:val="right"/>
            </w:pPr>
            <w:r>
              <w:rPr>
                <w:b/>
                <w:color w:val="15803D"/>
                <w:sz w:val="16"/>
              </w:rPr>
              <w:t>27,969,898</w:t>
            </w:r>
          </w:p>
        </w:tc>
      </w:tr>
      <w:tr>
        <w:tc>
          <w:tcPr>
            <w:tcW w:type="dxa" w:w="1973"/>
            <w:shd w:val="clear" w:color="auto" w:fill="F8FAFC"/>
          </w:tcPr>
          <w:p>
            <w:pPr>
              <w:spacing w:before="40" w:after="40"/>
              <w:jc w:val="left"/>
            </w:pPr>
            <w:r>
              <w:rPr>
                <w:b w:val="0"/>
                <w:color w:val="334155"/>
                <w:sz w:val="16"/>
              </w:rPr>
              <w:t>BIC-HO (4200)</w:t>
            </w:r>
          </w:p>
        </w:tc>
        <w:tc>
          <w:tcPr>
            <w:tcW w:type="dxa" w:w="1973"/>
            <w:shd w:val="clear" w:color="auto" w:fill="F8FAFC"/>
          </w:tcPr>
          <w:p>
            <w:pPr>
              <w:spacing w:before="40" w:after="40"/>
              <w:jc w:val="right"/>
            </w:pPr>
            <w:r>
              <w:rPr>
                <w:b w:val="0"/>
                <w:color w:val="334155"/>
                <w:sz w:val="16"/>
              </w:rPr>
              <w:t>—</w:t>
            </w:r>
          </w:p>
        </w:tc>
        <w:tc>
          <w:tcPr>
            <w:tcW w:type="dxa" w:w="1973"/>
            <w:shd w:val="clear" w:color="auto" w:fill="F8FAFC"/>
          </w:tcPr>
          <w:p>
            <w:pPr>
              <w:spacing w:before="40" w:after="40"/>
              <w:jc w:val="right"/>
            </w:pPr>
            <w:r>
              <w:rPr>
                <w:b w:val="0"/>
                <w:color w:val="334155"/>
                <w:sz w:val="16"/>
              </w:rPr>
              <w:t>—</w:t>
            </w:r>
          </w:p>
        </w:tc>
        <w:tc>
          <w:tcPr>
            <w:tcW w:type="dxa" w:w="1973"/>
            <w:shd w:val="clear" w:color="auto" w:fill="F8FAFC"/>
          </w:tcPr>
          <w:p>
            <w:pPr>
              <w:spacing w:before="40" w:after="40"/>
              <w:jc w:val="right"/>
            </w:pPr>
            <w:r>
              <w:rPr>
                <w:b w:val="0"/>
                <w:color w:val="334155"/>
                <w:sz w:val="16"/>
              </w:rPr>
              <w:t>11,237,116</w:t>
            </w:r>
          </w:p>
        </w:tc>
        <w:tc>
          <w:tcPr>
            <w:tcW w:type="dxa" w:w="1973"/>
            <w:shd w:val="clear" w:color="auto" w:fill="F8FAFC"/>
          </w:tcPr>
          <w:p>
            <w:pPr>
              <w:spacing w:before="40" w:after="40"/>
              <w:jc w:val="right"/>
            </w:pPr>
            <w:r>
              <w:rPr>
                <w:b/>
                <w:color w:val="15803D"/>
                <w:sz w:val="16"/>
              </w:rPr>
              <w:t>11,237,116</w:t>
            </w:r>
          </w:p>
        </w:tc>
      </w:tr>
      <w:tr>
        <w:tc>
          <w:tcPr>
            <w:tcW w:type="dxa" w:w="1973"/>
            <w:shd w:val="clear" w:color="auto" w:fill="F0FDF4"/>
          </w:tcPr>
          <w:p>
            <w:pPr>
              <w:spacing w:before="40" w:after="40"/>
              <w:jc w:val="left"/>
            </w:pPr>
            <w:r>
              <w:rPr>
                <w:b w:val="0"/>
                <w:color w:val="334155"/>
                <w:sz w:val="16"/>
              </w:rPr>
              <w:t>FHS + RON + Others</w:t>
            </w:r>
          </w:p>
        </w:tc>
        <w:tc>
          <w:tcPr>
            <w:tcW w:type="dxa" w:w="1973"/>
            <w:shd w:val="clear" w:color="auto" w:fill="F0FDF4"/>
          </w:tcPr>
          <w:p>
            <w:pPr>
              <w:spacing w:before="40" w:after="40"/>
              <w:jc w:val="right"/>
            </w:pPr>
            <w:r>
              <w:rPr>
                <w:b w:val="0"/>
                <w:color w:val="334155"/>
                <w:sz w:val="16"/>
              </w:rPr>
              <w:t>—</w:t>
            </w:r>
          </w:p>
        </w:tc>
        <w:tc>
          <w:tcPr>
            <w:tcW w:type="dxa" w:w="1973"/>
            <w:shd w:val="clear" w:color="auto" w:fill="F0FDF4"/>
          </w:tcPr>
          <w:p>
            <w:pPr>
              <w:spacing w:before="40" w:after="40"/>
              <w:jc w:val="right"/>
            </w:pPr>
            <w:r>
              <w:rPr>
                <w:b w:val="0"/>
                <w:color w:val="334155"/>
                <w:sz w:val="16"/>
              </w:rPr>
              <w:t>4,888,536</w:t>
            </w:r>
          </w:p>
        </w:tc>
        <w:tc>
          <w:tcPr>
            <w:tcW w:type="dxa" w:w="1973"/>
            <w:shd w:val="clear" w:color="auto" w:fill="F0FDF4"/>
          </w:tcPr>
          <w:p>
            <w:pPr>
              <w:spacing w:before="40" w:after="40"/>
              <w:jc w:val="right"/>
            </w:pPr>
            <w:r>
              <w:rPr>
                <w:b w:val="0"/>
                <w:color w:val="334155"/>
                <w:sz w:val="16"/>
              </w:rPr>
              <w:t>6,546,074</w:t>
            </w:r>
          </w:p>
        </w:tc>
        <w:tc>
          <w:tcPr>
            <w:tcW w:type="dxa" w:w="1973"/>
            <w:shd w:val="clear" w:color="auto" w:fill="F0FDF4"/>
          </w:tcPr>
          <w:p>
            <w:pPr>
              <w:spacing w:before="40" w:after="40"/>
              <w:jc w:val="right"/>
            </w:pPr>
            <w:r>
              <w:rPr>
                <w:b/>
                <w:color w:val="15803D"/>
                <w:sz w:val="16"/>
              </w:rPr>
              <w:t>10,461,470</w:t>
            </w:r>
          </w:p>
        </w:tc>
      </w:tr>
    </w:tbl>
    <w:p>
      <w:pPr>
        <w:spacing w:before="40" w:after="60"/>
        <w:shd w:val="clear" w:color="auto" w:fill="ECFDF5"/>
      </w:pPr>
      <w:r>
        <w:rPr>
          <w:b/>
          <w:color w:val="057A55"/>
          <w:sz w:val="18"/>
        </w:rPr>
        <w:t xml:space="preserve">GROUP TOTAL  ►  Rs. 192,768,059   </w:t>
      </w:r>
      <w:r>
        <w:rPr>
          <w:color w:val="334155"/>
          <w:sz w:val="16"/>
        </w:rPr>
        <w:t xml:space="preserve"> (Prev. Cont. Rs. 73.1M  +  Curr. Cont. Rs. 6.2M  +  One-off Rs. 113.5M)</w:t>
      </w:r>
    </w:p>
    <w:p>
      <w:pPr>
        <w:spacing w:before="80" w:after="80"/>
        <w:jc w:val="center"/>
        <w:shd w:val="clear" w:color="auto" w:fill="1D4ED8"/>
      </w:pPr>
      <w:r>
        <w:rPr>
          <w:b/>
          <w:color w:val="FFFFFF"/>
          <w:sz w:val="19"/>
        </w:rPr>
        <w:t>▌ POLICIES &amp; ISO  ·  BRANCH AUDIT SUMMARY  ·  ENTITY COVERAGE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FF6FF"/>
          </w:tcPr>
          <w:p>
            <w:pPr>
              <w:spacing w:before="80"/>
            </w:pPr>
            <w:r>
              <w:rPr>
                <w:b/>
                <w:color w:val="1D4ED8"/>
                <w:sz w:val="17"/>
              </w:rPr>
              <w:t>POLICIES &amp; ISO</w:t>
            </w:r>
          </w:p>
          <w:p>
            <w:pPr>
              <w:spacing w:before="20" w:after="20"/>
            </w:pPr>
            <w:r>
              <w:rPr>
                <w:color w:val="44403C"/>
                <w:sz w:val="15"/>
              </w:rPr>
              <w:t xml:space="preserve">Policy Manuals Revised:  </w:t>
            </w:r>
            <w:r>
              <w:rPr>
                <w:b/>
                <w:color w:val="1D4ED8"/>
                <w:sz w:val="15"/>
              </w:rPr>
              <w:t>28</w:t>
            </w:r>
          </w:p>
          <w:p>
            <w:pPr>
              <w:spacing w:before="20" w:after="20"/>
            </w:pPr>
            <w:r>
              <w:rPr>
                <w:color w:val="44403C"/>
                <w:sz w:val="15"/>
              </w:rPr>
              <w:t xml:space="preserve">New Policy Developments:  </w:t>
            </w:r>
            <w:r>
              <w:rPr>
                <w:b/>
                <w:color w:val="1D4ED8"/>
                <w:sz w:val="15"/>
              </w:rPr>
              <w:t>14</w:t>
            </w:r>
          </w:p>
          <w:p>
            <w:pPr>
              <w:spacing w:before="20" w:after="20"/>
            </w:pPr>
            <w:r>
              <w:rPr>
                <w:color w:val="44403C"/>
                <w:sz w:val="15"/>
              </w:rPr>
              <w:t xml:space="preserve">Entities Covered:  </w:t>
            </w:r>
            <w:r>
              <w:rPr>
                <w:b/>
                <w:color w:val="1D4ED8"/>
                <w:sz w:val="15"/>
              </w:rPr>
              <w:t>5  (ESL, FHS, BIC, BT, Homebridge)</w:t>
            </w:r>
          </w:p>
          <w:p>
            <w:pPr>
              <w:spacing w:before="20" w:after="20"/>
            </w:pPr>
            <w:r>
              <w:rPr>
                <w:color w:val="44403C"/>
                <w:sz w:val="15"/>
              </w:rPr>
              <w:t xml:space="preserve">ISO 9001:2015:  </w:t>
            </w:r>
            <w:r>
              <w:rPr>
                <w:b/>
                <w:color w:val="1D4ED8"/>
                <w:sz w:val="15"/>
              </w:rPr>
              <w:t>Surveillance audit passed</w:t>
            </w:r>
          </w:p>
          <w:p>
            <w:pPr>
              <w:spacing w:before="20" w:after="20"/>
            </w:pPr>
            <w:r>
              <w:rPr>
                <w:color w:val="44403C"/>
                <w:sz w:val="15"/>
              </w:rPr>
              <w:t xml:space="preserve">ISO 27001:  </w:t>
            </w:r>
            <w:r>
              <w:rPr>
                <w:b/>
                <w:color w:val="1D4ED8"/>
                <w:sz w:val="15"/>
              </w:rPr>
              <w:t>Gap analysis completed</w:t>
            </w:r>
          </w:p>
          <w:p>
            <w:pPr>
              <w:spacing w:before="20" w:after="20"/>
            </w:pPr>
            <w:r>
              <w:rPr>
                <w:color w:val="44403C"/>
                <w:sz w:val="15"/>
              </w:rPr>
              <w:t xml:space="preserve">Training Sessions:  </w:t>
            </w:r>
            <w:r>
              <w:rPr>
                <w:b/>
                <w:color w:val="1D4ED8"/>
                <w:sz w:val="15"/>
              </w:rPr>
              <w:t>8 sessions · 200+ staff</w:t>
            </w:r>
          </w:p>
          <w:p>
            <w:pPr>
              <w:spacing w:after="80"/>
            </w:pPr>
          </w:p>
        </w:tc>
        <w:tc>
          <w:tcPr>
            <w:tcW w:type="dxa" w:w="3289"/>
            <w:shd w:val="clear" w:color="auto" w:fill="F0FDF4"/>
          </w:tcPr>
          <w:p>
            <w:pPr>
              <w:spacing w:before="80"/>
            </w:pPr>
            <w:r>
              <w:rPr>
                <w:b/>
                <w:color w:val="15803D"/>
                <w:sz w:val="17"/>
              </w:rPr>
              <w:t>BRANCH AUDIT</w:t>
            </w:r>
          </w:p>
          <w:p>
            <w:pPr>
              <w:spacing w:before="20" w:after="20"/>
            </w:pPr>
            <w:r>
              <w:rPr>
                <w:b w:val="0"/>
                <w:color w:val="334155"/>
                <w:sz w:val="15"/>
              </w:rPr>
              <w:t xml:space="preserve">ROC (Central): </w:t>
            </w:r>
            <w:r>
              <w:rPr>
                <w:b w:val="0"/>
                <w:color w:val="334155"/>
                <w:sz w:val="15"/>
              </w:rPr>
              <w:t>12 branches  ·  705 obs</w:t>
            </w:r>
          </w:p>
          <w:p>
            <w:pPr>
              <w:spacing w:before="20" w:after="20"/>
            </w:pPr>
            <w:r>
              <w:rPr>
                <w:b w:val="0"/>
                <w:color w:val="334155"/>
                <w:sz w:val="15"/>
              </w:rPr>
              <w:t xml:space="preserve">RON (North): </w:t>
            </w:r>
            <w:r>
              <w:rPr>
                <w:b w:val="0"/>
                <w:color w:val="334155"/>
                <w:sz w:val="15"/>
              </w:rPr>
              <w:t>10 branches  ·  553 obs</w:t>
            </w:r>
          </w:p>
          <w:p>
            <w:pPr>
              <w:spacing w:before="20" w:after="20"/>
            </w:pPr>
            <w:r>
              <w:rPr>
                <w:b w:val="0"/>
                <w:color w:val="334155"/>
                <w:sz w:val="15"/>
              </w:rPr>
              <w:t xml:space="preserve">ROS (South): </w:t>
            </w:r>
            <w:r>
              <w:rPr>
                <w:b w:val="0"/>
                <w:color w:val="334155"/>
                <w:sz w:val="15"/>
              </w:rPr>
              <w:t>16 branches  ·  976 obs</w:t>
            </w:r>
          </w:p>
          <w:p>
            <w:pPr>
              <w:spacing w:before="20" w:after="20"/>
            </w:pPr>
            <w:r>
              <w:rPr>
                <w:b w:val="0"/>
                <w:color w:val="334155"/>
                <w:sz w:val="15"/>
              </w:rPr>
              <w:t xml:space="preserve">FHS: </w:t>
            </w:r>
            <w:r>
              <w:rPr>
                <w:b w:val="0"/>
                <w:color w:val="334155"/>
                <w:sz w:val="15"/>
              </w:rPr>
              <w:t>1 unit  ·  30 obs</w:t>
            </w:r>
          </w:p>
          <w:p>
            <w:pPr>
              <w:spacing w:before="20" w:after="20"/>
            </w:pPr>
            <w:r>
              <w:rPr>
                <w:b/>
                <w:color w:val="15803D"/>
                <w:sz w:val="15"/>
              </w:rPr>
              <w:t xml:space="preserve">TOTAL: </w:t>
            </w:r>
            <w:r>
              <w:rPr>
                <w:b/>
                <w:color w:val="057A55"/>
                <w:sz w:val="15"/>
              </w:rPr>
              <w:t>39 branches  ·  2,264 obs</w:t>
            </w:r>
          </w:p>
          <w:p>
            <w:pPr>
              <w:spacing w:after="80"/>
            </w:pPr>
          </w:p>
        </w:tc>
        <w:tc>
          <w:tcPr>
            <w:tcW w:type="dxa" w:w="3289"/>
            <w:shd w:val="clear" w:color="auto" w:fill="FFFBEB"/>
          </w:tcPr>
          <w:p>
            <w:pPr>
              <w:spacing w:before="80"/>
            </w:pPr>
            <w:r>
              <w:rPr>
                <w:b/>
                <w:color w:val="92400E"/>
                <w:sz w:val="17"/>
              </w:rPr>
              <w:t>ENTITY COVERAGE</w:t>
            </w:r>
          </w:p>
          <w:p>
            <w:pPr>
              <w:spacing w:before="40" w:after="0"/>
            </w:pPr>
            <w:r>
              <w:rPr>
                <w:b/>
                <w:color w:val="16A34A"/>
                <w:sz w:val="15"/>
              </w:rPr>
              <w:t>Full Coverage (4)</w:t>
              <w:br/>
            </w:r>
            <w:r>
              <w:rPr>
                <w:color w:val="44403C"/>
                <w:sz w:val="14"/>
              </w:rPr>
              <w:t>ROC · RON · ROS · FHS</w:t>
            </w:r>
          </w:p>
          <w:p>
            <w:pPr>
              <w:spacing w:before="40" w:after="0"/>
            </w:pPr>
            <w:r>
              <w:rPr>
                <w:b/>
                <w:color w:val="0369A1"/>
                <w:sz w:val="15"/>
              </w:rPr>
              <w:t>Savings/Initiatives (7)</w:t>
              <w:br/>
            </w:r>
            <w:r>
              <w:rPr>
                <w:color w:val="44403C"/>
                <w:sz w:val="14"/>
              </w:rPr>
              <w:t>Construction · BIC-HO · PTSL · UCS</w:t>
              <w:br/>
              <w:t>Educators · Estate · KASALIN</w:t>
            </w:r>
          </w:p>
          <w:p>
            <w:pPr>
              <w:spacing w:before="40" w:after="0"/>
            </w:pPr>
            <w:r>
              <w:rPr>
                <w:b/>
                <w:color w:val="D97706"/>
                <w:sz w:val="15"/>
              </w:rPr>
              <w:t>Pre-Audit Only (8)</w:t>
              <w:br/>
            </w:r>
            <w:r>
              <w:rPr>
                <w:color w:val="44403C"/>
                <w:sz w:val="14"/>
              </w:rPr>
              <w:t>HO · Alpha · Concordia · MAK</w:t>
              <w:br/>
              <w:t>BPS · BT · PDLC · ECD</w:t>
            </w:r>
          </w:p>
          <w:p>
            <w:pPr>
              <w:spacing w:before="40" w:after="0"/>
            </w:pPr>
            <w:r>
              <w:rPr>
                <w:b/>
                <w:color w:val="6B7280"/>
                <w:sz w:val="15"/>
              </w:rPr>
              <w:t>Nil / Planned (0)</w:t>
              <w:br/>
            </w:r>
            <w:r>
              <w:rPr>
                <w:color w:val="44403C"/>
                <w:sz w:val="14"/>
              </w:rPr>
              <w:t>All 19 entities had S&amp;A engagement in FY 2024</w:t>
            </w:r>
          </w:p>
          <w:p>
            <w:pPr>
              <w:spacing w:after="80"/>
            </w:pPr>
          </w:p>
        </w:tc>
      </w:tr>
    </w:tbl>
    <w:p>
      <w:pPr>
        <w:shd w:val="clear" w:color="auto" w:fill="1E3A5F"/>
        <w:spacing w:before="120" w:after="80"/>
        <w:jc w:val="center"/>
      </w:pPr>
      <w:r>
        <w:rPr>
          <w:color w:val="B0C8E8"/>
          <w:sz w:val="15"/>
        </w:rPr>
        <w:t>Systems &amp; Audit Department  |  Beaconhouse Group  |  FY 2024 Annual Report  |  Confidential — For CEO Review Only</w:t>
      </w:r>
      <w:r>
        <w:rPr>
          <w:color w:val="FFD700"/>
          <w:sz w:val="15"/>
        </w:rPr>
        <w:t xml:space="preserve">  |  Prepared: January 2026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