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BSS Branch Audit — Risk Assessment Framework</w:t>
      </w:r>
    </w:p>
    <w:p>
      <w:pPr>
        <w:jc w:val="center"/>
      </w:pPr>
      <w:r>
        <w:rPr>
          <w:i/>
          <w:color w:val="888888"/>
          <w:sz w:val="20"/>
        </w:rPr>
        <w:t>Complete Parameter Reference  |  Risk Assessment v2.0</w:t>
      </w:r>
    </w:p>
    <w:p/>
    <w:p>
      <w:r>
        <w:rPr>
          <w:b/>
          <w:color w:val="1A3A5C"/>
          <w:sz w:val="26"/>
        </w:rPr>
        <w:t>PART 1 — Pre-Audit Risk Assessment  (Planning Stage)</w:t>
      </w:r>
    </w:p>
    <w:p>
      <w:r>
        <w:rPr>
          <w:i/>
          <w:color w:val="555555"/>
          <w:sz w:val="19"/>
        </w:rPr>
        <w:t>Purpose: Helps the auditor decide where to focus audit effort before starting the branch audit.</w:t>
      </w:r>
    </w:p>
    <w:p>
      <w:r>
        <w:rPr>
          <w:b/>
          <w:color w:val="1A3A5C"/>
          <w:sz w:val="20"/>
        </w:rPr>
        <w:t>Data Sources (Part 1):</w:t>
      </w:r>
    </w:p>
    <w:p>
      <w:pPr>
        <w:pStyle w:val="ListBullet"/>
        <w:ind w:left="432"/>
      </w:pPr>
      <w:r>
        <w:rPr>
          <w:color w:val="2A3A50"/>
          <w:sz w:val="19"/>
        </w:rPr>
        <w:t>✔  All-branch historical databank (359 observations across all campuses)</w:t>
      </w:r>
    </w:p>
    <w:p>
      <w:pPr>
        <w:pStyle w:val="ListBullet"/>
        <w:ind w:left="432"/>
      </w:pPr>
      <w:r>
        <w:rPr>
          <w:color w:val="2A3A50"/>
          <w:sz w:val="19"/>
        </w:rPr>
        <w:t>✔  Current branch's previously uploaded audit report files</w:t>
      </w:r>
    </w:p>
    <w:p>
      <w:pPr>
        <w:pStyle w:val="ListBullet"/>
        <w:ind w:left="432"/>
      </w:pPr>
      <w:r>
        <w:rPr>
          <w:color w:val="2A3A50"/>
          <w:sz w:val="19"/>
        </w:rPr>
        <w:t>✔  Other branches' previously uploaded audit report files</w:t>
      </w:r>
    </w:p>
    <w:p>
      <w:pPr>
        <w:pStyle w:val="ListBullet"/>
        <w:ind w:left="432"/>
      </w:pPr>
      <w:r>
        <w:rPr>
          <w:color w:val="2A3A50"/>
          <w:sz w:val="19"/>
        </w:rPr>
        <w:t>✔  Diligent Gap Analysis file (BSS_Risk_Control_Gap_Analysis.xlsx) — Impact &amp; Likelihood per risk area</w:t>
      </w:r>
    </w:p>
    <w:p/>
    <w:p>
      <w:r>
        <w:rPr>
          <w:b/>
          <w:color w:val="1A3A5C"/>
          <w:sz w:val="22"/>
        </w:rPr>
        <w:t>Scoring Parameters — Maximum 100 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296"/>
        <w:gridCol w:w="2592"/>
        <w:gridCol w:w="3024"/>
      </w:tblGrid>
      <w:tr>
        <w:tc>
          <w:tcPr>
            <w:tcW w:type="dxa" w:w="234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34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4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Basis</w:t>
            </w:r>
          </w:p>
        </w:tc>
      </w:tr>
      <w:tr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Observation Frequency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30 pts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All-branch databank + all uploaded files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How often this risk area appeared across all branches and uploaded reports</w:t>
            </w:r>
          </w:p>
        </w:tc>
      </w:tr>
      <w:tr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Repeat Rate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25 pts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All-branch databank + all uploaded files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How often the same observation recurred at the same branch</w:t>
            </w:r>
          </w:p>
        </w:tc>
      </w:tr>
      <w:tr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  <w:shd w:val="clear" w:color="auto" w:fill="FFF3E0"/>
          </w:tcPr>
          <w:p>
            <w:pPr>
              <w:jc w:val="left"/>
            </w:pPr>
            <w:r>
              <w:rPr>
                <w:color w:val="2A3A50"/>
                <w:sz w:val="19"/>
              </w:rPr>
              <w:t>Area Weight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  <w:shd w:val="clear" w:color="auto" w:fill="FFF3E0"/>
          </w:tcPr>
          <w:p>
            <w:pPr>
              <w:jc w:val="left"/>
            </w:pPr>
            <w:r>
              <w:rPr>
                <w:color w:val="2A3A50"/>
                <w:sz w:val="19"/>
              </w:rPr>
              <w:t>25 pts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  <w:shd w:val="clear" w:color="auto" w:fill="FFF3E0"/>
          </w:tcPr>
          <w:p>
            <w:pPr>
              <w:jc w:val="left"/>
            </w:pPr>
            <w:r>
              <w:rPr>
                <w:color w:val="2A3A50"/>
                <w:sz w:val="19"/>
              </w:rPr>
              <w:t>Diligent Impact &amp; Likelihood</w:t>
              <w:br/>
              <w:t>(Gap Analysis file)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  <w:shd w:val="clear" w:color="auto" w:fill="FFF3E0"/>
          </w:tcPr>
          <w:p>
            <w:pPr>
              <w:jc w:val="left"/>
            </w:pPr>
            <w:r>
              <w:rPr>
                <w:color w:val="2A3A50"/>
                <w:sz w:val="19"/>
              </w:rPr>
              <w:t>Formula: ((Impact × 0.6) + (Likelihood × 0.4)) / 5 × 25 pts</w:t>
              <w:br/>
              <w:t>Fallback to static category weight if no Diligent match exists</w:t>
            </w:r>
          </w:p>
        </w:tc>
      </w:tr>
      <w:tr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Sensitivity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15 pts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Databank + SRR mapping</w:t>
            </w:r>
          </w:p>
        </w:tc>
        <w:tc>
          <w:tcPr>
            <w:tcW w:type="dxa" w:w="234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Risk sensitivity classification of the observation type</w:t>
            </w:r>
          </w:p>
        </w:tc>
      </w:tr>
      <w:tr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Databank Baseline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5 pts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Databank coverage</w:t>
            </w:r>
          </w:p>
        </w:tc>
        <w:tc>
          <w:tcPr>
            <w:tcW w:type="dxa" w:w="234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Whether this risk type is covered in the historical records</w:t>
            </w:r>
          </w:p>
        </w:tc>
      </w:tr>
    </w:tbl>
    <w:p/>
    <w:p>
      <w:r>
        <w:rPr>
          <w:b/>
          <w:color w:val="7A4400"/>
          <w:sz w:val="20"/>
        </w:rPr>
        <w:t>Area Weight Formula (Diligent-Enhanced):</w:t>
      </w:r>
    </w:p>
    <w:p>
      <w:pPr>
        <w:ind w:left="432"/>
      </w:pPr>
      <w:r>
        <w:rPr>
          <w:b/>
          <w:color w:val="1E5C3A"/>
          <w:sz w:val="19"/>
        </w:rPr>
        <w:t>Area Weight  =  ( (Diligent Impact × 0.6) + (Diligent Likelihood × 0.4) )  ÷  5  ×  25 pts</w:t>
      </w:r>
    </w:p>
    <w:p>
      <w:pPr>
        <w:ind w:left="432"/>
      </w:pPr>
      <w:r>
        <w:rPr>
          <w:i/>
          <w:color w:val="555555"/>
          <w:sz w:val="18"/>
        </w:rPr>
        <w:t>Rating scale: High = 5,  Medium-High = 4,  Medium = 3,  Medium-Low = 2,  Low = 1</w:t>
      </w:r>
    </w:p>
    <w:p>
      <w:pPr>
        <w:ind w:left="432"/>
      </w:pPr>
      <w:r>
        <w:rPr>
          <w:i/>
          <w:color w:val="884400"/>
          <w:sz w:val="18"/>
        </w:rPr>
        <w:t>No Diligent match → fallback to static category weight (observation is not penalized)</w:t>
      </w:r>
    </w:p>
    <w:p>
      <w:r>
        <w:br w:type="page"/>
      </w:r>
    </w:p>
    <w:p>
      <w:r>
        <w:rPr>
          <w:b/>
          <w:color w:val="1A3A5C"/>
          <w:sz w:val="26"/>
        </w:rPr>
        <w:t>PART 2 — Risk-Based Audit Framework  (Issued Report Stage)</w:t>
      </w:r>
    </w:p>
    <w:p>
      <w:r>
        <w:rPr>
          <w:i/>
          <w:color w:val="555555"/>
          <w:sz w:val="19"/>
        </w:rPr>
        <w:t>Purpose: Assigns the final impact rating to each observation in the issued audit report.</w:t>
      </w:r>
    </w:p>
    <w:p>
      <w:r>
        <w:rPr>
          <w:b/>
          <w:color w:val="1A3A5C"/>
          <w:sz w:val="20"/>
        </w:rPr>
        <w:t>Data Sources (Part 2):</w:t>
      </w:r>
    </w:p>
    <w:p>
      <w:pPr>
        <w:pStyle w:val="ListBullet"/>
        <w:ind w:left="432"/>
      </w:pPr>
      <w:r>
        <w:rPr>
          <w:color w:val="1E5C3A"/>
          <w:sz w:val="19"/>
        </w:rPr>
        <w:t>✔  Current branch's own previously uploaded audit report files ONLY</w:t>
      </w:r>
    </w:p>
    <w:p>
      <w:pPr>
        <w:pStyle w:val="ListBullet"/>
        <w:ind w:left="432"/>
      </w:pPr>
      <w:r>
        <w:rPr>
          <w:color w:val="C0392B"/>
          <w:sz w:val="19"/>
        </w:rPr>
        <w:t>✘  All-branch databank — NOT included</w:t>
      </w:r>
    </w:p>
    <w:p>
      <w:pPr>
        <w:pStyle w:val="ListBullet"/>
        <w:ind w:left="432"/>
      </w:pPr>
      <w:r>
        <w:rPr>
          <w:color w:val="C0392B"/>
          <w:sz w:val="19"/>
        </w:rPr>
        <w:t>✘  Other branches' uploaded files — NOT included</w:t>
      </w:r>
    </w:p>
    <w:p>
      <w:pPr>
        <w:pStyle w:val="ListBullet"/>
        <w:ind w:left="432"/>
      </w:pPr>
      <w:r>
        <w:rPr>
          <w:color w:val="1E5C3A"/>
          <w:sz w:val="19"/>
        </w:rPr>
        <w:t>✔  Diligent Gap Analysis file — Impact &amp; Likelihood for matched risk (via SRR code)</w:t>
      </w:r>
    </w:p>
    <w:p>
      <w:pPr>
        <w:pStyle w:val="ListBullet"/>
        <w:ind w:left="432"/>
      </w:pPr>
      <w:r>
        <w:rPr>
          <w:color w:val="1E5C3A"/>
          <w:sz w:val="19"/>
        </w:rPr>
        <w:t>✔  Framework Materiality section — Instances count + Financial Impact entered by auditor</w:t>
      </w:r>
    </w:p>
    <w:p/>
    <w:p>
      <w:r>
        <w:rPr>
          <w:b/>
          <w:color w:val="1A3A5C"/>
          <w:sz w:val="22"/>
        </w:rPr>
        <w:t>A — System Recommendation Engine</w:t>
      </w:r>
    </w:p>
    <w:p>
      <w:r>
        <w:rPr>
          <w:i/>
          <w:color w:val="555555"/>
          <w:sz w:val="19"/>
        </w:rPr>
        <w:t>System computes a recommended High / Medium / Low impact rating from three inputs and displays it with full breakdown so the auditor can see exactly what drove the suggestion.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4608"/>
      </w:tblGrid>
      <w:tr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Branch Historical Score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Current branch uploaded files only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Frequency &amp; repeat rate from this branch's own audit history — other branches excluded</w:t>
            </w:r>
          </w:p>
        </w:tc>
      </w:tr>
      <w:tr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Diligent Impact &amp; Likelihood</w:t>
            </w:r>
          </w:p>
        </w:tc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Gap analysis file, matched via SRR code</w:t>
            </w:r>
          </w:p>
        </w:tc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Inherent risk level assigned by Diligent to the matched risk category. Formula: (Impact × 0.6 + Likelihood × 0.4) / 5</w:t>
            </w:r>
          </w:p>
        </w:tc>
      </w:tr>
      <w:tr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Framework Materiality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Auditor-entered data per observation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Instances count + Financial Impact amount entered in the materiality section of each observation</w:t>
            </w:r>
          </w:p>
        </w:tc>
      </w:tr>
    </w:tbl>
    <w:p/>
    <w:p>
      <w:r>
        <w:rPr>
          <w:b/>
          <w:color w:val="1A3A5C"/>
          <w:sz w:val="22"/>
        </w:rPr>
        <w:t>B — Auditor Final Judgment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4608"/>
      </w:tblGrid>
      <w:tr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20"/>
            <w:shd w:val="clear" w:color="auto" w:fill="E8F8F0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Sensitivity Selection</w:t>
            </w:r>
          </w:p>
        </w:tc>
        <w:tc>
          <w:tcPr>
            <w:tcW w:type="dxa" w:w="3120"/>
            <w:shd w:val="clear" w:color="auto" w:fill="E8F8F0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Sensitivity combo box</w:t>
              <w:br/>
              <w:t>(top-right of each observation)</w:t>
            </w:r>
          </w:p>
        </w:tc>
        <w:tc>
          <w:tcPr>
            <w:tcW w:type="dxa" w:w="3120"/>
            <w:shd w:val="clear" w:color="auto" w:fill="E8F8F0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Auditor's own assessment — one input only. Overrides system recommendation if changed. Auditor must explicitly confirm selection (confirmation prompt prevents accidental clicks).</w:t>
            </w:r>
          </w:p>
        </w:tc>
      </w:tr>
    </w:tbl>
    <w:p/>
    <w:p>
      <w:r>
        <w:rPr>
          <w:b/>
          <w:color w:val="1A3A5C"/>
          <w:sz w:val="20"/>
        </w:rPr>
        <w:t>Sensitivity Combo Box States:</w:t>
      </w:r>
    </w:p>
    <w:p>
      <w:pPr>
        <w:pStyle w:val="ListBullet"/>
        <w:ind w:left="432"/>
      </w:pPr>
      <w:r>
        <w:rPr>
          <w:color w:val="2A3A50"/>
          <w:sz w:val="19"/>
        </w:rPr>
        <w:t>🔵  Default — Shows system suggestion, labelled "System Suggested"</w:t>
      </w:r>
    </w:p>
    <w:p>
      <w:pPr>
        <w:pStyle w:val="ListBullet"/>
        <w:ind w:left="432"/>
      </w:pPr>
      <w:r>
        <w:rPr>
          <w:color w:val="2A3A50"/>
          <w:sz w:val="19"/>
        </w:rPr>
        <w:t>🟢  Confirmed — Shows auditor's selection, labelled "Auditor Confirmed" (accepted or overridden)</w:t>
      </w:r>
    </w:p>
    <w:p>
      <w:pPr>
        <w:pStyle w:val="ListBullet"/>
        <w:ind w:left="432"/>
      </w:pPr>
      <w:r>
        <w:rPr>
          <w:color w:val="2A3A50"/>
          <w:sz w:val="19"/>
        </w:rPr>
        <w:t>⚠️   Override — If auditor's choice differs from system, event is logged in Audit Trail</w:t>
      </w:r>
    </w:p>
    <w:p>
      <w:r>
        <w:br w:type="page"/>
      </w:r>
    </w:p>
    <w:p>
      <w:r>
        <w:rPr>
          <w:b/>
          <w:color w:val="1A3A5C"/>
          <w:sz w:val="26"/>
        </w:rPr>
        <w:t>AUDIT TRAIL — Separate Section  (Not Part of Issued Report)</w:t>
      </w:r>
    </w:p>
    <w:p>
      <w:r>
        <w:rPr>
          <w:i/>
          <w:color w:val="555555"/>
          <w:sz w:val="19"/>
        </w:rPr>
        <w:t>Purpose: Records all instances where auditor judgment differed from the system recommendation. Kept separate from the report to maintain report cleanliness while preserving full accountability.</w:t>
      </w:r>
    </w:p>
    <w:p/>
    <w:p>
      <w:r>
        <w:rPr>
          <w:b/>
          <w:color w:val="1A3A5C"/>
          <w:sz w:val="22"/>
        </w:rPr>
        <w:t>Events Logged in Audit Trail: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888"/>
      </w:tblGrid>
      <w:tr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is Recorded</w:t>
            </w:r>
          </w:p>
        </w:tc>
        <w:tc>
          <w:tcPr>
            <w:tcW w:type="dxa" w:w="312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When Triggered</w:t>
            </w:r>
          </w:p>
        </w:tc>
      </w:tr>
      <w:tr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Sensitivity Override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Observation ID &amp; title, system recommendation + its basis (databank score, Diligent rating, instances, financial impact), auditor's final selection, date &amp; time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Auditor selects a Sensitivity different from the system suggestion and confirms</w:t>
            </w:r>
          </w:p>
        </w:tc>
      </w:tr>
      <w:tr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SRR Reassignment</w:t>
            </w:r>
          </w:p>
        </w:tc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Observation ID &amp; title, original auto-matched SRR code &amp; name, auditor's new SRR or custom-defined risk, date &amp; time</w:t>
            </w:r>
          </w:p>
        </w:tc>
        <w:tc>
          <w:tcPr>
            <w:tcW w:type="dxa" w:w="312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Auditor reassigns an observation to a different Sub-Risk in the mapping tool</w:t>
            </w:r>
          </w:p>
        </w:tc>
      </w:tr>
      <w:tr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COSO Category Change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Observation ID &amp; title, system-suggested COSO category, auditor's selected category, date &amp; time</w:t>
            </w:r>
          </w:p>
        </w:tc>
        <w:tc>
          <w:tcPr>
            <w:tcW w:type="dxa" w:w="312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Auditor changes the COSO classification of an observation</w:t>
            </w:r>
          </w:p>
        </w:tc>
      </w:tr>
    </w:tbl>
    <w:p/>
    <w:p>
      <w:r>
        <w:rPr>
          <w:b/>
          <w:color w:val="1A3A5C"/>
          <w:sz w:val="22"/>
        </w:rPr>
        <w:t>Audit Trail Features:</w:t>
      </w:r>
    </w:p>
    <w:p>
      <w:pPr>
        <w:pStyle w:val="ListBullet"/>
        <w:ind w:left="432"/>
      </w:pPr>
      <w:r>
        <w:rPr>
          <w:color w:val="2A3A50"/>
          <w:sz w:val="19"/>
        </w:rPr>
        <w:t>Viewable as a filterable list inside the system (filter by event type, observation, date)</w:t>
      </w:r>
    </w:p>
    <w:p>
      <w:pPr>
        <w:pStyle w:val="ListBullet"/>
        <w:ind w:left="432"/>
      </w:pPr>
      <w:r>
        <w:rPr>
          <w:color w:val="2A3A50"/>
          <w:sz w:val="19"/>
        </w:rPr>
        <w:t>Downloadable as Excel or PDF report for external reference</w:t>
      </w:r>
    </w:p>
    <w:p>
      <w:pPr>
        <w:pStyle w:val="ListBullet"/>
        <w:ind w:left="432"/>
      </w:pPr>
      <w:r>
        <w:rPr>
          <w:color w:val="2A3A50"/>
          <w:sz w:val="19"/>
        </w:rPr>
        <w:t>Saved persistently in browser localStorage (key: sa_audit_trail)</w:t>
      </w:r>
    </w:p>
    <w:p>
      <w:pPr>
        <w:pStyle w:val="ListBullet"/>
        <w:ind w:left="432"/>
      </w:pPr>
      <w:r>
        <w:rPr>
          <w:color w:val="2A3A50"/>
          <w:sz w:val="19"/>
        </w:rPr>
        <w:t>Accessible via dedicated "Audit Trail" button in the main system</w:t>
      </w:r>
    </w:p>
    <w:p>
      <w:pPr>
        <w:pStyle w:val="ListBullet"/>
        <w:ind w:left="432"/>
      </w:pPr>
      <w:r>
        <w:rPr>
          <w:color w:val="2A3A50"/>
          <w:sz w:val="19"/>
        </w:rPr>
        <w:t>Unified — captures overrides from all tabs/sections in one place</w:t>
      </w:r>
    </w:p>
    <w:p/>
    <w:p>
      <w:r>
        <w:rPr>
          <w:b/>
          <w:color w:val="1A3A5C"/>
          <w:sz w:val="26"/>
        </w:rPr>
        <w:t>INTEGRATION &amp; IMPLEMENTATION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c>
          <w:tcPr>
            <w:tcW w:type="dxa" w:w="468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A3A5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1</w:t>
            </w:r>
          </w:p>
        </w:tc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Wire Diligent Impact &amp; Likelihood into Area Weight in Part 1 formula</w:t>
            </w:r>
          </w:p>
        </w:tc>
      </w:tr>
      <w:tr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2</w:t>
            </w:r>
          </w:p>
        </w:tc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Build Part 2 system recommendation engine (branch-specific history + Diligent + Materiality)</w:t>
            </w:r>
          </w:p>
        </w:tc>
      </w:tr>
      <w:tr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3</w:t>
            </w:r>
          </w:p>
        </w:tc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Add confirmation prompt and System Suggested / Auditor Confirmed states to Sensitivity combo box</w:t>
            </w:r>
          </w:p>
        </w:tc>
      </w:tr>
      <w:tr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4</w:t>
            </w:r>
          </w:p>
        </w:tc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Build Audit Trail section in index.html with view, download, and save functionality</w:t>
            </w:r>
          </w:p>
        </w:tc>
      </w:tr>
      <w:tr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5</w:t>
            </w:r>
          </w:p>
        </w:tc>
        <w:tc>
          <w:tcPr>
            <w:tcW w:type="dxa" w:w="4680"/>
            <w:shd w:val="clear" w:color="auto" w:fill="F5F8FC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Integrate obs_srr_mapping.html as a dedicated tab inside index.html</w:t>
            </w:r>
          </w:p>
        </w:tc>
      </w:tr>
      <w:tr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Step 6</w:t>
            </w:r>
          </w:p>
        </w:tc>
        <w:tc>
          <w:tcPr>
            <w:tcW w:type="dxa" w:w="4680"/>
            <w:shd w:val="clear" w:color="auto" w:fill="EBF2FA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  <w:vAlign w:val="center"/>
          </w:tcPr>
          <w:p>
            <w:pPr>
              <w:jc w:val="left"/>
            </w:pPr>
            <w:r>
              <w:rPr>
                <w:color w:val="2A3A50"/>
                <w:sz w:val="19"/>
              </w:rPr>
              <w:t>Connect all override events (sensitivity, SRR, COSO) to shared sa_audit_trail in localStorage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BSS Audit Management System  |  Risk Assessment Framework v2.0  |  Prepared June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