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34"/>
        </w:rPr>
        <w:t>BSS Branch Audit — Risk Assessment &amp; Review Framework</w:t>
      </w:r>
    </w:p>
    <w:p>
      <w:pPr>
        <w:jc w:val="center"/>
      </w:pPr>
      <w:r>
        <w:rPr>
          <w:i/>
          <w:color w:val="888888"/>
          <w:sz w:val="20"/>
        </w:rPr>
        <w:t>Complete Parameter &amp; Workflow Reference  |  Version 3.0  |  June 2026</w:t>
      </w:r>
    </w:p>
    <w:p/>
    <w:p>
      <w:r>
        <w:rPr>
          <w:b/>
          <w:color w:val="1A3A5C"/>
          <w:sz w:val="26"/>
        </w:rPr>
        <w:t>SECTION 1 — Pre-Audit Risk Assessment  (Planning Stage)</w:t>
      </w:r>
    </w:p>
    <w:p>
      <w:r>
        <w:rPr>
          <w:i/>
          <w:color w:val="555555"/>
          <w:sz w:val="19"/>
        </w:rPr>
        <w:t>Purpose: Helps the auditor decide where to focus audit effort before starting the branch audit.</w:t>
      </w:r>
    </w:p>
    <w:p/>
    <w:p>
      <w:r>
        <w:rPr>
          <w:b/>
          <w:color w:val="1A3A5C"/>
          <w:sz w:val="22"/>
        </w:rPr>
        <w:t>Data Sources (Part 1)</w:t>
      </w:r>
    </w:p>
    <w:p>
      <w:pPr>
        <w:pStyle w:val="ListBullet"/>
        <w:ind w:left="432"/>
      </w:pPr>
      <w:r>
        <w:rPr>
          <w:color w:val="2A3A50"/>
          <w:sz w:val="19"/>
        </w:rPr>
        <w:t>✔  All-branch historical databank (359 observations across all campuses)</w:t>
      </w:r>
    </w:p>
    <w:p>
      <w:pPr>
        <w:pStyle w:val="ListBullet"/>
        <w:ind w:left="432"/>
      </w:pPr>
      <w:r>
        <w:rPr>
          <w:color w:val="2A3A50"/>
          <w:sz w:val="19"/>
        </w:rPr>
        <w:t>✔  Current branch's previously uploaded audit report files</w:t>
      </w:r>
    </w:p>
    <w:p>
      <w:pPr>
        <w:pStyle w:val="ListBullet"/>
        <w:ind w:left="432"/>
      </w:pPr>
      <w:r>
        <w:rPr>
          <w:color w:val="2A3A50"/>
          <w:sz w:val="19"/>
        </w:rPr>
        <w:t>✔  Other branches' previously uploaded audit report files</w:t>
      </w:r>
    </w:p>
    <w:p>
      <w:pPr>
        <w:pStyle w:val="ListBullet"/>
        <w:ind w:left="432"/>
      </w:pPr>
      <w:r>
        <w:rPr>
          <w:color w:val="2A3A50"/>
          <w:sz w:val="19"/>
        </w:rPr>
        <w:t>✔  Diligent Gap Analysis file (BSS_Risk_Control_Gap_Analysis.xlsx) — Impact &amp; Likelihood per risk area</w:t>
      </w:r>
    </w:p>
    <w:p/>
    <w:p>
      <w:r>
        <w:rPr>
          <w:b/>
          <w:color w:val="1A3A5C"/>
          <w:sz w:val="22"/>
        </w:rPr>
        <w:t>Scoring Parameters — Maximum 100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1296"/>
        <w:gridCol w:w="2592"/>
        <w:gridCol w:w="3312"/>
      </w:tblGrid>
      <w:tr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Basis</w:t>
            </w:r>
          </w:p>
        </w:tc>
      </w:tr>
      <w:tr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Observation Frequency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30 pts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All-branch databank + all uploaded files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How often this risk area appeared across all branches and uploaded reports</w:t>
            </w:r>
          </w:p>
        </w:tc>
      </w:tr>
      <w:tr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Repeat Rate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25 pts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All-branch databank + all uploaded files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How often the same observation recurred at the same branch</w:t>
            </w:r>
          </w:p>
        </w:tc>
      </w:tr>
      <w:tr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Area Weight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25 pts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Diligent Impact &amp; Likelihood</w:t>
              <w:br/>
              <w:t>(Gap Analysis file)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Formula: ((Impact×0.6)+(Likelihood×0.4))/5×25 pts</w:t>
              <w:br/>
              <w:t>Fallback to static category weight if no Diligent match</w:t>
            </w:r>
          </w:p>
        </w:tc>
      </w:tr>
      <w:tr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Sensitivity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15 pts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Databank + SRR mapping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Risk sensitivity classification of the observation type</w:t>
            </w:r>
          </w:p>
        </w:tc>
      </w:tr>
      <w:tr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Databank Baseline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5 pts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Databank coverage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Whether this risk type is covered in historical records</w:t>
            </w:r>
          </w:p>
        </w:tc>
      </w:tr>
    </w:tbl>
    <w:p/>
    <w:p>
      <w:r>
        <w:rPr>
          <w:b/>
          <w:color w:val="7A4400"/>
          <w:sz w:val="20"/>
        </w:rPr>
        <w:t>Area Weight Formula (Diligent-Enhanced)</w:t>
      </w:r>
    </w:p>
    <w:p>
      <w:pPr>
        <w:ind w:left="432"/>
      </w:pPr>
      <w:r>
        <w:rPr>
          <w:b/>
          <w:color w:val="1E5C3A"/>
          <w:sz w:val="19"/>
        </w:rPr>
        <w:t>Area Weight  =  ( (Diligent Impact × 0.6) + (Diligent Likelihood × 0.4) )  ÷  5  ×  25 pts</w:t>
      </w:r>
    </w:p>
    <w:p>
      <w:pPr>
        <w:ind w:left="432"/>
      </w:pPr>
      <w:r>
        <w:rPr>
          <w:i/>
          <w:color w:val="555555"/>
          <w:sz w:val="18"/>
        </w:rPr>
        <w:t>Rating scale: High=5, Medium-High=4, Medium=3, Medium-Low=2, Low=1</w:t>
      </w:r>
    </w:p>
    <w:p>
      <w:pPr>
        <w:ind w:left="432"/>
      </w:pPr>
      <w:r>
        <w:rPr>
          <w:i/>
          <w:color w:val="555555"/>
          <w:sz w:val="18"/>
        </w:rPr>
        <w:t>No Diligent match → fallback to static category weight (Science Laboratory uses fallback)</w:t>
      </w:r>
    </w:p>
    <w:p>
      <w:r>
        <w:br w:type="page"/>
      </w:r>
    </w:p>
    <w:p>
      <w:r>
        <w:rPr>
          <w:b/>
          <w:color w:val="1A3A5C"/>
          <w:sz w:val="26"/>
        </w:rPr>
        <w:t>SECTION 2 — Risk-Based Audit Framework  (Issued Report Stage)</w:t>
      </w:r>
    </w:p>
    <w:p>
      <w:r>
        <w:rPr>
          <w:i/>
          <w:color w:val="555555"/>
          <w:sz w:val="19"/>
        </w:rPr>
        <w:t>Purpose: Assigns the final impact rating to each observation in the issued audit report.</w:t>
      </w:r>
    </w:p>
    <w:p/>
    <w:p>
      <w:r>
        <w:rPr>
          <w:b/>
          <w:color w:val="1A3A5C"/>
          <w:sz w:val="22"/>
        </w:rPr>
        <w:t>Data Sources (Part 2)</w:t>
      </w:r>
    </w:p>
    <w:p>
      <w:pPr>
        <w:pStyle w:val="ListBullet"/>
        <w:ind w:left="432"/>
      </w:pPr>
      <w:r>
        <w:rPr>
          <w:color w:val="1E5C3A"/>
          <w:sz w:val="19"/>
        </w:rPr>
        <w:t>✔  Current branch's own previously uploaded audit report files ONLY</w:t>
      </w:r>
    </w:p>
    <w:p>
      <w:pPr>
        <w:pStyle w:val="ListBullet"/>
        <w:ind w:left="432"/>
      </w:pPr>
      <w:r>
        <w:rPr>
          <w:color w:val="C0392B"/>
          <w:sz w:val="19"/>
        </w:rPr>
        <w:t>✘  All-branch databank — NOT included</w:t>
      </w:r>
    </w:p>
    <w:p>
      <w:pPr>
        <w:pStyle w:val="ListBullet"/>
        <w:ind w:left="432"/>
      </w:pPr>
      <w:r>
        <w:rPr>
          <w:color w:val="C0392B"/>
          <w:sz w:val="19"/>
        </w:rPr>
        <w:t>✘  Other branches' uploaded files — NOT included</w:t>
      </w:r>
    </w:p>
    <w:p>
      <w:pPr>
        <w:pStyle w:val="ListBullet"/>
        <w:ind w:left="432"/>
      </w:pPr>
      <w:r>
        <w:rPr>
          <w:color w:val="1E5C3A"/>
          <w:sz w:val="19"/>
        </w:rPr>
        <w:t>✔  Diligent Gap Analysis file — Impact &amp; Likelihood matched via SRR code</w:t>
      </w:r>
    </w:p>
    <w:p>
      <w:pPr>
        <w:pStyle w:val="ListBullet"/>
        <w:ind w:left="432"/>
      </w:pPr>
      <w:r>
        <w:rPr>
          <w:color w:val="1E5C3A"/>
          <w:sz w:val="19"/>
        </w:rPr>
        <w:t>✔  Framework Materiality section — Instances count + Financial Impact entered by auditor</w:t>
      </w:r>
    </w:p>
    <w:p/>
    <w:p>
      <w:r>
        <w:rPr>
          <w:b/>
          <w:color w:val="1A3A5C"/>
          <w:sz w:val="22"/>
        </w:rPr>
        <w:t>A — System Recommendation Engine  (Score out of 100)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4"/>
        <w:gridCol w:w="1296"/>
        <w:gridCol w:w="6480"/>
      </w:tblGrid>
      <w:tr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Max Score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Framework Materiality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40 pts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Instances count (max 25) + Financial Impact Rs. (max 15). Entered by auditor in the materiality section of each observation.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Branch History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30 pts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Frequency and repeat rate from current branch's own uploaded files only. Other branches excluded at this stage.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Diligent Impact &amp; Likelihood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30 pts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avgImpact × 0.6 + avgLikelihood × 0.4, from gap analysis file matched via SRR code for the observation category.</w:t>
            </w:r>
          </w:p>
        </w:tc>
      </w:tr>
    </w:tbl>
    <w:p>
      <w:pPr>
        <w:ind w:left="432"/>
      </w:pPr>
      <w:r>
        <w:rPr>
          <w:b/>
          <w:color w:val="1A3A5C"/>
          <w:sz w:val="19"/>
        </w:rPr>
        <w:t>Score thresholds:  ≥ 70 = High    ≥ 45 = M to H    ≥ 20 = L to M    &gt; 0 = Low</w:t>
      </w:r>
    </w:p>
    <w:p/>
    <w:p>
      <w:r>
        <w:rPr>
          <w:b/>
          <w:color w:val="1A3A5C"/>
          <w:sz w:val="22"/>
        </w:rPr>
        <w:t>B — Auditor Final Judgment</w:t>
      </w:r>
    </w:p>
    <w:p>
      <w:r>
        <w:rPr>
          <w:i/>
          <w:color w:val="555555"/>
          <w:sz w:val="19"/>
        </w:rPr>
        <w:t>One input only — the Sensitivity combo box (top-right of each observation). Auditor accepts or overrides system recommendation.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6480"/>
      </w:tblGrid>
      <w:tr>
        <w:tc>
          <w:tcPr>
            <w:tcW w:type="dxa" w:w="468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468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68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System Suggested (default)</w:t>
            </w:r>
          </w:p>
        </w:tc>
        <w:tc>
          <w:tcPr>
            <w:tcW w:type="dxa" w:w="468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Combo box shows system recommendation. Marked with ⓘ and score breakdown on hover.</w:t>
            </w:r>
          </w:p>
        </w:tc>
      </w:tr>
      <w:tr>
        <w:tc>
          <w:tcPr>
            <w:tcW w:type="dxa" w:w="4680"/>
            <w:shd w:val="clear" w:color="auto" w:fill="E8F8F0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 Confirmed</w:t>
            </w:r>
          </w:p>
        </w:tc>
        <w:tc>
          <w:tcPr>
            <w:tcW w:type="dxa" w:w="4680"/>
            <w:shd w:val="clear" w:color="auto" w:fill="E8F8F0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 accepted or overridden. Confirmation prompt shown before locking. Override logged to Audit Trail.</w:t>
            </w:r>
          </w:p>
        </w:tc>
      </w:tr>
    </w:tbl>
    <w:p>
      <w:r>
        <w:br w:type="page"/>
      </w:r>
    </w:p>
    <w:p>
      <w:r>
        <w:rPr>
          <w:b/>
          <w:color w:val="1A3A5C"/>
          <w:sz w:val="26"/>
        </w:rPr>
        <w:t>SECTION 3 — Multi-Stage Report Review Workflow</w:t>
      </w:r>
    </w:p>
    <w:p>
      <w:r>
        <w:rPr>
          <w:i/>
          <w:color w:val="555555"/>
          <w:sz w:val="19"/>
        </w:rPr>
        <w:t>Purpose: Governs how the audit report moves from Auditor through RO Manager to HO before issuance.</w:t>
      </w:r>
    </w:p>
    <w:p/>
    <w:p>
      <w:r>
        <w:rPr>
          <w:b/>
          <w:color w:val="1A3A5C"/>
          <w:sz w:val="22"/>
        </w:rPr>
        <w:t>Workflow Overview</w:t>
      </w:r>
    </w:p>
    <w:p>
      <w:r>
        <w:rPr>
          <w:rFonts w:ascii="Courier New" w:hAnsi="Courier New"/>
          <w:color w:val="1A3A5C"/>
          <w:sz w:val="17"/>
        </w:rPr>
        <w:t>Auditor (Draft)</w:t>
        <w:br/>
        <w:t xml:space="preserve">    │</w:t>
        <w:br/>
        <w:t xml:space="preserve">    ├──→ Auditee Soft Copy → Branch fills responses → Auditor loads back (branch response locked)</w:t>
        <w:br/>
        <w:t xml:space="preserve">    ├── Auditor fills RO/HO management response fields</w:t>
        <w:br/>
        <w:t xml:space="preserve">    └── Saves session → generates "Send to RO" file (Option A: single self-contained file)</w:t>
        <w:br/>
        <w:t xml:space="preserve">         │</w:t>
        <w:br/>
        <w:t xml:space="preserve">         ▼</w:t>
        <w:br/>
        <w:t>RO Manager Review  [Stage: ro_review]</w:t>
        <w:br/>
        <w:t xml:space="preserve">    │</w:t>
        <w:br/>
        <w:t xml:space="preserve">    ├── Reviews observations, wording changes, Audit Trail</w:t>
        <w:br/>
        <w:t xml:space="preserve">    ├── Can amend auditee responses (with mandatory documentary evidence attachment)</w:t>
        <w:br/>
        <w:t xml:space="preserve">    ├──→ SEND BACK to Auditor  [Stage: sent_back_to_auditor]</w:t>
        <w:br/>
        <w:t xml:space="preserve">    │         Auditor sees only flagged items + RO comments → corrects → re-submits</w:t>
        <w:br/>
        <w:t xml:space="preserve">    │         RO re-opens → sees original comment + auditor correction side by side</w:t>
        <w:br/>
        <w:t xml:space="preserve">    └──→ Forward to HO  [Stage: ho_review]</w:t>
        <w:br/>
        <w:t xml:space="preserve">         │</w:t>
        <w:br/>
        <w:t xml:space="preserve">         ▼</w:t>
        <w:br/>
        <w:t>HO Final Review  [Stage: ho_review]</w:t>
        <w:br/>
        <w:t xml:space="preserve">    │</w:t>
        <w:br/>
        <w:t xml:space="preserve">    ├── Sees wording changes summary (expandable), full Audit Trail</w:t>
        <w:br/>
        <w:t xml:space="preserve">    ├── Can amend auditee responses (with mandatory documentary evidence attachment)</w:t>
        <w:br/>
        <w:t xml:space="preserve">    ├──→ SEND BACK to RO  [Stage: sent_back_to_ro]</w:t>
        <w:br/>
        <w:t xml:space="preserve">    │         RO sees only HO-flagged items + HO comments → corrects → re-submits</w:t>
        <w:br/>
        <w:t xml:space="preserve">    │         HO re-opens → sees original HO comment + RO correction side by side</w:t>
        <w:br/>
        <w:t xml:space="preserve">    └──→ Issue Report  [Stage: issued]</w:t>
      </w:r>
    </w:p>
    <w:p/>
    <w:p>
      <w:r>
        <w:rPr>
          <w:b/>
          <w:color w:val="1A3A5C"/>
          <w:sz w:val="22"/>
        </w:rPr>
        <w:t>Stage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2880"/>
        <w:gridCol w:w="4032"/>
      </w:tblGrid>
      <w:tr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reportStage Value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Who Sees It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Interface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draft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Full editing tools — all features enabled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ro_review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Manager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Review only — flag, comment, accept/decline, amend response, send back or forward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sent_back_to_auditor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Only flagged observations highlighted in red with RO comments visible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ho_review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Review only — same as RO but with final issuance authority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sent_back_to_ro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Manager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Only HO-flagged observations highlighted with HO comments visible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issued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Anyone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Read-only issued report</w:t>
            </w:r>
          </w:p>
        </w:tc>
      </w:tr>
    </w:tbl>
    <w:p>
      <w:r>
        <w:br w:type="page"/>
      </w:r>
    </w:p>
    <w:p>
      <w:r>
        <w:rPr>
          <w:b/>
          <w:color w:val="1A3A5C"/>
          <w:sz w:val="26"/>
        </w:rPr>
        <w:t>SECTION 4 —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3168"/>
        <w:gridCol w:w="3168"/>
        <w:gridCol w:w="1584"/>
      </w:tblGrid>
      <w:tr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 Do</w:t>
            </w:r>
          </w:p>
        </w:tc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Cannot Do</w:t>
            </w:r>
          </w:p>
        </w:tc>
        <w:tc>
          <w:tcPr>
            <w:tcW w:type="dxa" w:w="234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</w:t>
            </w:r>
          </w:p>
        </w:tc>
      </w:tr>
      <w:tr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Create/edit observations, set sensitivity, fill RO/HO response fields, load branch response, send to Auditee, forward to RO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Change branch response after loading, issue report, amend at RO/HO level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index.html</w:t>
            </w:r>
          </w:p>
        </w:tc>
      </w:tr>
      <w:tr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Auditee (Branch)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Fill branch response fields only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Change observation text, sensitivity, or any other field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Soft Copy HTML</w:t>
            </w:r>
          </w:p>
        </w:tc>
      </w:tr>
      <w:tr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Manager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Review all observations, accept/decline wording changes, flag + comment per obs, amend auditee response (with evidence), send back to Auditor or forward to HO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Edit observation text directly, change sensitivity, issue report</w:t>
            </w:r>
          </w:p>
        </w:tc>
        <w:tc>
          <w:tcPr>
            <w:tcW w:type="dxa" w:w="234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bss_reviewer.html</w:t>
            </w:r>
          </w:p>
        </w:tc>
      </w:tr>
      <w:tr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All RO permissions + final issuance authority, send back to RO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—</w:t>
            </w:r>
          </w:p>
        </w:tc>
        <w:tc>
          <w:tcPr>
            <w:tcW w:type="dxa" w:w="234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bss_reviewer.html</w:t>
            </w:r>
          </w:p>
        </w:tc>
      </w:tr>
    </w:tbl>
    <w:p/>
    <w:p>
      <w:r>
        <w:rPr>
          <w:b/>
          <w:color w:val="1A3A5C"/>
          <w:sz w:val="26"/>
        </w:rPr>
        <w:t>SECTION 5 — Data Fields per Observation (Extended)</w:t>
      </w:r>
    </w:p>
    <w:p>
      <w:r>
        <w:rPr>
          <w:i/>
          <w:color w:val="555555"/>
          <w:sz w:val="19"/>
        </w:rPr>
        <w:t>All fields travel with the session file through every stage. Branch response is locked after loading.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160"/>
        <w:gridCol w:w="5328"/>
      </w:tblGrid>
      <w:tr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Set By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respMap[id]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Auditee (Branch)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Branch response — locked after auditor loads the returned soft copy. Never overwritten.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respROMap[id]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RO/HO level formal management response — filled by auditor during draft stage.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roFlag[id]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Manager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Marks this observation for correction. Triggers send-back to Auditor.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roComment[id]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Manager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RO's specific instruction to auditor for correction.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roCorrection[id]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Auditor's response/correction to RO comment.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roAccepted[id]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Manager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True when RO confirms the auditor correction is satisfactory.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hoFlag[id]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Marks this observation for correction. Triggers send-back to RO.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hoComment[id]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HO's specific instruction to RO for correction.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hoCorrection[id]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RO's response/correction to HO comment.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hoAccepted[id]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HO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True when HO confirms the RO correction is satisfactory.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wordingChanges[id]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System (auto)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Auto-detected difference between original databank text and auditor-edited text. Stored as {original, edited, detectedAt}.</w:t>
            </w:r>
          </w:p>
        </w:tc>
      </w:tr>
    </w:tbl>
    <w:p>
      <w:r>
        <w:br w:type="page"/>
      </w:r>
    </w:p>
    <w:p>
      <w:r>
        <w:rPr>
          <w:b/>
          <w:color w:val="1A3A5C"/>
          <w:sz w:val="26"/>
        </w:rPr>
        <w:t>SECTION 6 — Auditee Response Amendment (RO/HO Authority)</w:t>
      </w:r>
    </w:p>
    <w:p>
      <w:r>
        <w:rPr>
          <w:i/>
          <w:color w:val="555555"/>
          <w:sz w:val="19"/>
        </w:rPr>
        <w:t>RO and HO have special authority to amend branch responses when formal communication (email/letter) justifies a change.</w:t>
      </w:r>
    </w:p>
    <w:p>
      <w:pPr>
        <w:pStyle w:val="ListBullet"/>
        <w:ind w:left="432"/>
      </w:pPr>
      <w:r>
        <w:rPr>
          <w:color w:val="2A3A50"/>
          <w:sz w:val="19"/>
        </w:rPr>
        <w:t>Branch response field is locked for the Auditor — cannot be changed after loading.</w:t>
      </w:r>
    </w:p>
    <w:p>
      <w:pPr>
        <w:pStyle w:val="ListBullet"/>
        <w:ind w:left="432"/>
      </w:pPr>
      <w:r>
        <w:rPr>
          <w:color w:val="2A3A50"/>
          <w:sz w:val="19"/>
        </w:rPr>
        <w:t>RO/HO see an "Amend Response" button per observation (hidden from Auditor view).</w:t>
      </w:r>
    </w:p>
    <w:p>
      <w:pPr>
        <w:pStyle w:val="ListBullet"/>
        <w:ind w:left="432"/>
      </w:pPr>
      <w:r>
        <w:rPr>
          <w:color w:val="2A3A50"/>
          <w:sz w:val="19"/>
        </w:rPr>
        <w:t>When clicked: original branch response shown read-only + amendment text field + mandatory evidence attachment field + reason/note.</w:t>
      </w:r>
    </w:p>
    <w:p>
      <w:pPr>
        <w:pStyle w:val="ListBullet"/>
        <w:ind w:left="432"/>
      </w:pPr>
      <w:r>
        <w:rPr>
          <w:color w:val="2A3A50"/>
          <w:sz w:val="19"/>
        </w:rPr>
        <w:t>Evidence attachment: a file (email screenshot, letter scan, PDF) uploaded and saved alongside the session. HO receives it as a separate file — opens it independently.</w:t>
      </w:r>
    </w:p>
    <w:p>
      <w:pPr>
        <w:pStyle w:val="ListBullet"/>
        <w:ind w:left="432"/>
      </w:pPr>
      <w:r>
        <w:rPr>
          <w:color w:val="2A3A50"/>
          <w:sz w:val="19"/>
        </w:rPr>
        <w:t>System permanently preserves: original response, amended response, attached evidence, who amended (RO/HO), timestamp.</w:t>
      </w:r>
    </w:p>
    <w:p>
      <w:pPr>
        <w:pStyle w:val="ListBullet"/>
        <w:ind w:left="432"/>
      </w:pPr>
      <w:r>
        <w:rPr>
          <w:color w:val="2A3A50"/>
          <w:sz w:val="19"/>
        </w:rPr>
        <w:t>Amended responses are marked with a visible indicator in the issued report.</w:t>
      </w:r>
    </w:p>
    <w:p>
      <w:pPr>
        <w:pStyle w:val="ListBullet"/>
        <w:ind w:left="432"/>
      </w:pPr>
      <w:r>
        <w:rPr>
          <w:color w:val="2A3A50"/>
          <w:sz w:val="19"/>
        </w:rPr>
        <w:t>All amendments are automatically logged in the Audit Trail as event type: "Auditee Response Amendment".</w:t>
      </w:r>
    </w:p>
    <w:p/>
    <w:p>
      <w:r>
        <w:rPr>
          <w:b/>
          <w:color w:val="1A3A5C"/>
          <w:sz w:val="26"/>
        </w:rPr>
        <w:t>SECTION 7 — Reviewer File  (bss_reviewer.html)</w:t>
      </w:r>
    </w:p>
    <w:p>
      <w:r>
        <w:rPr>
          <w:i/>
          <w:color w:val="555555"/>
          <w:sz w:val="19"/>
        </w:rPr>
        <w:t>A separate lightweight file used by RO Manager and HO for review. Auditor creation tools are not present.</w:t>
      </w:r>
    </w:p>
    <w:p/>
    <w:p>
      <w:r>
        <w:rPr>
          <w:b/>
          <w:color w:val="1A3A5C"/>
          <w:sz w:val="22"/>
        </w:rPr>
        <w:t>How It Works</w:t>
      </w:r>
    </w:p>
    <w:p>
      <w:pPr>
        <w:pStyle w:val="ListBullet"/>
        <w:ind w:left="432"/>
      </w:pPr>
      <w:r>
        <w:rPr>
          <w:color w:val="2A3A50"/>
          <w:sz w:val="19"/>
        </w:rPr>
        <w:t>Auditor clicks "Send to RO" button in index.html — generates a single self-contained bss_reviewer.html file with all session data embedded inside it.</w:t>
      </w:r>
    </w:p>
    <w:p>
      <w:pPr>
        <w:pStyle w:val="ListBullet"/>
        <w:ind w:left="432"/>
      </w:pPr>
      <w:r>
        <w:rPr>
          <w:color w:val="2A3A50"/>
          <w:sz w:val="19"/>
        </w:rPr>
        <w:t>RO Manager opens bss_reviewer.html directly in browser — no other file needed.</w:t>
      </w:r>
    </w:p>
    <w:p>
      <w:pPr>
        <w:pStyle w:val="ListBullet"/>
        <w:ind w:left="432"/>
      </w:pPr>
      <w:r>
        <w:rPr>
          <w:color w:val="2A3A50"/>
          <w:sz w:val="19"/>
        </w:rPr>
        <w:t>RO reviews, flags, comments, attaches evidence, then clicks "Forward to HO" or "Send Back to Auditor".</w:t>
      </w:r>
    </w:p>
    <w:p>
      <w:pPr>
        <w:pStyle w:val="ListBullet"/>
        <w:ind w:left="432"/>
      </w:pPr>
      <w:r>
        <w:rPr>
          <w:color w:val="2A3A50"/>
          <w:sz w:val="19"/>
        </w:rPr>
        <w:t>This generates a new output file which is emailed to HO or returned to Auditor.</w:t>
      </w:r>
    </w:p>
    <w:p>
      <w:pPr>
        <w:pStyle w:val="ListBullet"/>
        <w:ind w:left="432"/>
      </w:pPr>
      <w:r>
        <w:rPr>
          <w:color w:val="2A3A50"/>
          <w:sz w:val="19"/>
        </w:rPr>
        <w:t>HO opens the same bss_reviewer.html type file — session data inside tells it this is HO stage.</w:t>
      </w:r>
    </w:p>
    <w:p>
      <w:pPr>
        <w:pStyle w:val="ListBullet"/>
        <w:ind w:left="432"/>
      </w:pPr>
      <w:r>
        <w:rPr>
          <w:color w:val="2A3A50"/>
          <w:sz w:val="19"/>
        </w:rPr>
        <w:t>One bss_reviewer.html template serves both RO and HO — the reportStage flag controls what is shown.</w:t>
      </w:r>
    </w:p>
    <w:p/>
    <w:p>
      <w:r>
        <w:rPr>
          <w:b/>
          <w:color w:val="1A3A5C"/>
          <w:sz w:val="22"/>
        </w:rPr>
        <w:t>Wording Change Display at Review Stage</w:t>
      </w:r>
    </w:p>
    <w:p>
      <w:pPr>
        <w:pStyle w:val="ListBullet"/>
        <w:ind w:left="432"/>
      </w:pPr>
      <w:r>
        <w:rPr>
          <w:color w:val="2A3A50"/>
          <w:sz w:val="19"/>
        </w:rPr>
        <w:t>Any observation where the auditor edited the text shows a side-by-side comparison: Original (databank text) on left, Edited (auditor version) on right.</w:t>
      </w:r>
    </w:p>
    <w:p>
      <w:pPr>
        <w:pStyle w:val="ListBullet"/>
        <w:ind w:left="432"/>
      </w:pPr>
      <w:r>
        <w:rPr>
          <w:color w:val="2A3A50"/>
          <w:sz w:val="19"/>
        </w:rPr>
        <w:t>Changes are highlighted in colour — deleted text in red, added text in green.</w:t>
      </w:r>
    </w:p>
    <w:p>
      <w:pPr>
        <w:pStyle w:val="ListBullet"/>
        <w:ind w:left="432"/>
      </w:pPr>
      <w:r>
        <w:rPr>
          <w:color w:val="2A3A50"/>
          <w:sz w:val="19"/>
        </w:rPr>
        <w:t>RO/HO can Accept or Decline each wording change individually, or Accept All / Decline All.</w:t>
      </w:r>
    </w:p>
    <w:p>
      <w:pPr>
        <w:pStyle w:val="ListBullet"/>
        <w:ind w:left="432"/>
      </w:pPr>
      <w:r>
        <w:rPr>
          <w:color w:val="2A3A50"/>
          <w:sz w:val="19"/>
        </w:rPr>
        <w:t>Declined changes revert to original databank wording before the file moves to the next stage.</w:t>
      </w:r>
    </w:p>
    <w:p/>
    <w:p>
      <w:r>
        <w:rPr>
          <w:b/>
          <w:color w:val="1A3A5C"/>
          <w:sz w:val="26"/>
        </w:rPr>
        <w:t>SECTION 8 — Audit Trail</w:t>
      </w:r>
    </w:p>
    <w:p>
      <w:r>
        <w:rPr>
          <w:i/>
          <w:color w:val="555555"/>
          <w:sz w:val="19"/>
        </w:rPr>
        <w:t>A unified log of all overrides, changes, and decisions across all stages. Separate from the issued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2880"/>
        <w:gridCol w:w="4032"/>
      </w:tblGrid>
      <w:tr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Event Type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Triggered By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What is Recorded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Sensitivity Override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Observation, system recommendation + basis, auditor selection, timestamp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COSO Change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Observation, previous COSO, new COSO, timestamp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SRR Reassignment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Auditor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Observation, original auto-matched SRR, new SRR or custom risk, note, timestamp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Wording Change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System (auto)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Observation, original text, edited text, detected at timestamp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Auditee Response Amendment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or HO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Observation, original response, amended response, evidence file reference, who amended, timestamp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Send Back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 or HO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Stage, observations flagged, comments per observation, timestamp</w:t>
            </w:r>
          </w:p>
        </w:tc>
      </w:tr>
    </w:tbl>
    <w:p/>
    <w:p>
      <w:r>
        <w:rPr>
          <w:b/>
          <w:color w:val="1A3A5C"/>
          <w:sz w:val="22"/>
        </w:rPr>
        <w:t>Audit Trail Features</w:t>
      </w:r>
    </w:p>
    <w:p>
      <w:pPr>
        <w:pStyle w:val="ListBullet"/>
        <w:ind w:left="432"/>
      </w:pPr>
      <w:r>
        <w:rPr>
          <w:color w:val="2A3A50"/>
          <w:sz w:val="19"/>
        </w:rPr>
        <w:t>Viewable as filterable list inside the system (filter by event type, observation, date, stage)</w:t>
      </w:r>
    </w:p>
    <w:p>
      <w:pPr>
        <w:pStyle w:val="ListBullet"/>
        <w:ind w:left="432"/>
      </w:pPr>
      <w:r>
        <w:rPr>
          <w:color w:val="2A3A50"/>
          <w:sz w:val="19"/>
        </w:rPr>
        <w:t>Downloadable as CSV/Excel for permanent external record</w:t>
      </w:r>
    </w:p>
    <w:p>
      <w:pPr>
        <w:pStyle w:val="ListBullet"/>
        <w:ind w:left="432"/>
      </w:pPr>
      <w:r>
        <w:rPr>
          <w:color w:val="2A3A50"/>
          <w:sz w:val="19"/>
        </w:rPr>
        <w:t>Persistent via browser localStorage (key: sa_audit_trail)</w:t>
      </w:r>
    </w:p>
    <w:p>
      <w:pPr>
        <w:pStyle w:val="ListBullet"/>
        <w:ind w:left="432"/>
      </w:pPr>
      <w:r>
        <w:rPr>
          <w:color w:val="2A3A50"/>
          <w:sz w:val="19"/>
        </w:rPr>
        <w:t>Accessible via dedicated Audit Trail button in index.html toolbar</w:t>
      </w:r>
    </w:p>
    <w:p>
      <w:pPr>
        <w:pStyle w:val="ListBullet"/>
        <w:ind w:left="432"/>
      </w:pPr>
      <w:r>
        <w:rPr>
          <w:color w:val="2A3A50"/>
          <w:sz w:val="19"/>
        </w:rPr>
        <w:t>All events from all stages — auditor, RO, HO — captured in one unified trail</w:t>
      </w:r>
    </w:p>
    <w:p>
      <w:r>
        <w:br w:type="page"/>
      </w:r>
    </w:p>
    <w:p>
      <w:r>
        <w:rPr>
          <w:b/>
          <w:color w:val="1A3A5C"/>
          <w:sz w:val="26"/>
        </w:rPr>
        <w:t>SECTION 9 — Implementation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52"/>
        <w:gridCol w:w="5040"/>
        <w:gridCol w:w="3888"/>
      </w:tblGrid>
      <w:tr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20"/>
            <w:shd w:val="clear" w:color="auto" w:fill="1A3A5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1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Wire Diligent Impact &amp; Likelihood into Area Weight (Part 1 formula)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✔ Complete</w:t>
            </w:r>
          </w:p>
        </w:tc>
      </w:tr>
      <w:tr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2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Build Part 2 system recommendation engine (Branch History + Diligent + Materiality)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✔ Complete</w:t>
            </w:r>
          </w:p>
        </w:tc>
      </w:tr>
      <w:tr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3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Sensitivity confirmation prompt + Audit Trail logging for overrides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✔ Complete</w:t>
            </w:r>
          </w:p>
        </w:tc>
      </w:tr>
      <w:tr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4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COSO change logging to Audit Trail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✔ Complete</w:t>
            </w:r>
          </w:p>
        </w:tc>
      </w:tr>
      <w:tr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5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Audit Trail panel in index.html (view, filter, export CSV)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✔ Complete</w:t>
            </w:r>
          </w:p>
        </w:tc>
      </w:tr>
      <w:tr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6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SRR Mapping tab integrated inside index.html with Audit Trail integration</w:t>
            </w:r>
          </w:p>
        </w:tc>
        <w:tc>
          <w:tcPr>
            <w:tcW w:type="dxa" w:w="3120"/>
            <w:shd w:val="clear" w:color="auto" w:fill="E8F8E8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✔ Complete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7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Wording change auto-detection (obsEdits vs original DB.observations)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Pending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8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RO/HO auditee response amendment with evidence attachment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Pending</w:t>
            </w:r>
          </w:p>
        </w:tc>
      </w:tr>
      <w:tr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9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bss_reviewer.html — RO/HO reviewer file (stage-aware, review-only interface)</w:t>
            </w:r>
          </w:p>
        </w:tc>
        <w:tc>
          <w:tcPr>
            <w:tcW w:type="dxa" w:w="3120"/>
            <w:shd w:val="clear" w:color="auto" w:fill="F5F8FC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Pending</w:t>
            </w:r>
          </w:p>
        </w:tc>
      </w:tr>
      <w:tr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10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Send Back mechanism — Auditor correction view + RO/HO re-receive view with comments</w:t>
            </w:r>
          </w:p>
        </w:tc>
        <w:tc>
          <w:tcPr>
            <w:tcW w:type="dxa" w:w="3120"/>
            <w:shd w:val="clear" w:color="auto" w:fill="EBF2FA"/>
            <w:tcBorders>
              <w:top w:val="single" w:sz="4" w:color="B0C4DE"/>
              <w:left w:val="single" w:sz="4" w:color="B0C4DE"/>
              <w:bottom w:val="single" w:sz="4" w:color="B0C4DE"/>
              <w:right w:val="single" w:sz="4" w:color="B0C4DE"/>
            </w:tcBorders>
            <w:vAlign w:val="center"/>
          </w:tcPr>
          <w:p>
            <w:r>
              <w:rPr>
                <w:color w:val="2A3A50"/>
                <w:sz w:val="19"/>
              </w:rPr>
              <w:t>Pending</w:t>
            </w:r>
          </w:p>
        </w:tc>
      </w:tr>
    </w:tbl>
    <w:p/>
    <w:p>
      <w:pPr>
        <w:jc w:val="center"/>
      </w:pPr>
      <w:r>
        <w:rPr>
          <w:i/>
          <w:color w:val="AAAAAA"/>
          <w:sz w:val="16"/>
        </w:rPr>
        <w:t>BSS Audit Management System  |  Risk Assessment &amp; Review Framework v3.0  |  June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