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0F2540"/>
            <w:tcBorders>
              <w:top w:val="single" w:sz="18" w:space="0" w:color="C9962A"/>
              <w:bottom w:val="single" w:sz="18" w:space="0" w:color="C9962A"/>
              <w:left w:val="single" w:sz="18" w:space="0" w:color="C9962A"/>
              <w:right w:val="single" w:sz="18" w:space="0" w:color="C9962A"/>
            </w:tcBorders>
          </w:tcPr>
          <w:p/>
          <w:p>
            <w:pPr>
              <w:spacing w:before="360" w:after="40"/>
              <w:jc w:val="center"/>
            </w:pPr>
            <w:r>
              <w:rPr>
                <w:rFonts w:ascii="Calibri" w:hAnsi="Calibri"/>
                <w:b/>
                <w:color w:val="FFFFFF"/>
                <w:sz w:val="12"/>
              </w:rPr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b/>
                <w:color w:val="C9962A"/>
                <w:sz w:val="44"/>
              </w:rPr>
              <w:t>BHS INTERNAL AUDIT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Audit Report Interface Application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 w:val="0"/>
                <w:color w:val="AAC4E0"/>
                <w:sz w:val="24"/>
              </w:rPr>
              <w:t>Feature Reference Document</w:t>
            </w:r>
          </w:p>
          <w:p>
            <w:pPr>
              <w:spacing w:before="0" w:after="280"/>
              <w:jc w:val="center"/>
            </w:pPr>
            <w:r>
              <w:rPr>
                <w:rFonts w:ascii="Calibri" w:hAnsi="Calibri"/>
                <w:b/>
                <w:color w:val="FFFFFF"/>
                <w:sz w:val="12"/>
              </w:rPr>
            </w:r>
          </w:p>
          <w:p>
            <w:pPr>
              <w:spacing w:before="0" w:after="320"/>
              <w:jc w:val="center"/>
            </w:pPr>
            <w:r>
              <w:rPr>
                <w:rFonts w:ascii="Calibri" w:hAnsi="Calibri"/>
                <w:b w:val="0"/>
                <w:color w:val="88AACC"/>
                <w:sz w:val="20"/>
              </w:rPr>
              <w:t>Version 1.0  |  June 2025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1A3A5C"/>
            <w:tcBorders>
              <w:left w:val="single" w:sz="18" w:space="0" w:color="C9962A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>1 📋  Application Overview</w:t>
            </w:r>
          </w:p>
        </w:tc>
      </w:tr>
    </w:tbl>
    <w:p/>
    <w:p>
      <w:pPr>
        <w:spacing w:before="60" w:after="120"/>
      </w:pPr>
      <w:r>
        <w:rPr>
          <w:rFonts w:ascii="Calibri" w:hAnsi="Calibri"/>
          <w:color w:val="1E2D40"/>
          <w:sz w:val="21"/>
        </w:rPr>
        <w:t>The BHS Audit Report Interface is a fully self-contained, browser-based application designed to streamline the preparation, management, and communication of internal audit reports for Beaconhouse School System (BHS) branches. It requires no server, no installation, and no internet connection — open the HTML file in any modern browser and start working immediately.</w:t>
      </w:r>
    </w:p>
    <w:p>
      <w:pPr>
        <w:spacing w:before="60" w:after="120"/>
      </w:pPr>
      <w:r>
        <w:rPr>
          <w:rFonts w:ascii="Calibri" w:hAnsi="Calibri"/>
          <w:color w:val="1E2D40"/>
          <w:sz w:val="21"/>
        </w:rPr>
        <w:t>The application integrates the complete audit workflow: building structured reports from a databank of 350+ observations, tracking work progress, assessing branch risk, generating auditee response forms, and producing final documents — all within a single 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304"/>
            <w:shd w:val="clear" w:color="auto" w:fill="1A3A5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4176"/>
            <w:shd w:val="clear" w:color="auto" w:fill="1A3A5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592"/>
            <w:shd w:val="clear" w:color="auto" w:fill="1A3A5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Key Output</w:t>
            </w:r>
          </w:p>
        </w:tc>
      </w:tr>
      <w:tr>
        <w:tc>
          <w:tcPr>
            <w:tcW w:type="dxa" w:w="2304"/>
            <w:shd w:val="clear" w:color="auto" w:fill="F3F5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A3A5C"/>
                <w:sz w:val="20"/>
              </w:rPr>
              <w:t>Report Builder</w:t>
            </w:r>
          </w:p>
        </w:tc>
        <w:tc>
          <w:tcPr>
            <w:tcW w:type="dxa" w:w="4176"/>
            <w:shd w:val="clear" w:color="auto" w:fill="F3F5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1E2D40"/>
                <w:sz w:val="20"/>
              </w:rPr>
              <w:t>Select and configure audit observations</w:t>
            </w:r>
          </w:p>
        </w:tc>
        <w:tc>
          <w:tcPr>
            <w:tcW w:type="dxa" w:w="2592"/>
            <w:shd w:val="clear" w:color="auto" w:fill="F3F5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1E2D40"/>
                <w:sz w:val="20"/>
              </w:rPr>
              <w:t>Formatted audit report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A3A5C"/>
                <w:sz w:val="20"/>
              </w:rPr>
              <w:t>Auditee Copy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1E2D40"/>
                <w:sz w:val="20"/>
              </w:rPr>
              <w:t>Generate response form for branch management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1E2D40"/>
                <w:sz w:val="20"/>
              </w:rPr>
              <w:t>Printable/email-ready form</w:t>
            </w:r>
          </w:p>
        </w:tc>
      </w:tr>
      <w:tr>
        <w:tc>
          <w:tcPr>
            <w:tcW w:type="dxa" w:w="2304"/>
            <w:shd w:val="clear" w:color="auto" w:fill="F3F5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A3A5C"/>
                <w:sz w:val="20"/>
              </w:rPr>
              <w:t>Audit Work Status</w:t>
            </w:r>
          </w:p>
        </w:tc>
        <w:tc>
          <w:tcPr>
            <w:tcW w:type="dxa" w:w="4176"/>
            <w:shd w:val="clear" w:color="auto" w:fill="F3F5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1E2D40"/>
                <w:sz w:val="20"/>
              </w:rPr>
              <w:t>Track completion progress category by category</w:t>
            </w:r>
          </w:p>
        </w:tc>
        <w:tc>
          <w:tcPr>
            <w:tcW w:type="dxa" w:w="2592"/>
            <w:shd w:val="clear" w:color="auto" w:fill="F3F5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1E2D40"/>
                <w:sz w:val="20"/>
              </w:rPr>
              <w:t>Progress dashboard &amp; charts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A3A5C"/>
                <w:sz w:val="20"/>
              </w:rPr>
              <w:t>Risk Assessment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1E2D40"/>
                <w:sz w:val="20"/>
              </w:rPr>
              <w:t>Analyse previous reports for next-audit risk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1E2D40"/>
                <w:sz w:val="20"/>
              </w:rPr>
              <w:t>Risk matrix &amp; recommendations</w:t>
            </w:r>
          </w:p>
        </w:tc>
      </w:tr>
      <w:tr>
        <w:tc>
          <w:tcPr>
            <w:tcW w:type="dxa" w:w="2304"/>
            <w:shd w:val="clear" w:color="auto" w:fill="F3F5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A3A5C"/>
                <w:sz w:val="20"/>
              </w:rPr>
              <w:t>Draft by Category</w:t>
            </w:r>
          </w:p>
        </w:tc>
        <w:tc>
          <w:tcPr>
            <w:tcW w:type="dxa" w:w="4176"/>
            <w:shd w:val="clear" w:color="auto" w:fill="F3F5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1E2D40"/>
                <w:sz w:val="20"/>
              </w:rPr>
              <w:t>Generate working draft reports per category</w:t>
            </w:r>
          </w:p>
        </w:tc>
        <w:tc>
          <w:tcPr>
            <w:tcW w:type="dxa" w:w="2592"/>
            <w:shd w:val="clear" w:color="auto" w:fill="F3F5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1E2D40"/>
                <w:sz w:val="20"/>
              </w:rPr>
              <w:t>Category-wise draft document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A3A5C"/>
                <w:sz w:val="20"/>
              </w:rPr>
              <w:t>Compare Report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1E2D40"/>
                <w:sz w:val="20"/>
              </w:rPr>
              <w:t>Compare current report against a saved session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1E2D40"/>
                <w:sz w:val="20"/>
              </w:rPr>
              <w:t>Side-by-side gap analysis</w:t>
            </w:r>
          </w:p>
        </w:tc>
      </w:tr>
      <w:tr>
        <w:tc>
          <w:tcPr>
            <w:tcW w:type="dxa" w:w="2304"/>
            <w:shd w:val="clear" w:color="auto" w:fill="F3F5F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A3A5C"/>
                <w:sz w:val="20"/>
              </w:rPr>
              <w:t>Response Loader</w:t>
            </w:r>
          </w:p>
        </w:tc>
        <w:tc>
          <w:tcPr>
            <w:tcW w:type="dxa" w:w="4176"/>
            <w:shd w:val="clear" w:color="auto" w:fill="F3F5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1E2D40"/>
                <w:sz w:val="20"/>
              </w:rPr>
              <w:t>Import BH/RO responses into the live report</w:t>
            </w:r>
          </w:p>
        </w:tc>
        <w:tc>
          <w:tcPr>
            <w:tcW w:type="dxa" w:w="2592"/>
            <w:shd w:val="clear" w:color="auto" w:fill="F3F5F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1E2D40"/>
                <w:sz w:val="20"/>
              </w:rPr>
              <w:t>Merged response view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A3A5C"/>
                <w:sz w:val="20"/>
              </w:rPr>
              <w:t>Version History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1E2D40"/>
                <w:sz w:val="20"/>
              </w:rPr>
              <w:t>Save and restore multiple report versions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1E2D40"/>
                <w:sz w:val="20"/>
              </w:rPr>
              <w:t>Timestamped save slots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1A3A5C"/>
            <w:tcBorders>
              <w:left w:val="single" w:sz="18" w:space="0" w:color="C9962A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>2 📝  Report Builder</w:t>
            </w:r>
          </w:p>
        </w:tc>
      </w:tr>
    </w:tbl>
    <w:p/>
    <w:p>
      <w:pPr>
        <w:spacing w:before="60" w:after="120"/>
      </w:pPr>
      <w:r>
        <w:rPr>
          <w:rFonts w:ascii="Calibri" w:hAnsi="Calibri"/>
          <w:color w:val="1E2D40"/>
          <w:sz w:val="21"/>
        </w:rPr>
        <w:t>The Report Builder is the core of the application. Auditors use it to construct a complete, professionally formatted audit report by selecting relevant observations from the BHS databank and configuring branch-specific information.</w:t>
      </w:r>
    </w:p>
    <w:p>
      <w:pPr>
        <w:spacing w:before="200" w:after="60"/>
      </w:pPr>
      <w:r>
        <w:rPr>
          <w:rFonts w:ascii="Calibri" w:hAnsi="Calibri"/>
          <w:b/>
          <w:color w:val="1A3A5C"/>
          <w:sz w:val="22"/>
        </w:rPr>
        <w:t>Branch &amp; Report Information</w:t>
      </w:r>
    </w:p>
    <w:p>
      <w:pPr>
        <w:spacing w:before="0" w:after="100"/>
      </w:pPr>
      <w:r>
        <w:rPr>
          <w:color w:val="C9962A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Branch code, name, region, and city with auto-fill from the built-in branch directory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Audit type (Routine, Special, Follow-up, etc.)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Report date, audit period (from/to), visit dates, and previous audit date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Audit framework reference (e.g. COSO Internal Control Framework)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Prepared By — configurable auditor name dropdown</w:t>
      </w:r>
    </w:p>
    <w:p>
      <w:pPr>
        <w:spacing w:before="80" w:after="120"/>
        <w:ind w:left="288"/>
        <w:shd w:val="clear" w:color="auto" w:fill="F0F5FF"/>
      </w:pPr>
      <w:r>
        <w:rPr>
          <w:rFonts w:ascii="Calibri" w:hAnsi="Calibri"/>
          <w:i/>
          <w:color w:val="1A3A5C"/>
          <w:sz w:val="20"/>
        </w:rPr>
        <w:t>ℹ  All branch fields are auto-locked once the report is generated to prevent accidental changes. An override unlock button is available.</w:t>
      </w:r>
    </w:p>
    <w:p>
      <w:pPr>
        <w:spacing w:before="200" w:after="60"/>
      </w:pPr>
      <w:r>
        <w:rPr>
          <w:rFonts w:ascii="Calibri" w:hAnsi="Calibri"/>
          <w:b/>
          <w:color w:val="1A3A5C"/>
          <w:sz w:val="22"/>
        </w:rPr>
        <w:t>Observation Databank (350+ Entries)</w:t>
      </w:r>
    </w:p>
    <w:p>
      <w:pPr>
        <w:spacing w:before="0" w:after="100"/>
      </w:pPr>
      <w:r>
        <w:rPr>
          <w:color w:val="C9962A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Over 350 pre-defined observations across 9 audit categories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Each observation includes: title, detailed finding, criteria/requirement, recommendation, and department/process tags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Full-text search with keyword scoring — finds relevant observations as you type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Category filter to browse specific audit areas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Type classification: New or Repeated — displayed as colour-coded pills on each selected observation</w:t>
      </w:r>
    </w:p>
    <w:p>
      <w:pPr>
        <w:spacing w:before="80" w:after="120"/>
        <w:ind w:left="288"/>
        <w:shd w:val="clear" w:color="auto" w:fill="F0F5FF"/>
      </w:pPr>
      <w:r>
        <w:rPr>
          <w:rFonts w:ascii="Calibri" w:hAnsi="Calibri"/>
          <w:i/>
          <w:color w:val="1A3A5C"/>
          <w:sz w:val="20"/>
        </w:rPr>
        <w:t>ℹ  The nine canonical categories are: Branch Imprest/Payments &amp; Accounts; Cash &amp; Bank; Recruitment, Payroll &amp; Employee Record; Student Record; Fixed Assets; Library; Science Laboratory; Safety &amp; Security; Others.</w:t>
      </w:r>
    </w:p>
    <w:p>
      <w:pPr>
        <w:spacing w:before="200" w:after="60"/>
      </w:pPr>
      <w:r>
        <w:rPr>
          <w:rFonts w:ascii="Calibri" w:hAnsi="Calibri"/>
          <w:b/>
          <w:color w:val="1A3A5C"/>
          <w:sz w:val="22"/>
        </w:rPr>
        <w:t>Observation Configuration Per Entry</w:t>
      </w:r>
    </w:p>
    <w:p>
      <w:pPr>
        <w:spacing w:before="0" w:after="100"/>
      </w:pPr>
      <w:r>
        <w:rPr>
          <w:color w:val="C9962A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Inline title and body editing — modify any observation text for branch-specific accuracy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Sensitivity level: Routine / Significant / Critical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COSO component tagging (Control Environment, Risk Assessment, Control Activities, etc.)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Auditee Management Action input (committed resolution step)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Added Value / Benefit statement field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Reference document attachment field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Annexure linking — attach supporting evidence annexures to any observation</w:t>
      </w:r>
    </w:p>
    <w:p>
      <w:pPr>
        <w:spacing w:before="200" w:after="60"/>
      </w:pPr>
      <w:r>
        <w:rPr>
          <w:rFonts w:ascii="Calibri" w:hAnsi="Calibri"/>
          <w:b/>
          <w:color w:val="1A3A5C"/>
          <w:sz w:val="22"/>
        </w:rPr>
        <w:t>Report Generation</w:t>
      </w:r>
    </w:p>
    <w:p>
      <w:pPr>
        <w:spacing w:before="0" w:after="100"/>
      </w:pPr>
      <w:r>
        <w:rPr>
          <w:color w:val="C9962A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Pending-change queue — additions and removals are staged before confirmation, preventing accidental report modifications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One-click Generate / Refresh Report renders all selected observations into a formatted report view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Report automatically groups observations by category in the canonical order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Each category group shows: category heading, sub-heading, observation count, repeated/new split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Two classification sections per report: New Observations and Repeated Observations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Annexure section rendered at the end with all linked evidence documents</w:t>
      </w:r>
    </w:p>
    <w:p>
      <w:pPr>
        <w:spacing w:before="200" w:after="60"/>
      </w:pPr>
      <w:r>
        <w:rPr>
          <w:rFonts w:ascii="Calibri" w:hAnsi="Calibri"/>
          <w:b/>
          <w:color w:val="1A3A5C"/>
          <w:sz w:val="22"/>
        </w:rPr>
        <w:t>Report Export Options</w:t>
      </w:r>
    </w:p>
    <w:p>
      <w:pPr>
        <w:spacing w:before="0" w:after="100"/>
      </w:pPr>
      <w:r>
        <w:rPr>
          <w:color w:val="C9962A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Copy to Clipboard — copies the full formatted report as rich text for pasting into Word or email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Print / Save as PDF — the print layout hides all UI chrome and formats the report cleanly for A4 paper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Finalize &amp; Save — stores the completed report with a timestamp and branch metadata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1A3A5C"/>
            <w:tcBorders>
              <w:left w:val="single" w:sz="18" w:space="0" w:color="C9962A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>3 📧  Auditee Response Form</w:t>
            </w:r>
          </w:p>
        </w:tc>
      </w:tr>
    </w:tbl>
    <w:p/>
    <w:p>
      <w:pPr>
        <w:spacing w:before="60" w:after="120"/>
      </w:pPr>
      <w:r>
        <w:rPr>
          <w:rFonts w:ascii="Calibri" w:hAnsi="Calibri"/>
          <w:color w:val="1E2D40"/>
          <w:sz w:val="21"/>
        </w:rPr>
        <w:t>The Auditee Copy feature generates a standalone response document that is sent to branch management after the audit. It presents each observation in a readable format and provides structured fields for the branch to formally respond.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Generates a self-contained HTML file that can be printed, emailed, or filled in a browser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Each observation is displayed with its full finding, criteria, and recommendation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Branch management fills in a free-text Response / Comments box per observation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Estimated Time to Resolve field — branch commits to a specific timeframe (e.g. "2 weeks", "by 31-Dec-2025")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A single Download Response button packages all responses into a JSON file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Two variants: Branch Head (BH) copy and Regional Office/Head Office (RO/HO) copy — each loads separately without affecting the other</w:t>
      </w:r>
    </w:p>
    <w:p>
      <w:pPr>
        <w:spacing w:before="80" w:after="120"/>
        <w:ind w:left="288"/>
        <w:shd w:val="clear" w:color="auto" w:fill="F0F5FF"/>
      </w:pPr>
      <w:r>
        <w:rPr>
          <w:rFonts w:ascii="Calibri" w:hAnsi="Calibri"/>
          <w:i/>
          <w:color w:val="1A3A5C"/>
          <w:sz w:val="20"/>
        </w:rPr>
        <w:t>ℹ  When a response file is loaded back into the Report Builder, the responses appear under the correct BH or RO heading only — cross-contamination between the two response streams has been fully prevented.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1A3A5C"/>
            <w:tcBorders>
              <w:left w:val="single" w:sz="18" w:space="0" w:color="C9962A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>4 ✅  Audit Work Status</w:t>
            </w:r>
          </w:p>
        </w:tc>
      </w:tr>
    </w:tbl>
    <w:p/>
    <w:p>
      <w:pPr>
        <w:spacing w:before="60" w:after="120"/>
      </w:pPr>
      <w:r>
        <w:rPr>
          <w:rFonts w:ascii="Calibri" w:hAnsi="Calibri"/>
          <w:color w:val="1E2D40"/>
          <w:sz w:val="21"/>
        </w:rPr>
        <w:t>The Audit Work Status panel is an embedded checklist tool that lets the audit team monitor their own field work progress in real time — tracking which observations have been checked, which are clear, and which carry findings.</w:t>
      </w:r>
    </w:p>
    <w:p>
      <w:pPr>
        <w:spacing w:before="200" w:after="60"/>
      </w:pPr>
      <w:r>
        <w:rPr>
          <w:rFonts w:ascii="Calibri" w:hAnsi="Calibri"/>
          <w:b/>
          <w:color w:val="1A3A5C"/>
          <w:sz w:val="22"/>
        </w:rPr>
        <w:t>Category-wise Observation Checklist</w:t>
      </w:r>
    </w:p>
    <w:p>
      <w:pPr>
        <w:spacing w:before="0" w:after="100"/>
      </w:pPr>
      <w:r>
        <w:rPr>
          <w:color w:val="C9962A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All 350+ observations listed category by category in the canonical order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Each observation has a status dropdown with five states:</w:t>
      </w:r>
    </w:p>
    <w:p>
      <w:pPr>
        <w:pStyle w:val="ListBullet"/>
        <w:spacing w:before="20" w:after="40"/>
        <w:ind w:left="792"/>
      </w:pPr>
      <w:r>
        <w:rPr>
          <w:rFonts w:ascii="Calibri" w:hAnsi="Calibri"/>
          <w:color w:val="1E2D40"/>
          <w:sz w:val="21"/>
        </w:rPr>
        <w:t>Not Started — work has not begun on this item</w:t>
      </w:r>
    </w:p>
    <w:p>
      <w:pPr>
        <w:pStyle w:val="ListBullet"/>
        <w:spacing w:before="20" w:after="40"/>
        <w:ind w:left="792"/>
      </w:pPr>
      <w:r>
        <w:rPr>
          <w:rFonts w:ascii="Calibri" w:hAnsi="Calibri"/>
          <w:color w:val="1E2D40"/>
          <w:sz w:val="21"/>
        </w:rPr>
        <w:t>In Progress — currently being examined</w:t>
      </w:r>
    </w:p>
    <w:p>
      <w:pPr>
        <w:pStyle w:val="ListBullet"/>
        <w:spacing w:before="20" w:after="40"/>
        <w:ind w:left="792"/>
      </w:pPr>
      <w:r>
        <w:rPr>
          <w:rFonts w:ascii="Calibri" w:hAnsi="Calibri"/>
          <w:color w:val="1E2D40"/>
          <w:sz w:val="21"/>
        </w:rPr>
        <w:t>Checked with Observation — reviewed; a finding has been identified (amber highlight)</w:t>
      </w:r>
    </w:p>
    <w:p>
      <w:pPr>
        <w:pStyle w:val="ListBullet"/>
        <w:spacing w:before="20" w:after="40"/>
        <w:ind w:left="792"/>
      </w:pPr>
      <w:r>
        <w:rPr>
          <w:rFonts w:ascii="Calibri" w:hAnsi="Calibri"/>
          <w:color w:val="1E2D40"/>
          <w:sz w:val="21"/>
        </w:rPr>
        <w:t>Checked &amp; Clear — reviewed; no issue found (green highlight)</w:t>
      </w:r>
    </w:p>
    <w:p>
      <w:pPr>
        <w:pStyle w:val="ListBullet"/>
        <w:spacing w:before="20" w:after="40"/>
        <w:ind w:left="792"/>
      </w:pPr>
      <w:r>
        <w:rPr>
          <w:rFonts w:ascii="Calibri" w:hAnsi="Calibri"/>
          <w:color w:val="1E2D40"/>
          <w:sz w:val="21"/>
        </w:rPr>
        <w:t>Not Applicable — this observation does not apply to this branch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Remark field per observation for internal audit team notes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Auto-sync with Report Builder: observations already added to the audit report are automatically marked "Checked with Observation" when the Work Status panel opens</w:t>
      </w:r>
    </w:p>
    <w:p>
      <w:pPr>
        <w:spacing w:before="200" w:after="60"/>
      </w:pPr>
      <w:r>
        <w:rPr>
          <w:rFonts w:ascii="Calibri" w:hAnsi="Calibri"/>
          <w:b/>
          <w:color w:val="1A3A5C"/>
          <w:sz w:val="22"/>
        </w:rPr>
        <w:t>Progress Dashboard</w:t>
      </w:r>
    </w:p>
    <w:p>
      <w:pPr>
        <w:spacing w:before="0" w:after="100"/>
      </w:pPr>
      <w:r>
        <w:rPr>
          <w:color w:val="C9962A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Heat-map grid: one tile per category, colour-coded from red (0%) to green (100%)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Each tile shows the completion percentage and observation count for that category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Click any heat-map tile to scroll directly to that category in the checklist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Overall progress bar showing total checked vs. total observations</w:t>
      </w:r>
    </w:p>
    <w:p>
      <w:pPr>
        <w:spacing w:before="200" w:after="60"/>
      </w:pPr>
      <w:r>
        <w:rPr>
          <w:rFonts w:ascii="Calibri" w:hAnsi="Calibri"/>
          <w:b/>
          <w:color w:val="1A3A5C"/>
          <w:sz w:val="22"/>
        </w:rPr>
        <w:t>Progress Report</w:t>
      </w:r>
    </w:p>
    <w:p>
      <w:pPr>
        <w:spacing w:before="0" w:after="100"/>
      </w:pPr>
      <w:r>
        <w:rPr>
          <w:color w:val="C9962A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Tabular report: category-wise counts of each status type with colour-coded cells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Visual bar chart showing percentage done per category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Branch info bar at the top showing branch code, name, region, and city pulled automatically from the main report fields</w:t>
      </w:r>
    </w:p>
    <w:p>
      <w:pPr>
        <w:spacing w:before="80" w:after="120"/>
        <w:ind w:left="288"/>
        <w:shd w:val="clear" w:color="auto" w:fill="F0F5FF"/>
      </w:pPr>
      <w:r>
        <w:rPr>
          <w:rFonts w:ascii="Calibri" w:hAnsi="Calibri"/>
          <w:i/>
          <w:color w:val="1A3A5C"/>
          <w:sz w:val="20"/>
        </w:rPr>
        <w:t>ℹ  Work Status data is stored in browser localStorage (key: bhs_aws_v1_data) and persists between sessions on the same browser.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1A3A5C"/>
            <w:tcBorders>
              <w:left w:val="single" w:sz="18" w:space="0" w:color="C9962A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>5 📊  Risk Assessment Tool</w:t>
            </w:r>
          </w:p>
        </w:tc>
      </w:tr>
    </w:tbl>
    <w:p/>
    <w:p>
      <w:pPr>
        <w:spacing w:before="60" w:after="120"/>
      </w:pPr>
      <w:r>
        <w:rPr>
          <w:rFonts w:ascii="Calibri" w:hAnsi="Calibri"/>
          <w:color w:val="1E2D40"/>
          <w:sz w:val="21"/>
        </w:rPr>
        <w:t>The Risk Assessment tab analyses previous audit reports to compute a risk profile for each category and generate prioritised focus recommendations for the upcoming audit visit.</w:t>
      </w:r>
    </w:p>
    <w:p>
      <w:pPr>
        <w:spacing w:before="200" w:after="60"/>
      </w:pPr>
      <w:r>
        <w:rPr>
          <w:rFonts w:ascii="Calibri" w:hAnsi="Calibri"/>
          <w:b/>
          <w:color w:val="1A3A5C"/>
          <w:sz w:val="22"/>
        </w:rPr>
        <w:t>Data Input</w:t>
      </w:r>
    </w:p>
    <w:p>
      <w:pPr>
        <w:spacing w:before="0" w:after="100"/>
      </w:pPr>
      <w:r>
        <w:rPr>
          <w:color w:val="C9962A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Branch selector with auto-fill of region and city from the built-in branch directory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File loader supporting Word (.docx), Excel (.xlsx), JSON session exports, and plain text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Multiple files can be loaded simultaneously for trend analysis across two audit cycles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Paste text directly into a text area if no digital file is available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Audit type and Prepared By fields for report header customisation</w:t>
      </w:r>
    </w:p>
    <w:p>
      <w:pPr>
        <w:spacing w:before="200" w:after="60"/>
      </w:pPr>
      <w:r>
        <w:rPr>
          <w:rFonts w:ascii="Calibri" w:hAnsi="Calibri"/>
          <w:b/>
          <w:color w:val="1A3A5C"/>
          <w:sz w:val="22"/>
        </w:rPr>
        <w:t>Risk Scoring Engine</w:t>
      </w:r>
    </w:p>
    <w:p>
      <w:pPr>
        <w:spacing w:before="0" w:after="100"/>
      </w:pPr>
      <w:r>
        <w:rPr>
          <w:color w:val="C9962A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Seven risk categories analysed: Financial Management, HR &amp; Payroll, Safety &amp; Security, Fixed Assets &amp; Inventory, Library &amp; Records, Student Records &amp; Fee, General Administration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Each category is scored 0–100 using four weighted factors:</w:t>
      </w:r>
    </w:p>
    <w:p>
      <w:pPr>
        <w:pStyle w:val="ListBullet"/>
        <w:spacing w:before="20" w:after="40"/>
        <w:ind w:left="792"/>
      </w:pPr>
      <w:r>
        <w:rPr>
          <w:rFonts w:ascii="Calibri" w:hAnsi="Calibri"/>
          <w:color w:val="1E2D40"/>
          <w:sz w:val="21"/>
        </w:rPr>
        <w:t>Observation Frequency (40 pts): how many findings landed in this category relative to total</w:t>
      </w:r>
    </w:p>
    <w:p>
      <w:pPr>
        <w:pStyle w:val="ListBullet"/>
        <w:spacing w:before="20" w:after="40"/>
        <w:ind w:left="792"/>
      </w:pPr>
      <w:r>
        <w:rPr>
          <w:rFonts w:ascii="Calibri" w:hAnsi="Calibri"/>
          <w:color w:val="1E2D40"/>
          <w:sz w:val="21"/>
        </w:rPr>
        <w:t>Recurrence Score (30 pts): proportion of findings that are repeated from prior audits</w:t>
      </w:r>
    </w:p>
    <w:p>
      <w:pPr>
        <w:pStyle w:val="ListBullet"/>
        <w:spacing w:before="20" w:after="40"/>
        <w:ind w:left="792"/>
      </w:pPr>
      <w:r>
        <w:rPr>
          <w:rFonts w:ascii="Calibri" w:hAnsi="Calibri"/>
          <w:color w:val="1E2D40"/>
          <w:sz w:val="21"/>
        </w:rPr>
        <w:t>Databank Weight Score (20 pts): how heavily this category features in the BHS historical databank</w:t>
      </w:r>
    </w:p>
    <w:p>
      <w:pPr>
        <w:pStyle w:val="ListBullet"/>
        <w:spacing w:before="20" w:after="40"/>
        <w:ind w:left="792"/>
      </w:pPr>
      <w:r>
        <w:rPr>
          <w:rFonts w:ascii="Calibri" w:hAnsi="Calibri"/>
          <w:color w:val="1E2D40"/>
          <w:sz w:val="21"/>
        </w:rPr>
        <w:t>Severity Bonus (10 pts): Safety &amp; Security receives an automatic inherent-risk premium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Score bands: Low (0–24), Medium (25–49), High (50–74), Critical (75–100)</w:t>
      </w:r>
    </w:p>
    <w:p>
      <w:pPr>
        <w:spacing w:before="200" w:after="60"/>
      </w:pPr>
      <w:r>
        <w:rPr>
          <w:rFonts w:ascii="Calibri" w:hAnsi="Calibri"/>
          <w:b/>
          <w:color w:val="1A3A5C"/>
          <w:sz w:val="22"/>
        </w:rPr>
        <w:t>Risk Output Panels</w:t>
      </w:r>
    </w:p>
    <w:p>
      <w:pPr>
        <w:spacing w:before="0" w:after="100"/>
      </w:pPr>
      <w:r>
        <w:rPr>
          <w:color w:val="C9962A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Overall Risk Score gauge — needle indicator on a 0–100 colour-gradient scale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Summary tiles: count of categories at each risk level (Critical / High / Medium / Low)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Category Risk Matrix table with score bar, risk badge, observation count, and databank count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Observation Frequency Bar Chart — horizontal bars per category with repeated-observation callout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Priority Focus Areas cards (top 5 categories) with explanation, score, and BHS databank checkpoints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Trend Analysis (when two reports are loaded): category-by-category worsening/improving arrows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Persistent / Repeated Issues card highlighting unresolved findings from prior audits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Specific Audit Recommendations numbered list with priority labelling and targeted checkpoints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1A3A5C"/>
            <w:tcBorders>
              <w:left w:val="single" w:sz="18" w:space="0" w:color="C9962A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>6 🔧  Additional Modules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A3A5C"/>
          <w:sz w:val="22"/>
        </w:rPr>
        <w:t>Draft by Category</w:t>
      </w:r>
    </w:p>
    <w:p>
      <w:pPr>
        <w:spacing w:before="0" w:after="100"/>
      </w:pPr>
      <w:r>
        <w:rPr>
          <w:color w:val="C9962A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60" w:after="120"/>
      </w:pPr>
      <w:r>
        <w:rPr>
          <w:rFonts w:ascii="Calibri" w:hAnsi="Calibri"/>
          <w:color w:val="1E2D40"/>
          <w:sz w:val="21"/>
        </w:rPr>
        <w:t>Generates a printable working draft report for a single selected category, useful for field reviews and category-level team assignments.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Category selector — choose any of the nine audit categories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Renders all selected observations for that category in a clean, print-ready layout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Includes branch info header and observation details with blank response fields for manual notes</w:t>
      </w:r>
    </w:p>
    <w:p>
      <w:pPr>
        <w:spacing w:before="200" w:after="60"/>
      </w:pPr>
      <w:r>
        <w:rPr>
          <w:rFonts w:ascii="Calibri" w:hAnsi="Calibri"/>
          <w:b/>
          <w:color w:val="1A3A5C"/>
          <w:sz w:val="22"/>
        </w:rPr>
        <w:t>Compare Report</w:t>
      </w:r>
    </w:p>
    <w:p>
      <w:pPr>
        <w:spacing w:before="0" w:after="100"/>
      </w:pPr>
      <w:r>
        <w:rPr>
          <w:color w:val="C9962A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60" w:after="120"/>
      </w:pPr>
      <w:r>
        <w:rPr>
          <w:rFonts w:ascii="Calibri" w:hAnsi="Calibri"/>
          <w:color w:val="1E2D40"/>
          <w:sz w:val="21"/>
        </w:rPr>
        <w:t>Allows the auditor to load a previously saved JSON session and compare it side-by-side against the current report.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Drag-and-drop or file-browse to load a saved session JSON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Category and status filters to focus the comparison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Colour-coded results: green = observation present in both; red = present in old but missing from new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Count badges per category showing how many observations match or are missing</w:t>
      </w:r>
    </w:p>
    <w:p>
      <w:pPr>
        <w:spacing w:before="200" w:after="60"/>
      </w:pPr>
      <w:r>
        <w:rPr>
          <w:rFonts w:ascii="Calibri" w:hAnsi="Calibri"/>
          <w:b/>
          <w:color w:val="1A3A5C"/>
          <w:sz w:val="22"/>
        </w:rPr>
        <w:t>Load Response</w:t>
      </w:r>
    </w:p>
    <w:p>
      <w:pPr>
        <w:spacing w:before="0" w:after="100"/>
      </w:pPr>
      <w:r>
        <w:rPr>
          <w:color w:val="C9962A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60" w:after="120"/>
      </w:pPr>
      <w:r>
        <w:rPr>
          <w:rFonts w:ascii="Calibri" w:hAnsi="Calibri"/>
          <w:color w:val="1E2D40"/>
          <w:sz w:val="21"/>
        </w:rPr>
        <w:t>Imports a JSON response file submitted by the branch (BH or RO/HO) into the live report.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Select the response type (Branch Head or Regional/Head Office) before loading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Responses populate automatically under the correct heading in the rendered report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Loading one type does not affect the other — both can coexist in the same report</w:t>
      </w:r>
    </w:p>
    <w:p>
      <w:pPr>
        <w:spacing w:before="200" w:after="60"/>
      </w:pPr>
      <w:r>
        <w:rPr>
          <w:rFonts w:ascii="Calibri" w:hAnsi="Calibri"/>
          <w:b/>
          <w:color w:val="1A3A5C"/>
          <w:sz w:val="22"/>
        </w:rPr>
        <w:t>Load Report</w:t>
      </w:r>
    </w:p>
    <w:p>
      <w:pPr>
        <w:spacing w:before="0" w:after="100"/>
      </w:pPr>
      <w:r>
        <w:rPr>
          <w:color w:val="C9962A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60" w:after="120"/>
      </w:pPr>
      <w:r>
        <w:rPr>
          <w:rFonts w:ascii="Calibri" w:hAnsi="Calibri"/>
          <w:color w:val="1E2D40"/>
          <w:sz w:val="21"/>
        </w:rPr>
        <w:t>Restores a previously exported report session, allowing work to continue across sessions or devices.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Accepts the JSON session file exported by Finalize &amp; Save or the version history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Fully restores: selected observations, branch info, type overrides, custom observations, responses, and annexures</w:t>
      </w:r>
    </w:p>
    <w:p>
      <w:pPr>
        <w:spacing w:before="200" w:after="60"/>
      </w:pPr>
      <w:r>
        <w:rPr>
          <w:rFonts w:ascii="Calibri" w:hAnsi="Calibri"/>
          <w:b/>
          <w:color w:val="1A3A5C"/>
          <w:sz w:val="22"/>
        </w:rPr>
        <w:t>Version History</w:t>
      </w:r>
    </w:p>
    <w:p>
      <w:pPr>
        <w:spacing w:before="0" w:after="100"/>
      </w:pPr>
      <w:r>
        <w:rPr>
          <w:color w:val="C9962A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60" w:after="120"/>
      </w:pPr>
      <w:r>
        <w:rPr>
          <w:rFonts w:ascii="Calibri" w:hAnsi="Calibri"/>
          <w:color w:val="1E2D40"/>
          <w:sz w:val="21"/>
        </w:rPr>
        <w:t>Manages multiple saved snapshots of the report within browser localStorage.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Up to several versions stored with timestamps and branch name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One-click restore to any previous version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Export any saved version as a standalone JSON session file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1A3A5C"/>
            <w:tcBorders>
              <w:left w:val="single" w:sz="18" w:space="0" w:color="C9962A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>7 ✨  Presentation &amp; Usability Features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A3A5C"/>
          <w:sz w:val="22"/>
        </w:rPr>
        <w:t>Animated Splash Screen</w:t>
      </w:r>
    </w:p>
    <w:p>
      <w:pPr>
        <w:spacing w:before="0" w:after="100"/>
      </w:pPr>
      <w:r>
        <w:rPr>
          <w:color w:val="C9962A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60" w:after="120"/>
      </w:pPr>
      <w:r>
        <w:rPr>
          <w:rFonts w:ascii="Calibri" w:hAnsi="Calibri"/>
          <w:color w:val="1E2D40"/>
          <w:sz w:val="21"/>
        </w:rPr>
        <w:t>A branded full-screen intro overlay appears on application load.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BHS Internal Audit logo with animated pulse effect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Animated gold progress bar that fills over 2.8 seconds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Auto-dismisses after 2.8 seconds; click anywhere to skip immediately</w:t>
      </w:r>
    </w:p>
    <w:p>
      <w:pPr>
        <w:spacing w:before="200" w:after="60"/>
      </w:pPr>
      <w:r>
        <w:rPr>
          <w:rFonts w:ascii="Calibri" w:hAnsi="Calibri"/>
          <w:b/>
          <w:color w:val="1A3A5C"/>
          <w:sz w:val="22"/>
        </w:rPr>
        <w:t>Demo Mode</w:t>
      </w:r>
    </w:p>
    <w:p>
      <w:pPr>
        <w:spacing w:before="0" w:after="100"/>
      </w:pPr>
      <w:r>
        <w:rPr>
          <w:color w:val="C9962A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60" w:after="120"/>
      </w:pPr>
      <w:r>
        <w:rPr>
          <w:rFonts w:ascii="Calibri" w:hAnsi="Calibri"/>
          <w:color w:val="1E2D40"/>
          <w:sz w:val="21"/>
        </w:rPr>
        <w:t>A single-click Demo button in the toolbar loads a complete realistic sample report for demonstration purposes.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Pre-fills: LMA 11-FCC Gulberg, Lahore (Branch 240, Center Region)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14 observations selected across 7 categories — a mix of New and Repeated findings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Renders the full report instantly with no manual data entry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Ideal for training sessions, stakeholder presentations, and system demonstrations</w:t>
      </w:r>
    </w:p>
    <w:p>
      <w:pPr>
        <w:spacing w:before="200" w:after="60"/>
      </w:pPr>
      <w:r>
        <w:rPr>
          <w:rFonts w:ascii="Calibri" w:hAnsi="Calibri"/>
          <w:b/>
          <w:color w:val="1A3A5C"/>
          <w:sz w:val="22"/>
        </w:rPr>
        <w:t>Visual Design</w:t>
      </w:r>
    </w:p>
    <w:p>
      <w:pPr>
        <w:spacing w:before="0" w:after="100"/>
      </w:pPr>
      <w:r>
        <w:rPr>
          <w:color w:val="C9962A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Navy-to-dark-navy gradient toolbar with a gold accent border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Smooth hover animations on all toolbar buttons (lift + shadow effect)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Panel fade-in animation when switching between Report, Work Status, and Risk Assessment views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Gold focus rings on all form inputs and dropdowns for accessibility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Colour-coded observation pills: green for New observations, red/amber for Repeated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Responsive layout adapts from wide-screen workstations to laptop displays</w:t>
      </w:r>
    </w:p>
    <w:p>
      <w:pPr>
        <w:spacing w:before="200" w:after="60"/>
      </w:pPr>
      <w:r>
        <w:rPr>
          <w:rFonts w:ascii="Calibri" w:hAnsi="Calibri"/>
          <w:b/>
          <w:color w:val="1A3A5C"/>
          <w:sz w:val="22"/>
        </w:rPr>
        <w:t>Print / PDF Export</w:t>
      </w:r>
    </w:p>
    <w:p>
      <w:pPr>
        <w:spacing w:before="0" w:after="100"/>
      </w:pPr>
      <w:r>
        <w:rPr>
          <w:color w:val="C9962A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Dedicated @media print CSS hides all UI chrome (toolbar, left panel, controls)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A4 page setup with 15 mm margins via @page rule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Proper page breaks around observation groups to prevent awkward splits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Category header colours preserved in PDF via print-color-adjust property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D40"/>
          <w:sz w:val="21"/>
        </w:rPr>
        <w:t>Clean observation blocks with border-left type indicator lines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1A3A5C"/>
            <w:tcBorders>
              <w:left w:val="single" w:sz="18" w:space="0" w:color="C9962A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>8 ⚙  Technical Specifications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1A3A5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A5C"/>
                <w:sz w:val="20"/>
              </w:rPr>
              <w:t>File Format</w:t>
            </w:r>
          </w:p>
        </w:tc>
        <w:tc>
          <w:tcPr>
            <w:tcW w:type="dxa" w:w="4514"/>
            <w:shd w:val="clear" w:color="auto" w:fill="1A3A5C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1E2D40"/>
                <w:sz w:val="20"/>
              </w:rPr>
              <w:t>Single self-contained HTML file — no dependencies, no CDN, no server required</w:t>
            </w:r>
          </w:p>
        </w:tc>
      </w:tr>
      <w:tr>
        <w:tc>
          <w:tcPr>
            <w:tcW w:type="dxa" w:w="4514"/>
            <w:shd w:val="clear" w:color="auto" w:fill="FFFFFF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A5C"/>
                <w:sz w:val="20"/>
              </w:rPr>
              <w:t>Browser Support</w:t>
            </w:r>
          </w:p>
        </w:tc>
        <w:tc>
          <w:tcPr>
            <w:tcW w:type="dxa" w:w="4514"/>
            <w:shd w:val="clear" w:color="auto" w:fill="FFFFFF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1E2D40"/>
                <w:sz w:val="20"/>
              </w:rPr>
              <w:t>Chrome 90+, Edge 90+, Firefox 88+, Safari 14+ (any modern browser)</w:t>
            </w:r>
          </w:p>
        </w:tc>
      </w:tr>
      <w:tr>
        <w:tc>
          <w:tcPr>
            <w:tcW w:type="dxa" w:w="4514"/>
            <w:shd w:val="clear" w:color="auto" w:fill="F3F5F8"/>
            <w:shd w:val="clear" w:color="auto" w:fill="F3F5F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A5C"/>
                <w:sz w:val="20"/>
              </w:rPr>
              <w:t>JavaScript Standard</w:t>
            </w:r>
          </w:p>
        </w:tc>
        <w:tc>
          <w:tcPr>
            <w:tcW w:type="dxa" w:w="4514"/>
            <w:shd w:val="clear" w:color="auto" w:fill="F3F5F8"/>
            <w:shd w:val="clear" w:color="auto" w:fill="F3F5F8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1E2D40"/>
                <w:sz w:val="20"/>
              </w:rPr>
              <w:t>ES5-compatible — maximum cross-browser compatibility</w:t>
            </w:r>
          </w:p>
        </w:tc>
      </w:tr>
      <w:tr>
        <w:tc>
          <w:tcPr>
            <w:tcW w:type="dxa" w:w="4514"/>
            <w:shd w:val="clear" w:color="auto" w:fill="FFFFFF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A5C"/>
                <w:sz w:val="20"/>
              </w:rPr>
              <w:t>Data Storage</w:t>
            </w:r>
          </w:p>
        </w:tc>
        <w:tc>
          <w:tcPr>
            <w:tcW w:type="dxa" w:w="4514"/>
            <w:shd w:val="clear" w:color="auto" w:fill="FFFFFF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1E2D40"/>
                <w:sz w:val="20"/>
              </w:rPr>
              <w:t>Browser localStorage for Work Status and report versions; JSON file export/import for portability</w:t>
            </w:r>
          </w:p>
        </w:tc>
      </w:tr>
      <w:tr>
        <w:tc>
          <w:tcPr>
            <w:tcW w:type="dxa" w:w="4514"/>
            <w:shd w:val="clear" w:color="auto" w:fill="F3F5F8"/>
            <w:shd w:val="clear" w:color="auto" w:fill="F3F5F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A5C"/>
                <w:sz w:val="20"/>
              </w:rPr>
              <w:t>Observation Databank</w:t>
            </w:r>
          </w:p>
        </w:tc>
        <w:tc>
          <w:tcPr>
            <w:tcW w:type="dxa" w:w="4514"/>
            <w:shd w:val="clear" w:color="auto" w:fill="F3F5F8"/>
            <w:shd w:val="clear" w:color="auto" w:fill="F3F5F8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1E2D40"/>
                <w:sz w:val="20"/>
              </w:rPr>
              <w:t>350+ pre-coded observations across 9 categories built into the application</w:t>
            </w:r>
          </w:p>
        </w:tc>
      </w:tr>
      <w:tr>
        <w:tc>
          <w:tcPr>
            <w:tcW w:type="dxa" w:w="4514"/>
            <w:shd w:val="clear" w:color="auto" w:fill="FFFFFF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A5C"/>
                <w:sz w:val="20"/>
              </w:rPr>
              <w:t>Branch Directory</w:t>
            </w:r>
          </w:p>
        </w:tc>
        <w:tc>
          <w:tcPr>
            <w:tcW w:type="dxa" w:w="4514"/>
            <w:shd w:val="clear" w:color="auto" w:fill="FFFFFF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1E2D40"/>
                <w:sz w:val="20"/>
              </w:rPr>
              <w:t>200+ BHS branches with code, name, region, city, and head-of-campus data</w:t>
            </w:r>
          </w:p>
        </w:tc>
      </w:tr>
      <w:tr>
        <w:tc>
          <w:tcPr>
            <w:tcW w:type="dxa" w:w="4514"/>
            <w:shd w:val="clear" w:color="auto" w:fill="F3F5F8"/>
            <w:shd w:val="clear" w:color="auto" w:fill="F3F5F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A5C"/>
                <w:sz w:val="20"/>
              </w:rPr>
              <w:t>File Size</w:t>
            </w:r>
          </w:p>
        </w:tc>
        <w:tc>
          <w:tcPr>
            <w:tcW w:type="dxa" w:w="4514"/>
            <w:shd w:val="clear" w:color="auto" w:fill="F3F5F8"/>
            <w:shd w:val="clear" w:color="auto" w:fill="F3F5F8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1E2D40"/>
                <w:sz w:val="20"/>
              </w:rPr>
              <w:t>Approximately 500 KB — loads instantly even without internet</w:t>
            </w:r>
          </w:p>
        </w:tc>
      </w:tr>
      <w:tr>
        <w:tc>
          <w:tcPr>
            <w:tcW w:type="dxa" w:w="4514"/>
            <w:shd w:val="clear" w:color="auto" w:fill="FFFFFF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A5C"/>
                <w:sz w:val="20"/>
              </w:rPr>
              <w:t>Offline Operation</w:t>
            </w:r>
          </w:p>
        </w:tc>
        <w:tc>
          <w:tcPr>
            <w:tcW w:type="dxa" w:w="4514"/>
            <w:shd w:val="clear" w:color="auto" w:fill="FFFFFF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1E2D40"/>
                <w:sz w:val="20"/>
              </w:rPr>
              <w:t>Fully offline — no data is ever sent to any server or external service</w:t>
            </w:r>
          </w:p>
        </w:tc>
      </w:tr>
      <w:tr>
        <w:tc>
          <w:tcPr>
            <w:tcW w:type="dxa" w:w="4514"/>
            <w:shd w:val="clear" w:color="auto" w:fill="F3F5F8"/>
            <w:shd w:val="clear" w:color="auto" w:fill="F3F5F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A5C"/>
                <w:sz w:val="20"/>
              </w:rPr>
              <w:t>Print Format</w:t>
            </w:r>
          </w:p>
        </w:tc>
        <w:tc>
          <w:tcPr>
            <w:tcW w:type="dxa" w:w="4514"/>
            <w:shd w:val="clear" w:color="auto" w:fill="F3F5F8"/>
            <w:shd w:val="clear" w:color="auto" w:fill="F3F5F8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1E2D40"/>
                <w:sz w:val="20"/>
              </w:rPr>
              <w:t>A4 optimised print layout; compatible with browser Print-to-PDF</w:t>
            </w:r>
          </w:p>
        </w:tc>
      </w:tr>
    </w:tbl>
    <w:p/>
    <w:p>
      <w:pPr>
        <w:spacing w:before="320"/>
        <w:jc w:val="center"/>
      </w:pPr>
      <w:r>
        <w:rPr>
          <w:rFonts w:ascii="Calibri" w:hAnsi="Calibri"/>
          <w:i/>
          <w:color w:val="6A7888"/>
          <w:sz w:val="18"/>
        </w:rPr>
        <w:t>BHS Internal Audit — Audit Report Interface Application  |  Feature Reference Document  |  June 2025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