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</w:pPr>
      <w:r>
        <w:t>Preliminary Fraud Assessment</w:t>
      </w:r>
    </w:p>
    <w:p>
      <w:pPr>
        <w:spacing w:after="80"/>
      </w:pPr>
      <w:r>
        <w:rPr>
          <w:b/>
          <w:i w:val="0"/>
        </w:rPr>
        <w:t>Attendance Record Manipulation — Systems Administrator</w:t>
      </w:r>
    </w:p>
    <w:p>
      <w:pPr>
        <w:spacing w:after="80"/>
      </w:pPr>
      <w:r>
        <w:rPr>
          <w:b w:val="0"/>
          <w:i w:val="0"/>
        </w:rPr>
        <w:t>Knowledge &amp; Skill (KS) School System  |  Compliance &amp; Risk Division</w:t>
      </w:r>
    </w:p>
    <w:p>
      <w:pPr>
        <w:spacing w:after="80"/>
      </w:pPr>
      <w:r>
        <w:rPr>
          <w:b w:val="0"/>
          <w:i w:val="0"/>
        </w:rPr>
        <w:t>Northern Operations Hub (400)  |  January 2026</w:t>
      </w:r>
    </w:p>
    <w:p>
      <w:pPr>
        <w:spacing w:before="40" w:after="40"/>
        <w:pBdr>
          <w:bottom w:val="single" w:sz="4" w:space="1" w:color="AAAAAA"/>
        </w:pBdr>
      </w:pPr>
    </w:p>
    <w:p>
      <w:pPr>
        <w:pStyle w:val="ListBullet"/>
        <w:spacing w:after="60"/>
      </w:pPr>
      <w:r>
        <w:rPr>
          <w:b/>
        </w:rPr>
        <w:t xml:space="preserve">Subject:  </w:t>
      </w:r>
      <w:r>
        <w:t>Mr. Shakeel</w:t>
      </w:r>
    </w:p>
    <w:p>
      <w:pPr>
        <w:pStyle w:val="ListBullet"/>
        <w:spacing w:after="60"/>
      </w:pPr>
      <w:r>
        <w:rPr>
          <w:b/>
        </w:rPr>
        <w:t xml:space="preserve">Employee ID:  </w:t>
      </w:r>
      <w:r>
        <w:t>47291</w:t>
      </w:r>
    </w:p>
    <w:p>
      <w:pPr>
        <w:pStyle w:val="ListBullet"/>
        <w:spacing w:after="60"/>
      </w:pPr>
      <w:r>
        <w:rPr>
          <w:b/>
        </w:rPr>
        <w:t xml:space="preserve">Designation:  </w:t>
      </w:r>
      <w:r>
        <w:t>Systems Administrator</w:t>
      </w:r>
    </w:p>
    <w:p>
      <w:pPr>
        <w:spacing w:before="40" w:after="40"/>
        <w:pBdr>
          <w:bottom w:val="single" w:sz="4" w:space="1" w:color="AAAAAA"/>
        </w:pBdr>
      </w:pPr>
    </w:p>
    <w:p>
      <w:pPr>
        <w:spacing w:after="80"/>
      </w:pPr>
      <w:r>
        <w:rPr>
          <w:b w:val="0"/>
          <w:i/>
        </w:rPr>
        <w:t>7-Point Preliminary Fraud Assessment  ·  C&amp;R Division Fact Finding Report</w:t>
      </w:r>
    </w:p>
    <w:p>
      <w:pPr>
        <w:pStyle w:val="Heading1"/>
        <w:spacing w:after="120"/>
      </w:pPr>
      <w:r>
        <w:t>Step 1 — Situation, Red Flags &amp; Hypothesis</w:t>
      </w:r>
    </w:p>
    <w:p>
      <w:pPr>
        <w:pStyle w:val="Heading2"/>
        <w:spacing w:before="200" w:after="80"/>
      </w:pPr>
      <w:r>
        <w:t>Key Statistics</w:t>
      </w:r>
    </w:p>
    <w:p>
      <w:pPr>
        <w:pStyle w:val="ListBullet"/>
        <w:spacing w:after="60"/>
      </w:pPr>
      <w:r>
        <w:t>96 suspect entries — Jul 2024 to Nov 2025</w:t>
      </w:r>
    </w:p>
    <w:p>
      <w:pPr>
        <w:pStyle w:val="ListBullet"/>
        <w:spacing w:after="60"/>
      </w:pPr>
      <w:r>
        <w:t>10 confirmed altered entries — Oct to Nov 2025</w:t>
      </w:r>
    </w:p>
    <w:p>
      <w:pPr>
        <w:pStyle w:val="ListBullet"/>
        <w:spacing w:after="60"/>
      </w:pPr>
      <w:r>
        <w:t>17+ months of sustained anomalous pattern</w:t>
      </w:r>
    </w:p>
    <w:p>
      <w:pPr>
        <w:pStyle w:val="ListBullet"/>
        <w:spacing w:after="60"/>
      </w:pPr>
      <w:r>
        <w:t>5 dates independently corroborated by CCTV footage</w:t>
      </w:r>
    </w:p>
    <w:p>
      <w:pPr>
        <w:pStyle w:val="Heading2"/>
        <w:spacing w:before="200" w:after="80"/>
      </w:pPr>
      <w:r>
        <w:t>Situation</w:t>
      </w:r>
    </w:p>
    <w:p>
      <w:pPr>
        <w:spacing w:after="80"/>
      </w:pPr>
      <w:r>
        <w:rPr>
          <w:b w:val="0"/>
          <w:i w:val="0"/>
        </w:rPr>
        <w:t>The C&amp;R Division at KS School System's Northern Operations Hub (400) detected anomalies in the ATLAS facial recognition attendance system. The Systems Administrator — system custodian — allegedly exploited admin access to back-date and alter his "Time In" entries, concealing late arrivals and absences.</w:t>
      </w:r>
    </w:p>
    <w:p>
      <w:pPr>
        <w:pStyle w:val="Heading2"/>
        <w:spacing w:before="200" w:after="80"/>
      </w:pPr>
      <w:r>
        <w:t>Red Flags</w:t>
      </w:r>
    </w:p>
    <w:p>
      <w:pPr>
        <w:pStyle w:val="ListBullet"/>
        <w:spacing w:after="60"/>
      </w:pPr>
      <w:r>
        <w:rPr>
          <w:b/>
        </w:rPr>
        <w:t xml:space="preserve">RF-1  |  SOMOTO (Direct Observation):  </w:t>
      </w:r>
      <w:r>
        <w:t>Auditor observed routine late arrivals and late departures, yet no corresponding leave deductions were recorded.</w:t>
      </w:r>
    </w:p>
    <w:p>
      <w:pPr>
        <w:pStyle w:val="ListBullet"/>
        <w:spacing w:after="60"/>
      </w:pPr>
      <w:r>
        <w:rPr>
          <w:b/>
        </w:rPr>
        <w:t xml:space="preserve">RF-2  |  Anomalous Pattern:  </w:t>
      </w:r>
      <w:r>
        <w:t>96 "Time In" entries over 17 months all fall within seconds of the 09:00 threshold — statistically impossible by chance.</w:t>
      </w:r>
    </w:p>
    <w:p>
      <w:pPr>
        <w:pStyle w:val="Heading2"/>
        <w:spacing w:before="200" w:after="80"/>
      </w:pPr>
      <w:r>
        <w:t>Hypothesis A — Guilty</w:t>
      </w:r>
    </w:p>
    <w:p>
      <w:pPr>
        <w:spacing w:after="80"/>
      </w:pPr>
      <w:r>
        <w:rPr>
          <w:b w:val="0"/>
          <w:i w:val="0"/>
        </w:rPr>
        <w:t>Mr. Shakeel knowingly misused admin access to fabricate "Time In" records, concealing late arrivals to avoid salary deductions and disciplinary action — constituting payroll / time-and-attendance fraud.</w:t>
      </w:r>
    </w:p>
    <w:p>
      <w:pPr>
        <w:pStyle w:val="Heading2"/>
        <w:spacing w:before="200" w:after="80"/>
      </w:pPr>
      <w:r>
        <w:t>Hypothesis B — Not Guilty</w:t>
      </w:r>
    </w:p>
    <w:p>
      <w:pPr>
        <w:pStyle w:val="ListBullet"/>
        <w:spacing w:after="60"/>
      </w:pPr>
      <w:r>
        <w:t>System glitch caused missed morning scans; corrections made in good faith without knowing supervisor approval was needed.</w:t>
      </w:r>
    </w:p>
    <w:p>
      <w:pPr>
        <w:pStyle w:val="ListBullet"/>
        <w:spacing w:after="60"/>
      </w:pPr>
      <w:r>
        <w:t>Subject believed late sittings entitled him to offset late arrivals informally, unaware of the formal policy and approval process.</w:t>
      </w:r>
    </w:p>
    <w:p>
      <w:pPr>
        <w:pStyle w:val="Heading1"/>
        <w:spacing w:after="120"/>
      </w:pPr>
      <w:r>
        <w:t>Step 2 — Legal Destination &amp; Case Strategy</w:t>
      </w:r>
    </w:p>
    <w:p>
      <w:pPr>
        <w:pStyle w:val="Heading2"/>
        <w:spacing w:before="200" w:after="80"/>
      </w:pPr>
      <w:r>
        <w:t>Legal Destination — Internal Disciplinary Action</w:t>
      </w:r>
    </w:p>
    <w:p>
      <w:pPr>
        <w:spacing w:after="80"/>
      </w:pPr>
      <w:r>
        <w:rPr>
          <w:b w:val="0"/>
          <w:i w:val="0"/>
        </w:rPr>
        <w:t>Classified as an internal employment disciplinary matter. The subject breached the trust placed in his privileged role. A formal disciplinary proceeding under the organization's HR and employment policies is the appropriate legal destination.</w:t>
      </w:r>
    </w:p>
    <w:p>
      <w:pPr>
        <w:pStyle w:val="Heading2"/>
        <w:spacing w:before="200" w:after="80"/>
      </w:pPr>
      <w:r>
        <w:t>Grounds for Disciplinary Action</w:t>
      </w:r>
    </w:p>
    <w:p>
      <w:pPr>
        <w:pStyle w:val="ListBullet"/>
        <w:spacing w:after="60"/>
      </w:pPr>
      <w:r>
        <w:rPr>
          <w:b/>
        </w:rPr>
        <w:t xml:space="preserve">Misconduct:  </w:t>
      </w:r>
      <w:r>
        <w:t>Unauthorized modification of attendance records using admin privileges</w:t>
      </w:r>
    </w:p>
    <w:p>
      <w:pPr>
        <w:pStyle w:val="ListBullet"/>
        <w:spacing w:after="60"/>
      </w:pPr>
      <w:r>
        <w:rPr>
          <w:b/>
        </w:rPr>
        <w:t xml:space="preserve">Breach of Trust:  </w:t>
      </w:r>
      <w:r>
        <w:t>Abuse of data custodian role</w:t>
      </w:r>
    </w:p>
    <w:p>
      <w:pPr>
        <w:pStyle w:val="ListBullet"/>
        <w:spacing w:after="60"/>
      </w:pPr>
      <w:r>
        <w:rPr>
          <w:b/>
        </w:rPr>
        <w:t xml:space="preserve">Policy Violation:  </w:t>
      </w:r>
      <w:r>
        <w:t>Corrections made without supervisor authorization</w:t>
      </w:r>
    </w:p>
    <w:p>
      <w:pPr>
        <w:pStyle w:val="ListBullet"/>
        <w:spacing w:after="60"/>
      </w:pPr>
      <w:r>
        <w:rPr>
          <w:b/>
        </w:rPr>
        <w:t xml:space="preserve">Misrepresentation:  </w:t>
      </w:r>
      <w:r>
        <w:t>Inaccurate records affecting payroll and leave calculations</w:t>
      </w:r>
    </w:p>
    <w:p>
      <w:pPr>
        <w:pStyle w:val="Heading2"/>
        <w:spacing w:before="200" w:after="80"/>
      </w:pPr>
      <w:r>
        <w:t>Case Strategy</w:t>
      </w:r>
    </w:p>
    <w:p>
      <w:pPr>
        <w:pStyle w:val="ListBullet"/>
        <w:spacing w:after="60"/>
      </w:pPr>
      <w:r>
        <w:rPr>
          <w:b/>
        </w:rPr>
        <w:t xml:space="preserve">Immediate:  </w:t>
      </w:r>
      <w:r>
        <w:t>Preserve evidence; secure system logs</w:t>
      </w:r>
    </w:p>
    <w:p>
      <w:pPr>
        <w:pStyle w:val="ListBullet"/>
        <w:spacing w:after="60"/>
      </w:pPr>
      <w:r>
        <w:rPr>
          <w:b/>
        </w:rPr>
        <w:t xml:space="preserve">Short-term:  </w:t>
      </w:r>
      <w:r>
        <w:t>Issue show-cause notice; obtain written explanation</w:t>
      </w:r>
    </w:p>
    <w:p>
      <w:pPr>
        <w:pStyle w:val="ListBullet"/>
        <w:spacing w:after="60"/>
      </w:pPr>
      <w:r>
        <w:rPr>
          <w:b/>
        </w:rPr>
        <w:t xml:space="preserve">Formal Hearing:  </w:t>
      </w:r>
      <w:r>
        <w:t>Constitute inquiry committee; present findings</w:t>
      </w:r>
    </w:p>
    <w:p>
      <w:pPr>
        <w:pStyle w:val="ListBullet"/>
        <w:spacing w:after="60"/>
      </w:pPr>
      <w:r>
        <w:rPr>
          <w:b/>
        </w:rPr>
        <w:t xml:space="preserve">Decision:  </w:t>
      </w:r>
      <w:r>
        <w:t>Determine penalty based on intent and financial impact</w:t>
      </w:r>
    </w:p>
    <w:p>
      <w:pPr>
        <w:pStyle w:val="ListBullet"/>
        <w:spacing w:after="60"/>
      </w:pPr>
      <w:r>
        <w:rPr>
          <w:b/>
        </w:rPr>
        <w:t xml:space="preserve">Recovery:  </w:t>
      </w:r>
      <w:r>
        <w:t>Recover improperly obtained salary/benefit amounts</w:t>
      </w:r>
    </w:p>
    <w:p>
      <w:pPr>
        <w:pStyle w:val="Heading2"/>
        <w:spacing w:before="200" w:after="80"/>
      </w:pPr>
      <w:r>
        <w:t>Key Open Questions</w:t>
      </w:r>
    </w:p>
    <w:p>
      <w:pPr>
        <w:pStyle w:val="ListBullet"/>
        <w:spacing w:after="60"/>
      </w:pPr>
      <w:r>
        <w:t>Does the subject have a prior disciplinary record?</w:t>
      </w:r>
    </w:p>
    <w:p>
      <w:pPr>
        <w:pStyle w:val="ListBullet"/>
        <w:spacing w:after="60"/>
      </w:pPr>
      <w:r>
        <w:t>Was he formally informed of the attendance correction policy?</w:t>
      </w:r>
    </w:p>
    <w:p>
      <w:pPr>
        <w:pStyle w:val="ListBullet"/>
        <w:spacing w:after="60"/>
      </w:pPr>
      <w:r>
        <w:t>Was there any implicit management tolerance?</w:t>
      </w:r>
    </w:p>
    <w:p>
      <w:pPr>
        <w:pStyle w:val="ListBullet"/>
        <w:spacing w:after="60"/>
      </w:pPr>
      <w:r>
        <w:t>Exact financial value of benefit improperly obtained?</w:t>
      </w:r>
    </w:p>
    <w:p>
      <w:pPr>
        <w:pStyle w:val="ListBullet"/>
        <w:spacing w:after="60"/>
      </w:pPr>
      <w:r>
        <w:t>Did his line manager have awareness of the late arrivals?</w:t>
      </w:r>
    </w:p>
    <w:p>
      <w:pPr>
        <w:pStyle w:val="Heading1"/>
        <w:spacing w:after="120"/>
      </w:pPr>
      <w:r>
        <w:t>Step 3 — Scheme Mechanics</w:t>
      </w:r>
    </w:p>
    <w:p>
      <w:pPr>
        <w:pStyle w:val="Heading2"/>
        <w:spacing w:before="200" w:after="80"/>
      </w:pPr>
      <w:r>
        <w:t>Method A — Retroactive Creation</w:t>
      </w:r>
    </w:p>
    <w:p>
      <w:pPr>
        <w:spacing w:after="80"/>
      </w:pPr>
      <w:r>
        <w:rPr>
          <w:b w:val="0"/>
          <w:i w:val="0"/>
        </w:rPr>
        <w:t>No morning scan. At departure, subject punched a back-dated "Time In" of ≈08:59 via admin access.</w:t>
      </w:r>
    </w:p>
    <w:p>
      <w:pPr>
        <w:spacing w:after="80"/>
      </w:pPr>
      <w:r>
        <w:rPr>
          <w:b/>
          <w:i w:val="0"/>
        </w:rPr>
        <w:t>▶  8 confirmed instances — Oct 2025</w:t>
      </w:r>
    </w:p>
    <w:p>
      <w:pPr>
        <w:pStyle w:val="Heading2"/>
        <w:spacing w:before="200" w:after="80"/>
      </w:pPr>
      <w:r>
        <w:t>Method B — Overwriting a Late Entry</w:t>
      </w:r>
    </w:p>
    <w:p>
      <w:pPr>
        <w:spacing w:after="80"/>
      </w:pPr>
      <w:r>
        <w:rPr>
          <w:b w:val="0"/>
          <w:i w:val="0"/>
        </w:rPr>
        <w:t>Genuine late entry (e.g., 09:34 or 10:20) replaced with fabricated earlier timestamp via admin access.</w:t>
      </w:r>
    </w:p>
    <w:p>
      <w:pPr>
        <w:spacing w:after="80"/>
      </w:pPr>
      <w:r>
        <w:rPr>
          <w:b/>
          <w:i w:val="0"/>
        </w:rPr>
        <w:t>▶  2 confirmed instances — Oct 2025</w:t>
      </w:r>
    </w:p>
    <w:p>
      <w:pPr>
        <w:pStyle w:val="Heading2"/>
        <w:spacing w:before="200" w:after="80"/>
      </w:pPr>
      <w:r>
        <w:t>Method C — Cross-Day Back-Dating</w:t>
      </w:r>
    </w:p>
    <w:p>
      <w:pPr>
        <w:spacing w:after="80"/>
      </w:pPr>
      <w:r>
        <w:rPr>
          <w:b w:val="0"/>
          <w:i w:val="0"/>
        </w:rPr>
        <w:t>Previous day's absence not recorded. Next day, both days' fabricated entries submitted together.</w:t>
      </w:r>
    </w:p>
    <w:p>
      <w:pPr>
        <w:spacing w:after="80"/>
      </w:pPr>
      <w:r>
        <w:rPr>
          <w:b/>
          <w:i w:val="0"/>
        </w:rPr>
        <w:t>▶  1 confirmed instance — Nov 2025</w:t>
      </w:r>
    </w:p>
    <w:p>
      <w:pPr>
        <w:pStyle w:val="Heading2"/>
        <w:spacing w:before="200" w:after="80"/>
      </w:pPr>
      <w:r>
        <w:t>Step-by-Step</w:t>
      </w:r>
    </w:p>
    <w:p>
      <w:pPr>
        <w:pStyle w:val="ListNumber"/>
        <w:spacing w:after="60"/>
      </w:pPr>
      <w:r>
        <w:t>Arrives late or absent — no morning facial scan.</w:t>
      </w:r>
    </w:p>
    <w:p>
      <w:pPr>
        <w:pStyle w:val="ListNumber"/>
        <w:spacing w:after="60"/>
      </w:pPr>
      <w:r>
        <w:t>Logs into ATLAS at end of day with admin credentials.</w:t>
      </w:r>
    </w:p>
    <w:p>
      <w:pPr>
        <w:pStyle w:val="ListNumber"/>
        <w:spacing w:after="60"/>
      </w:pPr>
      <w:r>
        <w:t>Enters fabricated "Time In" just before 09:00.</w:t>
      </w:r>
    </w:p>
    <w:p>
      <w:pPr>
        <w:pStyle w:val="ListNumber"/>
        <w:spacing w:after="60"/>
      </w:pPr>
      <w:r>
        <w:t>Report shows on-time arrival — late/absence hidden from HR.</w:t>
      </w:r>
    </w:p>
    <w:p>
      <w:pPr>
        <w:pStyle w:val="ListNumber"/>
        <w:spacing w:after="60"/>
      </w:pPr>
      <w:r>
        <w:t>Full salary maintained; deductions avoided.</w:t>
      </w:r>
    </w:p>
    <w:p>
      <w:pPr>
        <w:pStyle w:val="Heading2"/>
        <w:spacing w:before="200" w:after="80"/>
      </w:pPr>
      <w:r>
        <w:t>Control Failures</w:t>
      </w:r>
    </w:p>
    <w:p>
      <w:pPr>
        <w:pStyle w:val="ListBullet"/>
        <w:spacing w:after="60"/>
      </w:pPr>
      <w:r>
        <w:rPr>
          <w:b/>
        </w:rPr>
        <w:t xml:space="preserve">No Segregation of Duties:  </w:t>
      </w:r>
      <w:r>
        <w:t>IT custodian could modify own records without independent approval.</w:t>
      </w:r>
    </w:p>
    <w:p>
      <w:pPr>
        <w:pStyle w:val="ListBullet"/>
        <w:spacing w:after="60"/>
      </w:pPr>
      <w:r>
        <w:rPr>
          <w:b/>
        </w:rPr>
        <w:t xml:space="preserve">No Audit Alert:  </w:t>
      </w:r>
      <w:r>
        <w:t>Back-dated entries triggered no automated flag or notification.</w:t>
      </w:r>
    </w:p>
    <w:p>
      <w:pPr>
        <w:pStyle w:val="ListBullet"/>
        <w:spacing w:after="60"/>
      </w:pPr>
      <w:r>
        <w:rPr>
          <w:b/>
        </w:rPr>
        <w:t xml:space="preserve">Unrestricted Admin Access:  </w:t>
      </w:r>
      <w:r>
        <w:t>Records overwritten with no secondary authorization required.</w:t>
      </w:r>
    </w:p>
    <w:p>
      <w:pPr>
        <w:pStyle w:val="Heading1"/>
        <w:spacing w:after="120"/>
      </w:pPr>
      <w:r>
        <w:t>Step 4 — Evidence Collection &amp; Procedures</w:t>
      </w:r>
    </w:p>
    <w:p>
      <w:pPr>
        <w:pStyle w:val="Heading2"/>
        <w:spacing w:before="200" w:after="80"/>
      </w:pPr>
      <w:r>
        <w:t>Evidence Collected</w:t>
      </w:r>
    </w:p>
    <w:p>
      <w:pPr>
        <w:pStyle w:val="ListBullet"/>
        <w:spacing w:after="60"/>
      </w:pPr>
      <w:r>
        <w:t>ATLAS attendance data — actual vs. altered entries, Oct–Nov 2025 (Annexures A–G)</w:t>
      </w:r>
    </w:p>
    <w:p>
      <w:pPr>
        <w:pStyle w:val="ListBullet"/>
        <w:spacing w:after="60"/>
      </w:pPr>
      <w:r>
        <w:t>System audit logs — timestamps of modifications</w:t>
      </w:r>
    </w:p>
    <w:p>
      <w:pPr>
        <w:pStyle w:val="ListBullet"/>
        <w:spacing w:after="60"/>
      </w:pPr>
      <w:r>
        <w:t>CCTV footage — 13, 16, 20, 21, 23 Oct &amp; 3, 4 Nov 2025</w:t>
      </w:r>
    </w:p>
    <w:p>
      <w:pPr>
        <w:pStyle w:val="ListBullet"/>
        <w:spacing w:after="60"/>
      </w:pPr>
      <w:r>
        <w:t>CCTV comparator — colleague times vs. ATLAS (~3–4 min system offset)</w:t>
      </w:r>
    </w:p>
    <w:p>
      <w:pPr>
        <w:pStyle w:val="ListBullet"/>
        <w:spacing w:after="60"/>
      </w:pPr>
      <w:r>
        <w:t>Historical dataset — 96 instances Jul 2024–Nov 2025 (Annexure H)</w:t>
      </w:r>
    </w:p>
    <w:p>
      <w:pPr>
        <w:pStyle w:val="ListBullet"/>
        <w:spacing w:after="60"/>
      </w:pPr>
      <w:r>
        <w:t>Staff interviews — verbal confirmations obtained</w:t>
      </w:r>
    </w:p>
    <w:p>
      <w:pPr>
        <w:pStyle w:val="Heading2"/>
        <w:spacing w:before="200" w:after="80"/>
      </w:pPr>
      <w:r>
        <w:t>Evidence Still Required</w:t>
      </w:r>
    </w:p>
    <w:p>
      <w:pPr>
        <w:pStyle w:val="ListBullet"/>
        <w:spacing w:after="60"/>
      </w:pPr>
      <w:r>
        <w:t>Full admin modification logs — who, what, when</w:t>
      </w:r>
    </w:p>
    <w:p>
      <w:pPr>
        <w:pStyle w:val="ListBullet"/>
        <w:spacing w:after="60"/>
      </w:pPr>
      <w:r>
        <w:t>Authorization records for subject's admin privileges</w:t>
      </w:r>
    </w:p>
    <w:p>
      <w:pPr>
        <w:pStyle w:val="ListBullet"/>
        <w:spacing w:after="60"/>
      </w:pPr>
      <w:r>
        <w:t>Payroll data for the full 17-month period</w:t>
      </w:r>
    </w:p>
    <w:p>
      <w:pPr>
        <w:pStyle w:val="ListBullet"/>
        <w:spacing w:after="60"/>
      </w:pPr>
      <w:r>
        <w:t>HR policy on late deductions and thresholds</w:t>
      </w:r>
    </w:p>
    <w:p>
      <w:pPr>
        <w:pStyle w:val="ListBullet"/>
        <w:spacing w:after="60"/>
      </w:pPr>
      <w:r>
        <w:t>CCTV review for remaining 85 unverified dates</w:t>
      </w:r>
    </w:p>
    <w:p>
      <w:pPr>
        <w:pStyle w:val="ListBullet"/>
        <w:spacing w:after="60"/>
      </w:pPr>
      <w:r>
        <w:t>Forensic image of ATLAS server database</w:t>
      </w:r>
    </w:p>
    <w:p>
      <w:pPr>
        <w:pStyle w:val="ListBullet"/>
        <w:spacing w:after="60"/>
      </w:pPr>
      <w:r>
        <w:t>Formal written statement from subject</w:t>
      </w:r>
    </w:p>
    <w:p>
      <w:pPr>
        <w:pStyle w:val="Heading2"/>
        <w:spacing w:before="200" w:after="80"/>
      </w:pPr>
      <w:r>
        <w:t>Recommended Evidence Procedures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3118"/>
        <w:gridCol w:w="3118"/>
        <w:gridCol w:w="1814"/>
      </w:tblGrid>
      <w:tr>
        <w:tc>
          <w:tcPr>
            <w:tcW w:type="dxa" w:w="2351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351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Procedure</w:t>
            </w:r>
          </w:p>
        </w:tc>
        <w:tc>
          <w:tcPr>
            <w:tcW w:type="dxa" w:w="2351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2351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Priority</w:t>
            </w:r>
          </w:p>
        </w:tc>
      </w:tr>
      <w:tr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Forensic image of ATLAS database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Tamper-proof preservation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Immediate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Extract full admin audit log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Who changed what and when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Immediate</w:t>
            </w:r>
          </w:p>
        </w:tc>
      </w:tr>
      <w:tr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Secure CCTV archive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Prevent overwriting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Immediate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Obtain payroll data Jul 2024–Nov 2025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Quantify financial benefit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Short-term</w:t>
            </w:r>
          </w:p>
        </w:tc>
      </w:tr>
      <w:tr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CCTV review for all 96 flagged dates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Full dataset corroboration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Short-term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Independent IT forensic review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Third-party validation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Short-term</w:t>
            </w:r>
          </w:p>
        </w:tc>
      </w:tr>
    </w:tbl>
    <w:p>
      <w:pPr>
        <w:spacing w:after="80"/>
      </w:pPr>
    </w:p>
    <w:p>
      <w:pPr>
        <w:pStyle w:val="Heading1"/>
        <w:spacing w:after="120"/>
      </w:pPr>
      <w:r>
        <w:t>Step 5 — Interviews &amp; Statements</w:t>
      </w:r>
    </w:p>
    <w:p>
      <w:pPr>
        <w:pStyle w:val="Heading2"/>
        <w:spacing w:before="200" w:after="80"/>
      </w:pPr>
      <w:r>
        <w:t>Interviews &amp; Statements</w:t>
      </w:r>
    </w:p>
    <w:p>
      <w:pPr>
        <w:pStyle w:val="ListBullet"/>
        <w:spacing w:after="60"/>
      </w:pPr>
      <w:r>
        <w:t>Administrative and IT staff at Northern Operations Hub</w:t>
      </w:r>
    </w:p>
    <w:p>
      <w:pPr>
        <w:pStyle w:val="ListBullet"/>
        <w:spacing w:after="60"/>
      </w:pPr>
      <w:r>
        <w:t>Purpose: verify attendance discrepancies and system admin practices</w:t>
      </w:r>
    </w:p>
    <w:p>
      <w:pPr>
        <w:pStyle w:val="ListBullet"/>
        <w:spacing w:after="60"/>
      </w:pPr>
      <w:r>
        <w:t>Verbal confirmations obtained where documentation was absent</w:t>
      </w:r>
    </w:p>
    <w:p>
      <w:pPr>
        <w:pStyle w:val="Heading2"/>
        <w:spacing w:before="200" w:after="80"/>
      </w:pPr>
      <w:r>
        <w:t>Show-Cause Notice &amp; Response</w:t>
      </w:r>
    </w:p>
    <w:p>
      <w:pPr>
        <w:pStyle w:val="ListBullet"/>
        <w:spacing w:after="60"/>
      </w:pPr>
      <w:r>
        <w:t>A formal show-cause notice was issued to Mr. Shakeel citing the identified attendance irregularities.</w:t>
      </w:r>
    </w:p>
    <w:p>
      <w:pPr>
        <w:pStyle w:val="ListBullet"/>
        <w:spacing w:after="60"/>
      </w:pPr>
      <w:r>
        <w:t>Mr. Shakeel submitted a written reply in which he accepted and acknowledged the misappropriation of attendance records.</w:t>
      </w:r>
    </w:p>
    <w:p>
      <w:pPr>
        <w:pStyle w:val="ListBullet"/>
        <w:spacing w:after="60"/>
      </w:pPr>
      <w:r>
        <w:t>His acceptance is on record and constitutes a key piece of evidence supporting the disciplinary case.</w:t>
      </w:r>
    </w:p>
    <w:p>
      <w:pPr>
        <w:pStyle w:val="Heading2"/>
        <w:spacing w:before="200" w:after="80"/>
      </w:pPr>
      <w:r>
        <w:t>Interviews Required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5102"/>
      </w:tblGrid>
      <w:tr>
        <w:tc>
          <w:tcPr>
            <w:tcW w:type="dxa" w:w="4703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Interviewee</w:t>
            </w:r>
          </w:p>
        </w:tc>
        <w:tc>
          <w:tcPr>
            <w:tcW w:type="dxa" w:w="4703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Relevance</w:t>
            </w:r>
          </w:p>
        </w:tc>
      </w:tr>
      <w:tr>
        <w:tc>
          <w:tcPr>
            <w:tcW w:type="dxa" w:w="4703"/>
            <w:shd w:val="clear" w:color="auto" w:fill="F2F5FA"/>
          </w:tcPr>
          <w:p>
            <w:r>
              <w:rPr>
                <w:sz w:val="17"/>
              </w:rPr>
              <w:t>Mr. Shakeel (47291)</w:t>
            </w:r>
          </w:p>
        </w:tc>
        <w:tc>
          <w:tcPr>
            <w:tcW w:type="dxa" w:w="4703"/>
            <w:shd w:val="clear" w:color="auto" w:fill="F2F5FA"/>
          </w:tcPr>
          <w:p>
            <w:r>
              <w:rPr>
                <w:sz w:val="17"/>
              </w:rPr>
              <w:t>Formal statement; right to respond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sz w:val="17"/>
              </w:rPr>
              <w:t>IT Head / Supervisor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sz w:val="17"/>
              </w:rPr>
              <w:t>Admin access authorization</w:t>
            </w:r>
          </w:p>
        </w:tc>
      </w:tr>
      <w:tr>
        <w:tc>
          <w:tcPr>
            <w:tcW w:type="dxa" w:w="4703"/>
            <w:shd w:val="clear" w:color="auto" w:fill="F2F5FA"/>
          </w:tcPr>
          <w:p>
            <w:r>
              <w:rPr>
                <w:sz w:val="17"/>
              </w:rPr>
              <w:t>HR Manager</w:t>
            </w:r>
          </w:p>
        </w:tc>
        <w:tc>
          <w:tcPr>
            <w:tcW w:type="dxa" w:w="4703"/>
            <w:shd w:val="clear" w:color="auto" w:fill="F2F5FA"/>
          </w:tcPr>
          <w:p>
            <w:r>
              <w:rPr>
                <w:sz w:val="17"/>
              </w:rPr>
              <w:t>Payroll and attendance policy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sz w:val="17"/>
              </w:rPr>
              <w:t>Identified colleagues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sz w:val="17"/>
              </w:rPr>
              <w:t>Corroborate CCTV absence</w:t>
            </w:r>
          </w:p>
        </w:tc>
      </w:tr>
      <w:tr>
        <w:tc>
          <w:tcPr>
            <w:tcW w:type="dxa" w:w="4703"/>
            <w:shd w:val="clear" w:color="auto" w:fill="F2F5FA"/>
          </w:tcPr>
          <w:p>
            <w:r>
              <w:rPr>
                <w:sz w:val="17"/>
              </w:rPr>
              <w:t>Hub Head / Line Manager</w:t>
            </w:r>
          </w:p>
        </w:tc>
        <w:tc>
          <w:tcPr>
            <w:tcW w:type="dxa" w:w="4703"/>
            <w:shd w:val="clear" w:color="auto" w:fill="F2F5FA"/>
          </w:tcPr>
          <w:p>
            <w:r>
              <w:rPr>
                <w:sz w:val="17"/>
              </w:rPr>
              <w:t>Workplace patterns; prior complaints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t>Key Questions — Subject</w:t>
      </w:r>
    </w:p>
    <w:p>
      <w:pPr>
        <w:pStyle w:val="ListBullet"/>
        <w:spacing w:after="60"/>
      </w:pPr>
      <w:r>
        <w:t>Were you authorized to modify your own attendance?</w:t>
      </w:r>
    </w:p>
    <w:p>
      <w:pPr>
        <w:pStyle w:val="ListBullet"/>
        <w:spacing w:after="60"/>
      </w:pPr>
      <w:r>
        <w:t>Why do "Time In" entries appear at departure time?</w:t>
      </w:r>
    </w:p>
    <w:p>
      <w:pPr>
        <w:pStyle w:val="ListBullet"/>
        <w:spacing w:after="60"/>
      </w:pPr>
      <w:r>
        <w:t>Why do 96 entries cluster at 08:59–09:00 over 17 months?</w:t>
      </w:r>
    </w:p>
    <w:p>
      <w:pPr>
        <w:pStyle w:val="ListBullet"/>
        <w:spacing w:after="60"/>
      </w:pPr>
      <w:r>
        <w:t>Why are you absent from CCTV at your claimed arrival times?</w:t>
      </w:r>
    </w:p>
    <w:p>
      <w:pPr>
        <w:pStyle w:val="Heading2"/>
        <w:spacing w:before="200" w:after="80"/>
      </w:pPr>
      <w:r>
        <w:t>Interview Best Practices</w:t>
      </w:r>
    </w:p>
    <w:p>
      <w:pPr>
        <w:pStyle w:val="ListBullet"/>
        <w:spacing w:after="60"/>
      </w:pPr>
      <w:r>
        <w:t>Interview subject after all evidence is secured</w:t>
      </w:r>
    </w:p>
    <w:p>
      <w:pPr>
        <w:pStyle w:val="ListBullet"/>
        <w:spacing w:after="60"/>
      </w:pPr>
      <w:r>
        <w:t>Use signed, witnessed statement format; present specific dates</w:t>
      </w:r>
    </w:p>
    <w:p>
      <w:pPr>
        <w:pStyle w:val="ListBullet"/>
        <w:spacing w:after="60"/>
      </w:pPr>
      <w:r>
        <w:t>Allow subject to provide alternative explanation</w:t>
      </w:r>
    </w:p>
    <w:p>
      <w:pPr>
        <w:pStyle w:val="ListBullet"/>
        <w:spacing w:after="60"/>
      </w:pPr>
      <w:r>
        <w:t>Consult legal counsel before formal interview</w:t>
      </w:r>
    </w:p>
    <w:p>
      <w:pPr>
        <w:pStyle w:val="Heading1"/>
        <w:spacing w:after="120"/>
      </w:pPr>
      <w:r>
        <w:t>Step 6 — Evidence Analysis &amp; Quantification</w:t>
      </w:r>
    </w:p>
    <w:p>
      <w:pPr>
        <w:pStyle w:val="Heading2"/>
        <w:spacing w:before="200" w:after="80"/>
      </w:pPr>
      <w:r>
        <w:t>Confirmed Manipulation Cases — Oct–Nov 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2268"/>
        <w:gridCol w:w="2268"/>
        <w:gridCol w:w="2268"/>
      </w:tblGrid>
      <w:tr>
        <w:tc>
          <w:tcPr>
            <w:tcW w:type="dxa" w:w="2351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2351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Raw Time In</w:t>
            </w:r>
          </w:p>
        </w:tc>
        <w:tc>
          <w:tcPr>
            <w:tcW w:type="dxa" w:w="2351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Fabricated Entry</w:t>
            </w:r>
          </w:p>
        </w:tc>
        <w:tc>
          <w:tcPr>
            <w:tcW w:type="dxa" w:w="2351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CCTV</w:t>
            </w:r>
          </w:p>
        </w:tc>
      </w:tr>
      <w:tr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02-Oct-25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18:02:45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08:59:13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03-Oct-25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09:34:04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08:50:18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07-Oct-25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20:56:56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08:59:41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09-Oct-25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19:07:47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09:00:09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13-Oct-25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18:02:07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09:01:01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Yes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16-Oct-25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22:49:31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08:55:27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Yes</w:t>
            </w:r>
          </w:p>
        </w:tc>
      </w:tr>
      <w:tr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20-Oct-25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Marked at Time Out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08:59:41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Yes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21-Oct-25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18:59:02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08:58:17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Yes</w:t>
            </w:r>
          </w:p>
        </w:tc>
      </w:tr>
      <w:tr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23-Oct-25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18:33:03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08:55:52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Yes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03–04 Nov-25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17:57:23 / None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Backdated on 04-Nov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Yes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t>Financial Quantification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3969"/>
        <w:gridCol w:w="1984"/>
      </w:tblGrid>
      <w:tr>
        <w:tc>
          <w:tcPr>
            <w:tcW w:type="dxa" w:w="3135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Head</w:t>
            </w:r>
          </w:p>
        </w:tc>
        <w:tc>
          <w:tcPr>
            <w:tcW w:type="dxa" w:w="3135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Basis</w:t>
            </w:r>
          </w:p>
        </w:tc>
        <w:tc>
          <w:tcPr>
            <w:tcW w:type="dxa" w:w="3135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Amount</w:t>
            </w:r>
          </w:p>
        </w:tc>
      </w:tr>
      <w:tr>
        <w:tc>
          <w:tcPr>
            <w:tcW w:type="dxa" w:w="3135"/>
            <w:shd w:val="clear" w:color="auto" w:fill="F2F5FA"/>
          </w:tcPr>
          <w:p>
            <w:r>
              <w:rPr>
                <w:sz w:val="17"/>
              </w:rPr>
              <w:t>Leave Encashment</w:t>
            </w:r>
          </w:p>
        </w:tc>
        <w:tc>
          <w:tcPr>
            <w:tcW w:type="dxa" w:w="3135"/>
            <w:shd w:val="clear" w:color="auto" w:fill="F2F5FA"/>
          </w:tcPr>
          <w:p>
            <w:r>
              <w:rPr>
                <w:sz w:val="17"/>
              </w:rPr>
              <w:t>Recoverable amount based on entitled leave encashment</w:t>
            </w:r>
          </w:p>
        </w:tc>
        <w:tc>
          <w:tcPr>
            <w:tcW w:type="dxa" w:w="3135"/>
            <w:shd w:val="clear" w:color="auto" w:fill="F2F5FA"/>
          </w:tcPr>
          <w:p>
            <w:r>
              <w:rPr>
                <w:sz w:val="17"/>
              </w:rPr>
              <w:t>Rs. 70,000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17"/>
              </w:rPr>
              <w:t>Late Arrival Deduction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7"/>
              </w:rPr>
              <w:t>Excessive late arrivals treated as Leave Without Pay (LWP)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7"/>
              </w:rPr>
              <w:t>Approx. Rs. 150,000</w:t>
            </w:r>
          </w:p>
        </w:tc>
      </w:tr>
      <w:tr>
        <w:tc>
          <w:tcPr>
            <w:tcW w:type="dxa" w:w="3135"/>
            <w:shd w:val="clear" w:color="auto" w:fill="F2F5FA"/>
          </w:tcPr>
          <w:p>
            <w:r>
              <w:rPr>
                <w:sz w:val="17"/>
              </w:rPr>
              <w:t>Total Estimated Recovery</w:t>
            </w:r>
          </w:p>
        </w:tc>
        <w:tc>
          <w:tcPr>
            <w:tcW w:type="dxa" w:w="3135"/>
            <w:shd w:val="clear" w:color="auto" w:fill="F2F5FA"/>
          </w:tcPr>
          <w:p>
            <w:r>
              <w:rPr>
                <w:sz w:val="17"/>
              </w:rPr>
            </w:r>
          </w:p>
        </w:tc>
        <w:tc>
          <w:tcPr>
            <w:tcW w:type="dxa" w:w="3135"/>
            <w:shd w:val="clear" w:color="auto" w:fill="F2F5FA"/>
          </w:tcPr>
          <w:p>
            <w:r>
              <w:rPr>
                <w:sz w:val="17"/>
              </w:rPr>
              <w:t>Approx. Rs. 220,000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t>Pattern Significance</w:t>
      </w:r>
    </w:p>
    <w:p>
      <w:pPr>
        <w:spacing w:after="80"/>
      </w:pPr>
      <w:r>
        <w:rPr>
          <w:b w:val="0"/>
          <w:i w:val="0"/>
        </w:rPr>
        <w:t>96 entries within a 2-minute window over 17 months cannot occur naturally — confirming deliberate, systematic back-dating targeting the exact 09:00 reporting threshold.</w:t>
      </w:r>
    </w:p>
    <w:p>
      <w:pPr>
        <w:pStyle w:val="Heading1"/>
        <w:spacing w:after="120"/>
      </w:pPr>
      <w:r>
        <w:t>Step 7 — Case File, Expert Output &amp; Recovery Support</w:t>
      </w:r>
    </w:p>
    <w:p>
      <w:pPr>
        <w:pStyle w:val="Heading2"/>
        <w:spacing w:before="200" w:after="80"/>
      </w:pPr>
      <w:r>
        <w:t>Case File Contents</w:t>
      </w:r>
    </w:p>
    <w:p>
      <w:pPr>
        <w:pStyle w:val="ListBullet"/>
        <w:spacing w:after="60"/>
      </w:pPr>
      <w:r>
        <w:t>Fact Finding Report — C&amp;R Division, January 2026</w:t>
      </w:r>
    </w:p>
    <w:p>
      <w:pPr>
        <w:pStyle w:val="ListBullet"/>
        <w:spacing w:after="60"/>
      </w:pPr>
      <w:r>
        <w:t>Annexures A–G: Actual vs. altered records Oct–Nov 2025</w:t>
      </w:r>
    </w:p>
    <w:p>
      <w:pPr>
        <w:pStyle w:val="ListBullet"/>
        <w:spacing w:after="60"/>
      </w:pPr>
      <w:r>
        <w:t>Annexure H: 96-instance historical pattern Jul 2024–Nov 2025</w:t>
      </w:r>
    </w:p>
    <w:p>
      <w:pPr>
        <w:pStyle w:val="ListBullet"/>
        <w:spacing w:after="60"/>
      </w:pPr>
      <w:r>
        <w:t>CCTV footage for 5 verified dates</w:t>
      </w:r>
    </w:p>
    <w:p>
      <w:pPr>
        <w:pStyle w:val="ListBullet"/>
        <w:spacing w:after="60"/>
      </w:pPr>
      <w:r>
        <w:t>Interview notes and verbal confirmations</w:t>
      </w:r>
    </w:p>
    <w:p>
      <w:pPr>
        <w:pStyle w:val="ListBullet"/>
        <w:spacing w:after="60"/>
      </w:pPr>
      <w:r>
        <w:t>IC-1 recommended decisions</w:t>
      </w:r>
    </w:p>
    <w:p>
      <w:pPr>
        <w:pStyle w:val="Heading2"/>
        <w:spacing w:before="200" w:after="80"/>
      </w:pPr>
      <w:r>
        <w:t>Expert Output Required</w:t>
      </w:r>
    </w:p>
    <w:p>
      <w:pPr>
        <w:pStyle w:val="ListBullet"/>
        <w:spacing w:after="60"/>
      </w:pPr>
      <w:r>
        <w:t>IT Forensic Expert: Audit trail integrity; full scope of manipulation</w:t>
      </w:r>
    </w:p>
    <w:p>
      <w:pPr>
        <w:pStyle w:val="ListBullet"/>
        <w:spacing w:after="60"/>
      </w:pPr>
      <w:r>
        <w:t>Payroll/HR Analyst: Quantify benefit across 17-month period</w:t>
      </w:r>
    </w:p>
    <w:p>
      <w:pPr>
        <w:pStyle w:val="ListBullet"/>
        <w:spacing w:after="60"/>
      </w:pPr>
      <w:r>
        <w:t>Legal Counsel: Draft disciplinary charges; recovery advice</w:t>
      </w:r>
    </w:p>
    <w:p>
      <w:pPr>
        <w:pStyle w:val="ListBullet"/>
        <w:spacing w:after="60"/>
      </w:pPr>
      <w:r>
        <w:t>ATLAS Vendor: Confirm back-dating capability and log completeness</w:t>
      </w:r>
    </w:p>
    <w:p>
      <w:pPr>
        <w:pStyle w:val="Heading2"/>
        <w:spacing w:before="200" w:after="80"/>
      </w:pPr>
      <w:r>
        <w:t>Action Plan</w:t>
      </w:r>
    </w:p>
    <w:p>
      <w:pPr>
        <w:pStyle w:val="ListBullet"/>
        <w:spacing w:after="60"/>
      </w:pPr>
      <w:r>
        <w:rPr>
          <w:b/>
        </w:rPr>
        <w:t xml:space="preserve">Immediate:  </w:t>
      </w:r>
      <w:r>
        <w:t>Forensic image ATLAS; secure CCTV archives</w:t>
      </w:r>
    </w:p>
    <w:p>
      <w:pPr>
        <w:pStyle w:val="ListBullet"/>
        <w:spacing w:after="60"/>
      </w:pPr>
      <w:r>
        <w:rPr>
          <w:b/>
        </w:rPr>
        <w:t xml:space="preserve">Weeks 2–4:  </w:t>
      </w:r>
      <w:r>
        <w:t>CCTV review (96 dates); IT forensic report; payroll data</w:t>
      </w:r>
    </w:p>
    <w:p>
      <w:pPr>
        <w:pStyle w:val="ListBullet"/>
        <w:spacing w:after="60"/>
      </w:pPr>
      <w:r>
        <w:rPr>
          <w:b/>
        </w:rPr>
        <w:t xml:space="preserve">Months 2–3:  </w:t>
      </w:r>
      <w:r>
        <w:t>Disciplinary hearing; quantify loss; issue charges</w:t>
      </w:r>
    </w:p>
    <w:p>
      <w:pPr>
        <w:pStyle w:val="ListBullet"/>
        <w:spacing w:after="60"/>
      </w:pPr>
      <w:r>
        <w:rPr>
          <w:b/>
        </w:rPr>
        <w:t xml:space="preserve">Parallel:  </w:t>
      </w:r>
      <w:r>
        <w:t>Review other staff records; IT control remediation</w:t>
      </w:r>
    </w:p>
    <w:p>
      <w:pPr>
        <w:pStyle w:val="ListBullet"/>
        <w:spacing w:after="60"/>
      </w:pPr>
      <w:r>
        <w:rPr>
          <w:b/>
        </w:rPr>
        <w:t xml:space="preserve">Close-Out:  </w:t>
      </w:r>
      <w:r>
        <w:t>Policy update; recovery action; system controls deployed</w:t>
      </w:r>
    </w:p>
    <w:p>
      <w:pPr>
        <w:pStyle w:val="Heading2"/>
        <w:spacing w:before="200" w:after="80"/>
      </w:pPr>
      <w:r>
        <w:t>Recovery &amp; Risk</w:t>
      </w:r>
    </w:p>
    <w:p>
      <w:pPr>
        <w:pStyle w:val="ListBullet"/>
        <w:spacing w:after="60"/>
      </w:pPr>
      <w:r>
        <w:t>Financial recovery — approx. Rs. 220,000 via employment contract</w:t>
      </w:r>
    </w:p>
    <w:p>
      <w:pPr>
        <w:pStyle w:val="ListBullet"/>
        <w:spacing w:after="60"/>
      </w:pPr>
      <w:r>
        <w:t>IC-1 disciplinary recommendations implemented through HR</w:t>
      </w:r>
    </w:p>
    <w:p>
      <w:pPr>
        <w:pStyle w:val="ListBullet"/>
        <w:spacing w:after="60"/>
      </w:pPr>
      <w:r>
        <w:t>Segregation of duties; dual-approval for admin edits; automated audit alerts</w:t>
      </w:r>
    </w:p>
    <w:p>
      <w:pPr>
        <w:spacing w:after="80"/>
      </w:pPr>
      <w:r>
        <w:rPr>
          <w:b/>
          <w:i w:val="0"/>
        </w:rPr>
        <w:t>Risk Rating: HIGH — Clear evidence, long-term pattern, deliberate method, unique privileged access.</w:t>
      </w:r>
    </w:p>
    <w:p>
      <w:pPr>
        <w:pStyle w:val="Heading1"/>
        <w:spacing w:after="120"/>
      </w:pPr>
      <w:r>
        <w:t>Overall Assessment &amp; Recommendations</w:t>
      </w:r>
    </w:p>
    <w:p>
      <w:pPr>
        <w:pStyle w:val="Heading2"/>
        <w:spacing w:before="200" w:after="80"/>
      </w:pPr>
      <w:r>
        <w:t>Assessment</w:t>
      </w:r>
    </w:p>
    <w:p>
      <w:pPr>
        <w:spacing w:after="80"/>
      </w:pPr>
      <w:r>
        <w:rPr>
          <w:b/>
          <w:i w:val="0"/>
        </w:rPr>
        <w:t>Further Investigation — Strongly Recommended</w:t>
      </w:r>
    </w:p>
    <w:p>
      <w:pPr>
        <w:pStyle w:val="ListBullet"/>
        <w:spacing w:after="60"/>
      </w:pPr>
      <w:r>
        <w:t>Preliminary findings indicate a sustained pattern of attendance record manipulation through misuse of administrative access rights.</w:t>
      </w:r>
    </w:p>
    <w:p>
      <w:pPr>
        <w:pStyle w:val="ListBullet"/>
        <w:spacing w:after="60"/>
      </w:pPr>
      <w:r>
        <w:t>A show-cause notice was issued to Mr. Shakeel. His submitted response reflected acceptance of the identified irregularities.</w:t>
      </w:r>
    </w:p>
    <w:p>
      <w:pPr>
        <w:pStyle w:val="ListBullet"/>
        <w:spacing w:after="60"/>
      </w:pPr>
      <w:r>
        <w:t>A detailed forensic audit is recommended to substantiate findings, identify full extent of manipulation, evaluate possible involvement of other parties, and quantify complete financial impact.</w:t>
      </w:r>
    </w:p>
    <w:p>
      <w:pPr>
        <w:pStyle w:val="Heading2"/>
        <w:spacing w:before="200" w:after="80"/>
      </w:pPr>
      <w:r>
        <w:t>What Remains Unclear</w:t>
      </w:r>
    </w:p>
    <w:p>
      <w:pPr>
        <w:pStyle w:val="ListBullet"/>
        <w:spacing w:after="60"/>
      </w:pPr>
      <w:r>
        <w:t>Full extent of manipulation across 17-month dataset</w:t>
      </w:r>
    </w:p>
    <w:p>
      <w:pPr>
        <w:pStyle w:val="ListBullet"/>
        <w:spacing w:after="60"/>
      </w:pPr>
      <w:r>
        <w:t>Possible involvement of other parties</w:t>
      </w:r>
    </w:p>
    <w:p>
      <w:pPr>
        <w:pStyle w:val="ListBullet"/>
        <w:spacing w:after="60"/>
      </w:pPr>
      <w:r>
        <w:t>Complete financial impact beyond the estimated Rs. 220,000</w:t>
      </w:r>
    </w:p>
    <w:p>
      <w:pPr>
        <w:pStyle w:val="ListBullet"/>
        <w:spacing w:after="60"/>
      </w:pPr>
      <w:r>
        <w:t>Full integrity of system audit logs — forensic review pending</w:t>
      </w:r>
    </w:p>
    <w:p>
      <w:pPr>
        <w:pStyle w:val="ListBullet"/>
        <w:spacing w:after="60"/>
      </w:pPr>
      <w:r>
        <w:t>Authorization history for subject's admin access</w:t>
      </w:r>
    </w:p>
    <w:p>
      <w:pPr>
        <w:pStyle w:val="Heading2"/>
        <w:spacing w:before="200" w:after="80"/>
      </w:pPr>
      <w:r>
        <w:t>Future Control &amp; Governance Recommendations</w:t>
      </w:r>
    </w:p>
    <w:p>
      <w:pPr>
        <w:pStyle w:val="ListBullet"/>
        <w:spacing w:after="60"/>
      </w:pPr>
      <w:r>
        <w:t>Implement a complete approval workflow for attendance adjustments with documented justification and digital approval trail.</w:t>
      </w:r>
    </w:p>
    <w:p>
      <w:pPr>
        <w:pStyle w:val="ListBullet"/>
        <w:spacing w:after="60"/>
      </w:pPr>
      <w:r>
        <w:t>Strengthen approval hierarchy by restricting back-date access and enforcing multi-level authorization for attendance amendments.</w:t>
      </w:r>
    </w:p>
    <w:p>
      <w:pPr>
        <w:pStyle w:val="ListBullet"/>
        <w:spacing w:after="60"/>
      </w:pPr>
      <w:r>
        <w:t>Maintain detailed audit trails for all attendance edits — including user ID, date, time, and change history.</w:t>
      </w:r>
    </w:p>
    <w:p>
      <w:pPr>
        <w:pStyle w:val="ListBullet"/>
        <w:spacing w:after="60"/>
      </w:pPr>
      <w:r>
        <w:t>Introduce automated exception reports for unusual attendance patterns and repeated manual overrides.</w:t>
      </w:r>
    </w:p>
    <w:p>
      <w:pPr>
        <w:pStyle w:val="ListBullet"/>
        <w:spacing w:after="60"/>
      </w:pPr>
      <w:r>
        <w:t>Segregate system administration rights from attendance approval authority to minimize misuse of power.</w:t>
      </w:r>
    </w:p>
    <w:p>
      <w:pPr>
        <w:pStyle w:val="ListBullet"/>
        <w:spacing w:after="60"/>
      </w:pPr>
      <w:r>
        <w:t>Conduct periodic compliance reviews and independent audits of attendance system activities.</w:t>
      </w:r>
    </w:p>
    <w:p>
      <w:pPr>
        <w:spacing w:before="40" w:after="40"/>
        <w:pBdr>
          <w:bottom w:val="single" w:sz="4" w:space="1" w:color="AAAAAA"/>
        </w:pBdr>
      </w:pPr>
    </w:p>
    <w:p>
      <w:pPr>
        <w:jc w:val="center"/>
      </w:pPr>
      <w:r>
        <w:rPr>
          <w:i/>
          <w:color w:val="808090"/>
          <w:sz w:val="16"/>
        </w:rPr>
        <w:t>Knowledge &amp; Skill (KS) School System  ·  Compliance &amp; Risk Division  ·  Northern Operations Hub  ·  January 2026  ·  Confidential &amp; Proprietary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