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Development Phase Explanation</w:t>
      </w:r>
    </w:p>
    <w:p>
      <w:r>
        <w:t>In the development phase, the batch-processing data architecture was implemented as a reproducible set of containerized microservices. A dedicated GitHub repository was established to manage version control and to provide transparency of all implementation steps. The architecture consists of four core layers: data ingestion via Apache Kafka, distributed storage through Hadoop HDFS, batch processing with Apache Spark, and data delivery for quarterly machine learning model updates. All services were deployed as Docker containers and orchestrated using docker-compose.</w:t>
        <w:br/>
        <w:br/>
        <w:t>The pipeline ingests raw data streams through Kafka producers, which are stored reliably in HDFS. Spark then executes scheduled batch jobs for pre-processing, aggregation, and feature preparation. Test runs verified that ingestion, storage, and batch aggregation processes worked as intended. Scalability and maintainability were ensured by modular container deployment and infrastructure-as-code principles. Reliability was addressed by isolated service design, while Docker ensured consistent reproducibility across environments.</w:t>
        <w:br/>
        <w:br/>
        <w:t>Security and governance were incorporated through restricted Docker network policies, HDFS-level encryption, and access-controlled Kafka topics. At the end of this phase, the system successfully demonstrated an end-to-end batch pipeline, forming a concrete and scalable foundation for future enhancements in Phase 3.</w:t>
      </w:r>
    </w:p>
    <w:p>
      <w:pPr>
        <w:pStyle w:val="Heading2"/>
      </w:pPr>
      <w:r>
        <w:t>Batch Data Pipeline Architecture</w:t>
      </w:r>
    </w:p>
    <w:p>
      <w:r>
        <w:drawing>
          <wp:inline xmlns:a="http://schemas.openxmlformats.org/drawingml/2006/main" xmlns:pic="http://schemas.openxmlformats.org/drawingml/2006/picture">
            <wp:extent cx="5486400" cy="2805205"/>
            <wp:docPr id="1" name="Picture 1"/>
            <wp:cNvGraphicFramePr>
              <a:graphicFrameLocks noChangeAspect="1"/>
            </wp:cNvGraphicFramePr>
            <a:graphic>
              <a:graphicData uri="http://schemas.openxmlformats.org/drawingml/2006/picture">
                <pic:pic>
                  <pic:nvPicPr>
                    <pic:cNvPr id="0" name="Kasarla-VamshiKrishna_92202958_DataEngineering_P2_S.png"/>
                    <pic:cNvPicPr/>
                  </pic:nvPicPr>
                  <pic:blipFill>
                    <a:blip r:embed="rId9"/>
                    <a:stretch>
                      <a:fillRect/>
                    </a:stretch>
                  </pic:blipFill>
                  <pic:spPr>
                    <a:xfrm>
                      <a:off x="0" y="0"/>
                      <a:ext cx="5486400" cy="280520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