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FF" w:rsidRDefault="00F7438A">
      <w:pPr>
        <w:rPr>
          <w:b/>
        </w:rPr>
      </w:pPr>
      <w:bookmarkStart w:id="0" w:name="_GoBack"/>
      <w:bookmarkEnd w:id="0"/>
      <w:r w:rsidRPr="00F7438A">
        <w:rPr>
          <w:b/>
        </w:rPr>
        <w:t>Standards für die Bewertung von Software-Entwicklungsprozessen</w:t>
      </w:r>
    </w:p>
    <w:p w:rsidR="006D246E" w:rsidRDefault="006D246E">
      <w:pPr>
        <w:rPr>
          <w:b/>
        </w:rPr>
      </w:pPr>
    </w:p>
    <w:p w:rsidR="004A2EAA" w:rsidRDefault="006D246E">
      <w:r w:rsidRPr="006D246E">
        <w:t>Aufgabe</w:t>
      </w:r>
      <w:r>
        <w:br/>
        <w:t>Analysieren Sie beispielhaft einen Software-EW-Prozess dazu könnten auch Projektaufgaben oder Praktika Aufgaben herangezogen werden. Betrachten Sie die arbeitsorganisatorischen, methodischen und benutzerbezogenen Vorgehensweisen. Ziehen Sie dazu auch die ISO Norm</w:t>
      </w:r>
      <w:r w:rsidRPr="004A2EAA">
        <w:rPr>
          <w:b/>
        </w:rPr>
        <w:t xml:space="preserve"> 15504, ISO/IEC – 12207, ISO/IEC 15288</w:t>
      </w:r>
      <w:r>
        <w:t xml:space="preserve">. </w:t>
      </w:r>
      <w:r>
        <w:br/>
        <w:t>Bewerten Sie Ihre Entwicklungsprozesse und stellen Sie Ihre Bewertung im Rahmen einer kritischen Betrachtung vor.</w:t>
      </w:r>
    </w:p>
    <w:p w:rsidR="004A2EAA" w:rsidRDefault="004A2EAA"/>
    <w:p w:rsidR="004D3445" w:rsidRDefault="004A2EAA">
      <w:r>
        <w:t>Aufgabe 15504 inkl</w:t>
      </w:r>
      <w:r w:rsidR="00881763">
        <w:t>.</w:t>
      </w:r>
      <w:r w:rsidR="003A4ADD">
        <w:t xml:space="preserve"> Nachfolger</w:t>
      </w:r>
      <w:r>
        <w:t>: Inhalt beleuchten</w:t>
      </w:r>
    </w:p>
    <w:sdt>
      <w:sdtPr>
        <w:rPr>
          <w:rFonts w:asciiTheme="minorHAnsi" w:eastAsiaTheme="minorHAnsi" w:hAnsiTheme="minorHAnsi" w:cstheme="minorBidi"/>
          <w:color w:val="auto"/>
          <w:sz w:val="22"/>
          <w:szCs w:val="22"/>
          <w:lang w:eastAsia="en-US"/>
        </w:rPr>
        <w:id w:val="111862835"/>
        <w:docPartObj>
          <w:docPartGallery w:val="Table of Contents"/>
          <w:docPartUnique/>
        </w:docPartObj>
      </w:sdtPr>
      <w:sdtEndPr>
        <w:rPr>
          <w:b/>
          <w:bCs/>
        </w:rPr>
      </w:sdtEndPr>
      <w:sdtContent>
        <w:p w:rsidR="006C70C7" w:rsidRDefault="006C70C7">
          <w:pPr>
            <w:pStyle w:val="Inhaltsverzeichnisberschrift"/>
          </w:pPr>
          <w:r>
            <w:t>Inhalt</w:t>
          </w:r>
        </w:p>
        <w:p w:rsidR="006C70C7" w:rsidRDefault="006C70C7">
          <w:pPr>
            <w:pStyle w:val="Verzeichnis1"/>
            <w:tabs>
              <w:tab w:val="right" w:leader="dot" w:pos="9062"/>
            </w:tabs>
            <w:rPr>
              <w:noProof/>
            </w:rPr>
          </w:pPr>
          <w:r>
            <w:fldChar w:fldCharType="begin"/>
          </w:r>
          <w:r>
            <w:instrText xml:space="preserve"> TOC \o "1-3" \h \z \u </w:instrText>
          </w:r>
          <w:r>
            <w:fldChar w:fldCharType="separate"/>
          </w:r>
          <w:hyperlink w:anchor="_Toc32398823" w:history="1">
            <w:r w:rsidRPr="00F603C8">
              <w:rPr>
                <w:rStyle w:val="Hyperlink"/>
                <w:b/>
                <w:noProof/>
              </w:rPr>
              <w:t>1 SPICE</w:t>
            </w:r>
            <w:r>
              <w:rPr>
                <w:noProof/>
                <w:webHidden/>
              </w:rPr>
              <w:tab/>
            </w:r>
            <w:r>
              <w:rPr>
                <w:noProof/>
                <w:webHidden/>
              </w:rPr>
              <w:fldChar w:fldCharType="begin"/>
            </w:r>
            <w:r>
              <w:rPr>
                <w:noProof/>
                <w:webHidden/>
              </w:rPr>
              <w:instrText xml:space="preserve"> PAGEREF _Toc32398823 \h </w:instrText>
            </w:r>
            <w:r>
              <w:rPr>
                <w:noProof/>
                <w:webHidden/>
              </w:rPr>
            </w:r>
            <w:r>
              <w:rPr>
                <w:noProof/>
                <w:webHidden/>
              </w:rPr>
              <w:fldChar w:fldCharType="separate"/>
            </w:r>
            <w:r>
              <w:rPr>
                <w:noProof/>
                <w:webHidden/>
              </w:rPr>
              <w:t>1</w:t>
            </w:r>
            <w:r>
              <w:rPr>
                <w:noProof/>
                <w:webHidden/>
              </w:rPr>
              <w:fldChar w:fldCharType="end"/>
            </w:r>
          </w:hyperlink>
        </w:p>
        <w:p w:rsidR="006C70C7" w:rsidRDefault="006C70C7">
          <w:r>
            <w:rPr>
              <w:b/>
              <w:bCs/>
            </w:rPr>
            <w:fldChar w:fldCharType="end"/>
          </w:r>
        </w:p>
      </w:sdtContent>
    </w:sdt>
    <w:p w:rsidR="004D3445" w:rsidRDefault="004D3445"/>
    <w:p w:rsidR="00C66E72" w:rsidRPr="00BB36E2" w:rsidRDefault="006C70C7" w:rsidP="006C70C7">
      <w:pPr>
        <w:pStyle w:val="berschrift1"/>
        <w:rPr>
          <w:b/>
          <w:lang w:val="it-IT"/>
        </w:rPr>
      </w:pPr>
      <w:bookmarkStart w:id="1" w:name="_Toc32398823"/>
      <w:r w:rsidRPr="00BB36E2">
        <w:rPr>
          <w:b/>
          <w:lang w:val="it-IT"/>
        </w:rPr>
        <w:t>1 SPICE</w:t>
      </w:r>
      <w:bookmarkEnd w:id="1"/>
      <w:r w:rsidR="00C66E72" w:rsidRPr="00BB36E2">
        <w:rPr>
          <w:b/>
          <w:lang w:val="it-IT"/>
        </w:rPr>
        <w:br w:type="page"/>
      </w:r>
    </w:p>
    <w:p w:rsidR="006D246E" w:rsidRPr="00BB36E2" w:rsidRDefault="004D3445">
      <w:pPr>
        <w:rPr>
          <w:b/>
          <w:lang w:val="it-IT"/>
        </w:rPr>
      </w:pPr>
      <w:r w:rsidRPr="00BB36E2">
        <w:rPr>
          <w:b/>
          <w:lang w:val="it-IT"/>
        </w:rPr>
        <w:lastRenderedPageBreak/>
        <w:t>ISO IEC 15504</w:t>
      </w:r>
      <w:r w:rsidR="006D246E" w:rsidRPr="00BB36E2">
        <w:rPr>
          <w:b/>
          <w:lang w:val="it-IT"/>
        </w:rPr>
        <w:t xml:space="preserve"> </w:t>
      </w:r>
      <w:r w:rsidR="00C66E72" w:rsidRPr="00BB36E2">
        <w:rPr>
          <w:b/>
          <w:lang w:val="it-IT"/>
        </w:rPr>
        <w:t>(Nachfolger: ISO IEC 330xx)</w:t>
      </w:r>
    </w:p>
    <w:p w:rsidR="00881763" w:rsidRPr="00D02E16" w:rsidRDefault="00881763">
      <w:r w:rsidRPr="00D02E16">
        <w:t>Im Rahmen des Qualitätsmanagement</w:t>
      </w:r>
      <w:r w:rsidR="003B7E36" w:rsidRPr="00D02E16">
        <w:t>s</w:t>
      </w:r>
      <w:r w:rsidRPr="00D02E16">
        <w:t xml:space="preserve"> kann die </w:t>
      </w:r>
      <w:r w:rsidR="003A4ADD">
        <w:t xml:space="preserve">Bewertung, </w:t>
      </w:r>
      <w:r w:rsidR="004C7AED" w:rsidRPr="00D02E16">
        <w:t xml:space="preserve">Betrachtung </w:t>
      </w:r>
      <w:r w:rsidR="003A4ADD">
        <w:t xml:space="preserve">und Verbesserung </w:t>
      </w:r>
      <w:r w:rsidR="003B7E36" w:rsidRPr="00D02E16">
        <w:t>von</w:t>
      </w:r>
      <w:r w:rsidR="004C7AED" w:rsidRPr="00D02E16">
        <w:t xml:space="preserve"> Prozesse</w:t>
      </w:r>
      <w:r w:rsidR="003B7E36" w:rsidRPr="00D02E16">
        <w:t>n</w:t>
      </w:r>
      <w:r w:rsidR="004C7AED" w:rsidRPr="00D02E16">
        <w:t xml:space="preserve"> über die </w:t>
      </w:r>
      <w:r w:rsidR="003B7E36" w:rsidRPr="00D02E16">
        <w:t xml:space="preserve">sog. </w:t>
      </w:r>
      <w:r w:rsidR="004C7AED" w:rsidRPr="00D02E16">
        <w:t>Reifegra</w:t>
      </w:r>
      <w:r w:rsidR="003A4ADD">
        <w:t>d</w:t>
      </w:r>
      <w:r w:rsidR="004C7AED" w:rsidRPr="00D02E16">
        <w:t>bewertung und Prozessverbesserung erfolgen. Standards zu dieser Betrachtungsform wurde</w:t>
      </w:r>
      <w:r w:rsidR="003D7E8C">
        <w:t>n</w:t>
      </w:r>
      <w:r w:rsidR="004C7AED" w:rsidRPr="00D02E16">
        <w:t xml:space="preserve"> innerhalb der ISO-Richtlinie 15504 auf internationale Ebene spezifiziert und vorgeschrieben.</w:t>
      </w:r>
      <w:r w:rsidR="006F0401" w:rsidRPr="00D02E16">
        <w:t xml:space="preserve"> Aufgrund der prozessbezogenen Bewertungsmöglichkeit</w:t>
      </w:r>
      <w:r w:rsidR="00FF4823">
        <w:t xml:space="preserve"> (Assessment)</w:t>
      </w:r>
      <w:r w:rsidR="006F0401" w:rsidRPr="00D02E16">
        <w:t xml:space="preserve"> und Aussagekraft wird diese ISO-Richtlinie auch als SPICE bezeichnet. </w:t>
      </w:r>
      <w:r w:rsidR="006F0401" w:rsidRPr="00D02E16">
        <w:rPr>
          <w:lang w:val="en-GB"/>
        </w:rPr>
        <w:t>Das Akronym steht für „</w:t>
      </w:r>
      <w:r w:rsidR="006F0401" w:rsidRPr="00D02E16">
        <w:rPr>
          <w:b/>
          <w:lang w:val="en-GB"/>
        </w:rPr>
        <w:t>S</w:t>
      </w:r>
      <w:r w:rsidR="006F0401" w:rsidRPr="00D02E16">
        <w:rPr>
          <w:lang w:val="en-GB"/>
        </w:rPr>
        <w:t xml:space="preserve">oftware </w:t>
      </w:r>
      <w:r w:rsidR="006F0401" w:rsidRPr="00D02E16">
        <w:rPr>
          <w:b/>
          <w:lang w:val="en-GB"/>
        </w:rPr>
        <w:t>P</w:t>
      </w:r>
      <w:r w:rsidR="006F0401" w:rsidRPr="00D02E16">
        <w:rPr>
          <w:lang w:val="en-GB"/>
        </w:rPr>
        <w:t xml:space="preserve">rocess </w:t>
      </w:r>
      <w:r w:rsidR="006F0401" w:rsidRPr="00D02E16">
        <w:rPr>
          <w:b/>
          <w:lang w:val="en-GB"/>
        </w:rPr>
        <w:t>I</w:t>
      </w:r>
      <w:r w:rsidR="006F0401" w:rsidRPr="00D02E16">
        <w:rPr>
          <w:lang w:val="en-GB"/>
        </w:rPr>
        <w:t xml:space="preserve">mprovement and </w:t>
      </w:r>
      <w:r w:rsidR="006F0401" w:rsidRPr="00D02E16">
        <w:rPr>
          <w:b/>
          <w:lang w:val="en-GB"/>
        </w:rPr>
        <w:t>C</w:t>
      </w:r>
      <w:r w:rsidR="006F0401" w:rsidRPr="00D02E16">
        <w:rPr>
          <w:lang w:val="en-GB"/>
        </w:rPr>
        <w:t xml:space="preserve">apability </w:t>
      </w:r>
      <w:r w:rsidR="006F0401" w:rsidRPr="00D02E16">
        <w:rPr>
          <w:b/>
          <w:lang w:val="en-GB"/>
        </w:rPr>
        <w:t>D</w:t>
      </w:r>
      <w:r w:rsidR="006F0401" w:rsidRPr="00D02E16">
        <w:rPr>
          <w:lang w:val="en-GB"/>
        </w:rPr>
        <w:t xml:space="preserve">etermination“. </w:t>
      </w:r>
      <w:r w:rsidR="006F0401" w:rsidRPr="00D02E16">
        <w:t>Der ISO Standard wird dabei in folgende zehn Bände aufgeteilt:</w:t>
      </w:r>
    </w:p>
    <w:p w:rsidR="00A309EF" w:rsidRDefault="00A309EF" w:rsidP="00A309EF">
      <w:pPr>
        <w:keepNext/>
      </w:pPr>
      <w:r>
        <w:rPr>
          <w:noProof/>
          <w:lang w:eastAsia="de-DE"/>
        </w:rPr>
        <w:drawing>
          <wp:inline distT="0" distB="0" distL="0" distR="0" wp14:anchorId="5E7D1003" wp14:editId="1346EA99">
            <wp:extent cx="5760720" cy="2884170"/>
            <wp:effectExtent l="19050" t="19050" r="11430" b="114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4170"/>
                    </a:xfrm>
                    <a:prstGeom prst="rect">
                      <a:avLst/>
                    </a:prstGeom>
                    <a:ln>
                      <a:solidFill>
                        <a:schemeClr val="bg1">
                          <a:lumMod val="75000"/>
                        </a:schemeClr>
                      </a:solidFill>
                    </a:ln>
                  </pic:spPr>
                </pic:pic>
              </a:graphicData>
            </a:graphic>
          </wp:inline>
        </w:drawing>
      </w:r>
    </w:p>
    <w:p w:rsidR="00A309EF" w:rsidRPr="00A309EF" w:rsidRDefault="00A309EF" w:rsidP="00A309EF">
      <w:pPr>
        <w:pStyle w:val="Beschriftung"/>
      </w:pPr>
      <w:r>
        <w:t xml:space="preserve">Abbildung </w:t>
      </w:r>
      <w:fldSimple w:instr=" STYLEREF 1 \s ">
        <w:r w:rsidR="006C70C7">
          <w:rPr>
            <w:noProof/>
          </w:rPr>
          <w:t>0</w:t>
        </w:r>
      </w:fldSimple>
      <w:r w:rsidR="008C1A75">
        <w:t>.</w:t>
      </w:r>
      <w:fldSimple w:instr=" SEQ Abbildung \* ARABIC \s 1 ">
        <w:r w:rsidR="008C1A75">
          <w:rPr>
            <w:noProof/>
          </w:rPr>
          <w:t>1</w:t>
        </w:r>
      </w:fldSimple>
      <w:r>
        <w:t xml:space="preserve"> Interdepenzen zwischen ISO 15504 Bänder</w:t>
      </w:r>
    </w:p>
    <w:p w:rsidR="00A309EF" w:rsidRPr="00A309EF" w:rsidRDefault="00A309EF" w:rsidP="00A309EF"/>
    <w:p w:rsidR="00D3126F" w:rsidRDefault="00D3126F" w:rsidP="00D3126F">
      <w:r w:rsidRPr="00D02E16">
        <w:t>Die Bände stellen den Aufbau der Normenreihe aus der ISO-Reihe IEC 15504 dar und sind untereinander interdependent</w:t>
      </w:r>
      <w:r w:rsidR="00E061F5">
        <w:t xml:space="preserve"> zu sehen</w:t>
      </w:r>
      <w:r w:rsidRPr="00D02E16">
        <w:t xml:space="preserve">. </w:t>
      </w:r>
      <w:r w:rsidR="000F3812" w:rsidRPr="00D02E16">
        <w:t>Das wesentliche Ziel der Norm stellt die Verbesserung von Prozessen</w:t>
      </w:r>
      <w:r w:rsidR="006276D6" w:rsidRPr="00D02E16">
        <w:t xml:space="preserve"> in den Mittelpunkt.</w:t>
      </w:r>
      <w:r w:rsidR="000F3812" w:rsidRPr="00D02E16">
        <w:t xml:space="preserve"> </w:t>
      </w:r>
      <w:r w:rsidR="006276D6" w:rsidRPr="00D02E16">
        <w:t>Die Methodik</w:t>
      </w:r>
      <w:r w:rsidR="00CE2FCE">
        <w:t xml:space="preserve"> zur</w:t>
      </w:r>
      <w:r w:rsidR="00937481">
        <w:t xml:space="preserve"> Prozessbeurteilung </w:t>
      </w:r>
      <w:r w:rsidR="001170CF">
        <w:t xml:space="preserve">(engl. Capability Determination) </w:t>
      </w:r>
      <w:r w:rsidR="00937481">
        <w:t xml:space="preserve">und </w:t>
      </w:r>
      <w:r w:rsidR="008C1A75">
        <w:t>Prozess</w:t>
      </w:r>
      <w:r w:rsidR="00CE2FCE">
        <w:t>verbesserung</w:t>
      </w:r>
      <w:r w:rsidR="001170CF">
        <w:t xml:space="preserve"> (Process Improvement)</w:t>
      </w:r>
      <w:r w:rsidR="006276D6" w:rsidRPr="00D02E16">
        <w:t xml:space="preserve"> erfolgt </w:t>
      </w:r>
      <w:r w:rsidR="00CE2FCE">
        <w:t>anschließend</w:t>
      </w:r>
      <w:r w:rsidR="006276D6" w:rsidRPr="00D02E16">
        <w:t xml:space="preserve"> beispielsweise ü</w:t>
      </w:r>
      <w:r w:rsidR="000F3812" w:rsidRPr="00D02E16">
        <w:t>ber das in dieser Ausarbeitung behandelte Reifegradmodell</w:t>
      </w:r>
      <w:r w:rsidR="00D02E16" w:rsidRPr="00D02E16">
        <w:t>.</w:t>
      </w:r>
      <w:r w:rsidR="00D02E16">
        <w:t xml:space="preserve"> </w:t>
      </w:r>
    </w:p>
    <w:p w:rsidR="006F3DA3" w:rsidRDefault="00667453">
      <w:r>
        <w:t xml:space="preserve">Die Richtlinien beziehen sich in ihrer Standardisierung auf die </w:t>
      </w:r>
      <w:r w:rsidR="00937481">
        <w:t xml:space="preserve">Themenbereiche der </w:t>
      </w:r>
      <w:r>
        <w:t xml:space="preserve">Arbeitsorganisation, Methodik und Benutzerorientierung der Prozesse (hier: Softwareentwicklung als </w:t>
      </w:r>
      <w:r w:rsidR="003D7E8C">
        <w:t>Entwicklungsprozess</w:t>
      </w:r>
      <w:r>
        <w:t>).</w:t>
      </w:r>
      <w:r w:rsidR="00937481">
        <w:t xml:space="preserve"> Beim Übergang zu den im Jahre 2015 überarbeiteten Richtlinien, die als Fortführung der ISO IEC 155xx Normenreihe nun als ISO IEC 330xx beziffert werden, zeigen sich als wesentliche Änderungsmerkmale die Ausarbeitung des SPICE-Konzepts für den Automotive-Bereich, sowie eine ausgeweitete Reifegradbewertung der Prozesse.</w:t>
      </w:r>
      <w:r w:rsidR="00937481">
        <w:rPr>
          <w:rStyle w:val="Funotenzeichen"/>
        </w:rPr>
        <w:footnoteReference w:id="1"/>
      </w:r>
      <w:r w:rsidR="006D6824">
        <w:t xml:space="preserve"> </w:t>
      </w:r>
    </w:p>
    <w:p w:rsidR="00646C12" w:rsidRDefault="00646C12">
      <w:r>
        <w:br w:type="page"/>
      </w:r>
    </w:p>
    <w:p w:rsidR="006F3DA3" w:rsidRDefault="006F3DA3">
      <w:r>
        <w:lastRenderedPageBreak/>
        <w:t>Das SPICE Konzept teilt sich</w:t>
      </w:r>
      <w:r w:rsidR="009C42DD">
        <w:t xml:space="preserve"> für die Prozessbeurteilung sowie -verbesserung</w:t>
      </w:r>
      <w:r>
        <w:t xml:space="preserve"> in folgende wesentliche Bestandteile und Kriterien auf:</w:t>
      </w:r>
      <w:r w:rsidR="00E20F5E">
        <w:rPr>
          <w:rStyle w:val="Funotenzeichen"/>
        </w:rPr>
        <w:footnoteReference w:id="2"/>
      </w:r>
    </w:p>
    <w:p w:rsidR="006F3DA3" w:rsidRDefault="00F41D55" w:rsidP="006F3DA3">
      <w:pPr>
        <w:pStyle w:val="Listenabsatz"/>
        <w:numPr>
          <w:ilvl w:val="0"/>
          <w:numId w:val="2"/>
        </w:numPr>
      </w:pPr>
      <w:r>
        <w:t xml:space="preserve">Process </w:t>
      </w:r>
      <w:r w:rsidR="006F3DA3">
        <w:t>Assessment Model</w:t>
      </w:r>
      <w:r>
        <w:t xml:space="preserve"> (PAM)</w:t>
      </w:r>
    </w:p>
    <w:p w:rsidR="006F3DA3" w:rsidRDefault="006F3DA3" w:rsidP="006F3DA3">
      <w:pPr>
        <w:pStyle w:val="Listenabsatz"/>
        <w:numPr>
          <w:ilvl w:val="1"/>
          <w:numId w:val="2"/>
        </w:numPr>
      </w:pPr>
      <w:r>
        <w:t>Capability Levels</w:t>
      </w:r>
      <w:r w:rsidR="00D538E9">
        <w:t xml:space="preserve"> (Fähigkeitsdimension)</w:t>
      </w:r>
    </w:p>
    <w:p w:rsidR="009545D6" w:rsidRDefault="006F3DA3" w:rsidP="009545D6">
      <w:pPr>
        <w:pStyle w:val="Listenabsatz"/>
        <w:numPr>
          <w:ilvl w:val="1"/>
          <w:numId w:val="2"/>
        </w:numPr>
      </w:pPr>
      <w:r>
        <w:t>Process Attributes</w:t>
      </w:r>
      <w:r w:rsidR="009545D6">
        <w:t xml:space="preserve"> </w:t>
      </w:r>
    </w:p>
    <w:p w:rsidR="006F3DA3" w:rsidRDefault="006F3DA3" w:rsidP="006F3DA3">
      <w:pPr>
        <w:pStyle w:val="Listenabsatz"/>
        <w:numPr>
          <w:ilvl w:val="1"/>
          <w:numId w:val="2"/>
        </w:numPr>
      </w:pPr>
      <w:r>
        <w:t>Generic Practices</w:t>
      </w:r>
      <w:r w:rsidR="009545D6">
        <w:t xml:space="preserve"> </w:t>
      </w:r>
    </w:p>
    <w:p w:rsidR="006F3DA3" w:rsidRDefault="006F3DA3" w:rsidP="006F3DA3">
      <w:pPr>
        <w:pStyle w:val="Listenabsatz"/>
        <w:numPr>
          <w:ilvl w:val="1"/>
          <w:numId w:val="2"/>
        </w:numPr>
      </w:pPr>
      <w:r>
        <w:t>Gen</w:t>
      </w:r>
      <w:r w:rsidR="006677FA">
        <w:t>e</w:t>
      </w:r>
      <w:r>
        <w:t>ric Work Product</w:t>
      </w:r>
    </w:p>
    <w:p w:rsidR="006F3DA3" w:rsidRDefault="006F3DA3" w:rsidP="006F3DA3">
      <w:pPr>
        <w:pStyle w:val="Listenabsatz"/>
        <w:numPr>
          <w:ilvl w:val="0"/>
          <w:numId w:val="2"/>
        </w:numPr>
      </w:pPr>
      <w:r>
        <w:t>Process Reference Model</w:t>
      </w:r>
    </w:p>
    <w:p w:rsidR="006F3DA3" w:rsidRDefault="006F3DA3" w:rsidP="006F3DA3">
      <w:pPr>
        <w:pStyle w:val="Listenabsatz"/>
        <w:numPr>
          <w:ilvl w:val="1"/>
          <w:numId w:val="2"/>
        </w:numPr>
      </w:pPr>
      <w:r>
        <w:t>Process Areas</w:t>
      </w:r>
    </w:p>
    <w:p w:rsidR="006F3DA3" w:rsidRDefault="006F3DA3" w:rsidP="006F3DA3">
      <w:pPr>
        <w:pStyle w:val="Listenabsatz"/>
        <w:numPr>
          <w:ilvl w:val="1"/>
          <w:numId w:val="2"/>
        </w:numPr>
      </w:pPr>
      <w:r>
        <w:t>Processes Base Practices</w:t>
      </w:r>
    </w:p>
    <w:p w:rsidR="00F57021" w:rsidRDefault="006F3DA3" w:rsidP="006F3DA3">
      <w:pPr>
        <w:pStyle w:val="Listenabsatz"/>
        <w:numPr>
          <w:ilvl w:val="1"/>
          <w:numId w:val="2"/>
        </w:numPr>
      </w:pPr>
      <w:r>
        <w:t>Work Products</w:t>
      </w:r>
    </w:p>
    <w:p w:rsidR="00045189" w:rsidRDefault="003D7E8C" w:rsidP="00F57021">
      <w:r>
        <w:t xml:space="preserve">Das Process Reference Model geht hierbei aus der ISO Richtlinie </w:t>
      </w:r>
      <w:r w:rsidR="00750398">
        <w:t>IEC 12207</w:t>
      </w:r>
      <w:r w:rsidR="00B14A28">
        <w:t xml:space="preserve"> hervor und ist nach  Primär-, Sekundär- und Organisationsprozessen gegliedert.</w:t>
      </w:r>
      <w:r w:rsidR="00B14A28">
        <w:rPr>
          <w:rStyle w:val="Funotenzeichen"/>
        </w:rPr>
        <w:footnoteReference w:id="3"/>
      </w:r>
      <w:r w:rsidR="00F71B41">
        <w:t xml:space="preserve"> Innerhalb der SPICE-Assessments sollen Prozessänderungen als Abhängigkeit zu den Faktoren Person und Produktqualität gesehen werd</w:t>
      </w:r>
      <w:r w:rsidR="00045189">
        <w:t>en. Prozessänderungen</w:t>
      </w:r>
      <w:r w:rsidR="00F71B41">
        <w:t>,</w:t>
      </w:r>
      <w:r w:rsidR="00045189">
        <w:t xml:space="preserve"> </w:t>
      </w:r>
      <w:r w:rsidR="00F71B41">
        <w:t xml:space="preserve">und somit auch </w:t>
      </w:r>
      <w:r w:rsidR="006C70C7">
        <w:t>Prozess</w:t>
      </w:r>
      <w:r w:rsidR="00F71B41">
        <w:t>verbesserungen, sollen innerhalb der Prozesslandschaft nicht isoliert betrachtet werden.</w:t>
      </w:r>
      <w:r w:rsidR="00045189">
        <w:t xml:space="preserve"> </w:t>
      </w:r>
    </w:p>
    <w:p w:rsidR="008C1A75" w:rsidRDefault="00045189" w:rsidP="008C1A75">
      <w:pPr>
        <w:keepNext/>
      </w:pPr>
      <w:r>
        <w:rPr>
          <w:noProof/>
          <w:lang w:eastAsia="de-DE"/>
        </w:rPr>
        <w:drawing>
          <wp:inline distT="0" distB="0" distL="0" distR="0" wp14:anchorId="53939667" wp14:editId="024A9B6C">
            <wp:extent cx="5760720" cy="3110865"/>
            <wp:effectExtent l="19050" t="19050" r="11430" b="133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10865"/>
                    </a:xfrm>
                    <a:prstGeom prst="rect">
                      <a:avLst/>
                    </a:prstGeom>
                    <a:ln>
                      <a:solidFill>
                        <a:schemeClr val="bg1">
                          <a:lumMod val="75000"/>
                        </a:schemeClr>
                      </a:solidFill>
                    </a:ln>
                  </pic:spPr>
                </pic:pic>
              </a:graphicData>
            </a:graphic>
          </wp:inline>
        </w:drawing>
      </w:r>
    </w:p>
    <w:p w:rsidR="00045189" w:rsidRDefault="008C1A75" w:rsidP="008C1A75">
      <w:pPr>
        <w:pStyle w:val="Beschriftung"/>
      </w:pPr>
      <w:r>
        <w:t xml:space="preserve">Abbildung </w:t>
      </w:r>
      <w:fldSimple w:instr=" STYLEREF 1 \s ">
        <w:r w:rsidR="006C70C7">
          <w:rPr>
            <w:noProof/>
          </w:rPr>
          <w:t>0</w:t>
        </w:r>
      </w:fldSimple>
      <w:r>
        <w:t>.</w:t>
      </w:r>
      <w:fldSimple w:instr=" SEQ Abbildung \* ARABIC \s 1 ">
        <w:r>
          <w:rPr>
            <w:noProof/>
          </w:rPr>
          <w:t>2</w:t>
        </w:r>
      </w:fldSimple>
      <w:r>
        <w:t xml:space="preserve"> SPICE Capability Levels</w:t>
      </w:r>
      <w:r w:rsidR="0073578B">
        <w:rPr>
          <w:rStyle w:val="Funotenzeichen"/>
        </w:rPr>
        <w:footnoteReference w:id="4"/>
      </w:r>
    </w:p>
    <w:p w:rsidR="00937481" w:rsidRDefault="00045189" w:rsidP="00F57021">
      <w:r>
        <w:t xml:space="preserve">Im Assessment Model (PAM) dienen die in der obigen Abbildung </w:t>
      </w:r>
      <w:r w:rsidR="0073578B">
        <w:t>aufgeführten</w:t>
      </w:r>
      <w:r>
        <w:t xml:space="preserve"> Fähigkeitsdimensionen zur Einstufung</w:t>
      </w:r>
      <w:r w:rsidR="008C1A75">
        <w:t xml:space="preserve"> und Einschätzung</w:t>
      </w:r>
      <w:r>
        <w:t xml:space="preserve"> der Prozesskapazität. </w:t>
      </w:r>
      <w:r w:rsidR="00AD5003">
        <w:t>Daraus lassen sich Potenziale ermitteln, die im Rahmen der Prozessverbesserung vorgenommen werden können. Weitere Bewertungsmöglichkeiten sind im Folgenden aufgeführt.</w:t>
      </w:r>
      <w:r w:rsidR="00937481">
        <w:br w:type="page"/>
      </w:r>
    </w:p>
    <w:p w:rsidR="00937481" w:rsidRDefault="00E20F5E" w:rsidP="00D3126F">
      <w:r>
        <w:lastRenderedPageBreak/>
        <w:t>Andreas Baerwald, Uni Regensburg.</w:t>
      </w:r>
      <w:r>
        <w:br/>
      </w:r>
      <w:hyperlink r:id="rId10" w:history="1">
        <w:r w:rsidR="00937481" w:rsidRPr="009D0D59">
          <w:rPr>
            <w:rStyle w:val="Hyperlink"/>
          </w:rPr>
          <w:t>https://epub.uni-regensburg.de/38145/1/Dissertation_Andreas_Baerwald_2018-12-17_final.pdf</w:t>
        </w:r>
      </w:hyperlink>
    </w:p>
    <w:p w:rsidR="00E20F5E" w:rsidRDefault="00E20F5E" w:rsidP="00D3126F">
      <w:r>
        <w:t>SE-Konferenzen</w:t>
      </w:r>
      <w:r>
        <w:br/>
      </w:r>
      <w:hyperlink r:id="rId11" w:history="1">
        <w:r w:rsidRPr="009D0D59">
          <w:rPr>
            <w:rStyle w:val="Hyperlink"/>
          </w:rPr>
          <w:t>http://www.se-konferenzen.de/bisher/se2007/folien/se2007-B2-3.pdf</w:t>
        </w:r>
      </w:hyperlink>
    </w:p>
    <w:p w:rsidR="00E20F5E" w:rsidRDefault="00E20F5E" w:rsidP="00D3126F"/>
    <w:p w:rsidR="00937481" w:rsidRDefault="0073578B" w:rsidP="00D3126F">
      <w:r>
        <w:t>Kugler Maag</w:t>
      </w:r>
      <w:r w:rsidR="00AD5003">
        <w:br/>
      </w:r>
      <w:hyperlink r:id="rId12" w:history="1">
        <w:r w:rsidR="00AD5003" w:rsidRPr="009D0D59">
          <w:rPr>
            <w:rStyle w:val="Hyperlink"/>
          </w:rPr>
          <w:t>https://www.kuglermaag.de/fileadmin/05_CONTENT_PDF/2-10_automotive-spice_version_3_pocketguide.pdf</w:t>
        </w:r>
      </w:hyperlink>
    </w:p>
    <w:p w:rsidR="00AD5003" w:rsidRPr="00D02E16" w:rsidRDefault="00AD5003" w:rsidP="00D3126F"/>
    <w:sectPr w:rsidR="00AD5003" w:rsidRPr="00D02E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3A4" w:rsidRDefault="00FF23A4" w:rsidP="00937481">
      <w:pPr>
        <w:spacing w:after="0" w:line="240" w:lineRule="auto"/>
      </w:pPr>
      <w:r>
        <w:separator/>
      </w:r>
    </w:p>
  </w:endnote>
  <w:endnote w:type="continuationSeparator" w:id="0">
    <w:p w:rsidR="00FF23A4" w:rsidRDefault="00FF23A4" w:rsidP="0093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3A4" w:rsidRDefault="00FF23A4" w:rsidP="00937481">
      <w:pPr>
        <w:spacing w:after="0" w:line="240" w:lineRule="auto"/>
      </w:pPr>
      <w:r>
        <w:separator/>
      </w:r>
    </w:p>
  </w:footnote>
  <w:footnote w:type="continuationSeparator" w:id="0">
    <w:p w:rsidR="00FF23A4" w:rsidRDefault="00FF23A4" w:rsidP="00937481">
      <w:pPr>
        <w:spacing w:after="0" w:line="240" w:lineRule="auto"/>
      </w:pPr>
      <w:r>
        <w:continuationSeparator/>
      </w:r>
    </w:p>
  </w:footnote>
  <w:footnote w:id="1">
    <w:p w:rsidR="00937481" w:rsidRDefault="00937481">
      <w:pPr>
        <w:pStyle w:val="Funotentext"/>
      </w:pPr>
      <w:r>
        <w:rPr>
          <w:rStyle w:val="Funotenzeichen"/>
        </w:rPr>
        <w:footnoteRef/>
      </w:r>
      <w:r>
        <w:t xml:space="preserve"> Andreas Baerwald, Uni Regensburg.</w:t>
      </w:r>
    </w:p>
  </w:footnote>
  <w:footnote w:id="2">
    <w:p w:rsidR="00E20F5E" w:rsidRDefault="00E20F5E">
      <w:pPr>
        <w:pStyle w:val="Funotentext"/>
      </w:pPr>
      <w:r>
        <w:rPr>
          <w:rStyle w:val="Funotenzeichen"/>
        </w:rPr>
        <w:footnoteRef/>
      </w:r>
      <w:r>
        <w:t xml:space="preserve"> SE-Konferenzen.</w:t>
      </w:r>
    </w:p>
  </w:footnote>
  <w:footnote w:id="3">
    <w:p w:rsidR="00B14A28" w:rsidRDefault="00B14A28">
      <w:pPr>
        <w:pStyle w:val="Funotentext"/>
      </w:pPr>
      <w:r>
        <w:rPr>
          <w:rStyle w:val="Funotenzeichen"/>
        </w:rPr>
        <w:footnoteRef/>
      </w:r>
      <w:r>
        <w:t xml:space="preserve"> SE-Konferenzen.</w:t>
      </w:r>
    </w:p>
  </w:footnote>
  <w:footnote w:id="4">
    <w:p w:rsidR="0073578B" w:rsidRDefault="0073578B">
      <w:pPr>
        <w:pStyle w:val="Funotentext"/>
      </w:pPr>
      <w:r>
        <w:rPr>
          <w:rStyle w:val="Funotenzeichen"/>
        </w:rPr>
        <w:footnoteRef/>
      </w:r>
      <w:r>
        <w:t xml:space="preserve"> Kugler Maag.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C42E9"/>
    <w:multiLevelType w:val="hybridMultilevel"/>
    <w:tmpl w:val="6576CC58"/>
    <w:lvl w:ilvl="0" w:tplc="9DBA963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6696689A"/>
    <w:multiLevelType w:val="hybridMultilevel"/>
    <w:tmpl w:val="4D10B06A"/>
    <w:lvl w:ilvl="0" w:tplc="44E6A9A2">
      <w:start w:val="1"/>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8A"/>
    <w:rsid w:val="00045189"/>
    <w:rsid w:val="000926DF"/>
    <w:rsid w:val="000F3812"/>
    <w:rsid w:val="001170CF"/>
    <w:rsid w:val="001B540E"/>
    <w:rsid w:val="00233BFF"/>
    <w:rsid w:val="003679E2"/>
    <w:rsid w:val="003A4ADD"/>
    <w:rsid w:val="003B0101"/>
    <w:rsid w:val="003B7E36"/>
    <w:rsid w:val="003D7E8C"/>
    <w:rsid w:val="004A2EAA"/>
    <w:rsid w:val="004C7AED"/>
    <w:rsid w:val="004D0850"/>
    <w:rsid w:val="004D3445"/>
    <w:rsid w:val="006032E0"/>
    <w:rsid w:val="006276D6"/>
    <w:rsid w:val="00646C12"/>
    <w:rsid w:val="00667453"/>
    <w:rsid w:val="006677FA"/>
    <w:rsid w:val="006C70C7"/>
    <w:rsid w:val="006D246E"/>
    <w:rsid w:val="006D6824"/>
    <w:rsid w:val="006F0401"/>
    <w:rsid w:val="006F3DA3"/>
    <w:rsid w:val="0070568E"/>
    <w:rsid w:val="0073578B"/>
    <w:rsid w:val="00750398"/>
    <w:rsid w:val="0082373F"/>
    <w:rsid w:val="00881763"/>
    <w:rsid w:val="008C1A75"/>
    <w:rsid w:val="009137B4"/>
    <w:rsid w:val="00937481"/>
    <w:rsid w:val="009545D6"/>
    <w:rsid w:val="009C42DD"/>
    <w:rsid w:val="00A309EF"/>
    <w:rsid w:val="00AD5003"/>
    <w:rsid w:val="00B14A28"/>
    <w:rsid w:val="00BB36E2"/>
    <w:rsid w:val="00C66E72"/>
    <w:rsid w:val="00CE2FCE"/>
    <w:rsid w:val="00D02E16"/>
    <w:rsid w:val="00D3126F"/>
    <w:rsid w:val="00D538E9"/>
    <w:rsid w:val="00E061F5"/>
    <w:rsid w:val="00E20F5E"/>
    <w:rsid w:val="00EC1897"/>
    <w:rsid w:val="00F41D55"/>
    <w:rsid w:val="00F57021"/>
    <w:rsid w:val="00F71B41"/>
    <w:rsid w:val="00F7438A"/>
    <w:rsid w:val="00FF23A4"/>
    <w:rsid w:val="00FF48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9890B-7FDF-4362-86C2-0E65629B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0401"/>
    <w:pPr>
      <w:ind w:left="720"/>
      <w:contextualSpacing/>
    </w:pPr>
  </w:style>
  <w:style w:type="character" w:styleId="Hyperlink">
    <w:name w:val="Hyperlink"/>
    <w:basedOn w:val="Absatz-Standardschriftart"/>
    <w:uiPriority w:val="99"/>
    <w:unhideWhenUsed/>
    <w:rsid w:val="00937481"/>
    <w:rPr>
      <w:color w:val="0563C1" w:themeColor="hyperlink"/>
      <w:u w:val="single"/>
    </w:rPr>
  </w:style>
  <w:style w:type="paragraph" w:styleId="Funotentext">
    <w:name w:val="footnote text"/>
    <w:basedOn w:val="Standard"/>
    <w:link w:val="FunotentextZchn"/>
    <w:uiPriority w:val="99"/>
    <w:semiHidden/>
    <w:unhideWhenUsed/>
    <w:rsid w:val="009374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7481"/>
    <w:rPr>
      <w:sz w:val="20"/>
      <w:szCs w:val="20"/>
    </w:rPr>
  </w:style>
  <w:style w:type="character" w:styleId="Funotenzeichen">
    <w:name w:val="footnote reference"/>
    <w:basedOn w:val="Absatz-Standardschriftart"/>
    <w:uiPriority w:val="99"/>
    <w:semiHidden/>
    <w:unhideWhenUsed/>
    <w:rsid w:val="00937481"/>
    <w:rPr>
      <w:vertAlign w:val="superscript"/>
    </w:rPr>
  </w:style>
  <w:style w:type="paragraph" w:styleId="Beschriftung">
    <w:name w:val="caption"/>
    <w:basedOn w:val="Standard"/>
    <w:next w:val="Standard"/>
    <w:uiPriority w:val="35"/>
    <w:unhideWhenUsed/>
    <w:qFormat/>
    <w:rsid w:val="00A309EF"/>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C70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C70C7"/>
    <w:pPr>
      <w:outlineLvl w:val="9"/>
    </w:pPr>
    <w:rPr>
      <w:lang w:eastAsia="de-DE"/>
    </w:rPr>
  </w:style>
  <w:style w:type="paragraph" w:styleId="Verzeichnis1">
    <w:name w:val="toc 1"/>
    <w:basedOn w:val="Standard"/>
    <w:next w:val="Standard"/>
    <w:autoRedefine/>
    <w:uiPriority w:val="39"/>
    <w:unhideWhenUsed/>
    <w:rsid w:val="006C70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uglermaag.de/fileadmin/05_CONTENT_PDF/2-10_automotive-spice_version_3_pocketgu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konferenzen.de/bisher/se2007/folien/se2007-B2-3.pdf" TargetMode="External"/><Relationship Id="rId5" Type="http://schemas.openxmlformats.org/officeDocument/2006/relationships/webSettings" Target="webSettings.xml"/><Relationship Id="rId10" Type="http://schemas.openxmlformats.org/officeDocument/2006/relationships/hyperlink" Target="https://epub.uni-regensburg.de/38145/1/Dissertation_Andreas_Baerwald_2018-12-17_fin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89C121B0-ADC5-4E19-BC39-492857C1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3569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2</cp:revision>
  <dcterms:created xsi:type="dcterms:W3CDTF">2020-02-12T10:27:00Z</dcterms:created>
  <dcterms:modified xsi:type="dcterms:W3CDTF">2020-02-12T10:27:00Z</dcterms:modified>
</cp:coreProperties>
</file>