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A股策略回测技术与验收附录</w:t>
      </w:r>
    </w:p>
    <w:p>
      <w:hyperlink r:id="rId11">
        <w:r>
          <w:rPr>
            <w:color w:val="8E412C"/>
          </w:rPr>
          <w:t>公网产品</w:t>
        </w:r>
      </w:hyperlink>
      <w:r>
        <w:t xml:space="preserve">  ·  核验基准 2026年9月6日</w:t>
      </w:r>
    </w:p>
    <w:p>
      <w:bookmarkStart w:id="1" w:name="ux-details"/>
      <w:pPr>
        <w:pStyle w:val="Heading1"/>
      </w:pPr>
      <w:r>
        <w:t>A1 用户旅程与功能边界</w:t>
      </w:r>
      <w:bookmarkEnd w:id="1"/>
    </w:p>
    <w:p>
      <w:r>
        <w:t>服务对象是想验证单只 A 股买卖规则、但不希望编写回测代码的用户。当前交付是单股、多条件、日线、只做多的历史研究模拟，不是多资产组合引擎、盘中盯盘或实际下单系统。</w:t>
      </w:r>
    </w:p>
    <w:p>
      <w:r>
        <w:t>用户表达不完整时只追问决定执行的缺项；有策略片段先保留，不把闲聊强行解释成交易指令。股票简称有歧义时当前轮给出真实候选，完整名称已确认则不重复追问。</w:t>
      </w:r>
    </w:p>
    <w:p>
      <w:r>
        <w:t>报告后换股票、局部改阈值或整体改买卖条件会形成新的策略版本与运行；当前实例内保留旧报告，容器替换后长期找回尚不保证。结果比较需核对股票、区间、费用与数据来源，条件不同不能把差额全部归因于策略优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已经实现的交互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不能据此推断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入口与联想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不同流派示例、股票×策略候选；5567 条沪深北名称／代码本地检索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所有新股和改名均会自动更新；全市场行情已离线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规则审阅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股票原位替换，条件分行，且／或可改，二级参数页，区间可编辑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任意自然语言都能变成支持的历史条件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等待与恢复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真实短语／返回文本，自适应至160px；有限补查期间不提前判失败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无限重试、无限并发或所有手机断网都已覆盖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报告与修改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净值、基准、交易及统计；模型简述与候选调整；保留旧报告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推荐方案已经运行或保证改善</w:t>
            </w:r>
          </w:p>
        </w:tc>
      </w:tr>
    </w:tbl>
    <w:p>
      <w:pPr>
        <w:spacing w:after="20"/>
      </w:pP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hyperlink r:id="rId12">
        <w:r>
          <w:rPr>
            <w:color w:val="8E412C"/>
          </w:rPr>
          <w:t>web/src/App.tsx</w:t>
        </w:r>
      </w:hyperlink>
    </w:p>
    <w:p>
      <w:pPr>
        <w:pStyle w:val="Caption"/>
      </w:pPr>
      <w:hyperlink r:id="rId13">
        <w:r>
          <w:rPr>
            <w:color w:val="8E412C"/>
          </w:rPr>
          <w:t>docs/release-public-004-20260906.md</w:t>
        </w:r>
      </w:hyperlink>
    </w:p>
    <w:p>
      <w:pPr>
        <w:pStyle w:val="Caption"/>
      </w:pPr>
      <w:r>
        <w:t>docs/bug-backlog-and-acceptance.md，当前剩余待办与归档依据</w:t>
      </w:r>
    </w:p>
    <w:p>
      <w:r>
        <w:br w:type="page"/>
      </w:r>
    </w:p>
    <w:p>
      <w:bookmarkStart w:id="2" w:name="capabilities"/>
      <w:pPr>
        <w:pStyle w:val="Heading1"/>
      </w:pPr>
      <w:r>
        <w:t>A2 支持的指标与取值来源</w:t>
      </w:r>
      <w:bookmarkEnd w:id="2"/>
    </w:p>
    <w:p>
      <w:r>
        <w:t>以本次核验的公网 /api/v1/capabilities 为准：目录列出 37 项指标，其中 10 项为当前 stable 可执行能力，27 项 unavailable。目录认识一个名称，不等于当前数据链路能执行它。以下是活跃单股历史链路，而非泛化金融知识范围。</w:t>
      </w:r>
    </w:p>
    <w:p>
      <w:r>
        <w:t>本地推导 3 项，其余 7 项使用经字段、参数和日期校验的东方财富序列。RSI 的指标值由数据方返回，当前 Python 不另行实现一套 RSI 数值公式；Python 负责按日比较阈值与触发交易。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能力 ID／指标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参数及关系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本次活跃链路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market.amount 成交额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阈值，上／下穿、高于／低于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东方财富字段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market.turnover_rate 换手率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阈值，上／下穿、高于／低于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东方财富字段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price.amplitude 振幅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阈值，上／下穿、高于／低于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东方财富字段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price.close 收盘价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价格阈值，含≥／≤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东方财富字段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price.consecutive_up 连续上涨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天数1–1000，默认3；至少N天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东方财富字段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price.rolling_high 滚动新高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周期1–1000，默认20；价格字段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Python：当前价 &gt; 前N日最大值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technical.ma 单均线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周期1–1000，默认20；价格字段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Python：含当日的N日均值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technical.ma_cross 双均线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快线1–500、慢线2–1000；默认5／20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东方财富双均线序列；Python比较交叉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technical.rsi 相对强弱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周期2–1000，默认14；阈值关系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东方财富对应周期RSI序列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volume.relative 相对成交量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基准1–1000，默认20；倍数／连续满足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Python：当日量 ÷ 前N日平均量</w:t>
            </w:r>
          </w:p>
        </w:tc>
      </w:tr>
    </w:tbl>
    <w:p>
      <w:pPr>
        <w:spacing w:after="20"/>
      </w:pP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hyperlink r:id="rId14">
        <w:r>
          <w:rPr>
            <w:color w:val="8E412C"/>
          </w:rPr>
          <w:t>ashare_lab/api/skill_app.py</w:t>
        </w:r>
      </w:hyperlink>
    </w:p>
    <w:p>
      <w:pPr>
        <w:pStyle w:val="Caption"/>
      </w:pPr>
      <w:hyperlink r:id="rId15">
        <w:r>
          <w:rPr>
            <w:color w:val="8E412C"/>
          </w:rPr>
          <w:t>ashare_lab/adapters/market_data/mx_indicator_contract.py</w:t>
        </w:r>
      </w:hyperlink>
    </w:p>
    <w:p>
      <w:pPr>
        <w:pStyle w:val="Caption"/>
      </w:pPr>
      <w:hyperlink r:id="rId16">
        <w:r>
          <w:rPr>
            <w:color w:val="8E412C"/>
          </w:rPr>
          <w:t>ashare_lab/application/skill_backtest_service.py</w:t>
        </w:r>
      </w:hyperlink>
    </w:p>
    <w:p>
      <w:r>
        <w:br w:type="page"/>
      </w:r>
    </w:p>
    <w:p>
      <w:bookmarkStart w:id="3" w:name="scope"/>
      <w:pPr>
        <w:pStyle w:val="Heading1"/>
      </w:pPr>
      <w:r>
        <w:t>A3 组合逻辑与未支持范围</w:t>
      </w:r>
      <w:bookmarkEnd w:id="3"/>
    </w:p>
    <w:p>
      <w:r>
        <w:t>买入／卖出可组合多个条件。ALL 表示在同一个评估时点全部满足；ANY 表示任一条件满足。无法评估或缺必要数据不视作满足。阈值上穿按前一时点未超过、当前时点超过判断；下穿方向相反，不把“高于阈值”误当“上穿”。</w:t>
      </w:r>
    </w:p>
    <w:p>
      <w:r>
        <w:t>卖出可使用持仓亏损止损、盈利止盈、持仓后最高收盘价回撤、持有期条件。收盘类价格风控根据调整后价格与实际进入价格／持仓收盘高点计算，收盘确认后下一可交易开盘尝试成交，不是盘中触价保证成交。</w:t>
      </w:r>
    </w:p>
    <w:p>
      <w:r>
        <w:t>关键例子：‘持有满10个交易日 且 RSI高于55’在持有期达到后继续等待；某日收盘两条件同时满足，下一交易日尝试卖出。‘或’及独立持有期走相应到期退出语义，不能将 ALL 编译成任意到期即卖。</w:t>
      </w:r>
    </w:p>
    <w:p>
      <w:r>
        <w:t>MACD、EMA、BOLL、KDJ、CCI、BBI、OBV、ATR、ADX／DMI、BIAS、ROC 等当前不应承诺可执行；缺的是当前验证过的数据契约或活跃支持路径，不是模型是否理解指标。参数范围可配置也不代表每只股票、每段历史均有足够数据。</w:t>
      </w:r>
    </w:p>
    <w:p>
      <w:r>
        <w:t>选股和当前指标查数可以使用更广泛复合条件；它们用于选取当下研究样本，不等于按历史每个时点重建无幸存者偏差股票池。财务／事件／新闻可作研究背景，但尚未接成当前活跃引擎的历史事件条件。不得用今天选出的股票倒称过去可知。</w:t>
      </w: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hyperlink r:id="rId17">
        <w:r>
          <w:rPr>
            <w:color w:val="8E412C"/>
          </w:rPr>
          <w:t>ashare_lab/application/skill_backtest.py</w:t>
        </w:r>
      </w:hyperlink>
    </w:p>
    <w:p>
      <w:pPr>
        <w:pStyle w:val="Caption"/>
      </w:pPr>
      <w:hyperlink r:id="rId14">
        <w:r>
          <w:rPr>
            <w:color w:val="8E412C"/>
          </w:rPr>
          <w:t>ashare_lab/api/skill_app.py</w:t>
        </w:r>
      </w:hyperlink>
    </w:p>
    <w:p>
      <w:pPr>
        <w:pStyle w:val="Caption"/>
      </w:pPr>
      <w:hyperlink r:id="rId13">
        <w:r>
          <w:rPr>
            <w:color w:val="8E412C"/>
          </w:rPr>
          <w:t>docs/release-public-004-20260906.md</w:t>
        </w:r>
      </w:hyperlink>
    </w:p>
    <w:p>
      <w:r>
        <w:br w:type="page"/>
      </w:r>
    </w:p>
    <w:p>
      <w:bookmarkStart w:id="4" w:name="cache"/>
      <w:pPr>
        <w:pStyle w:val="Heading1"/>
      </w:pPr>
      <w:r>
        <w:t>A4 数据链路与缓存策略</w:t>
      </w:r>
      <w:bookmarkEnd w:id="4"/>
    </w:p>
    <w:p>
      <w:r>
        <w:t>缓存按对象分层，不是把全部股票的所有行情都存下来。静态名称缓存支撑搜索；行情与指标缓存复用已核验输入；策略、运行与报告另存于应用存储。命中缓存仍需执行策略计算，不由模型直接复用一个收益数。</w:t>
      </w:r>
    </w:p>
    <w:p>
      <w:r>
        <w:t>持久行情／指标白名单仅五只：东方财富300059.SZ、贵州茅台600519.SH、平安银行000001.SZ、中芯国际688981.SH、比亚迪002594.SZ。其他股票的日线历史可进入内存缓存，但不能宣称均有磁盘持久缓存。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命中顺序／键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更新与限制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名称及代码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前端静态5567条，名称／代码联想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随资源发布；非行情，需维护新股与改名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日线历史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内存LRU最多128项 → 白名单磁盘 → 东方财富；股票＋起止日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磁盘可覆盖区间裁切；当前没有统一TTL失效检查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历史指标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白名单磁盘 → 东方财富；股票＋指标／参数＋字段＋日期＋命名空间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默认TTL 24小时；字段、版本和来源证据需匹配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重复在途请求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同键并发共享一次取数的结果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不等于所有模型调用有缓存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强制重新读取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跳过普通缓存／普通在途复用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独立请求归属，避免旧请求晚回覆盖新结果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策略与报告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SQLite／运行产物保存版本、结果与来源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当前临时实例存储，容器替换后长期保留不保证</w:t>
            </w:r>
          </w:p>
        </w:tc>
      </w:tr>
    </w:tbl>
    <w:p>
      <w:pPr>
        <w:spacing w:after="20"/>
      </w:pP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hyperlink r:id="rId18">
        <w:r>
          <w:rPr>
            <w:color w:val="8E412C"/>
          </w:rPr>
          <w:t>ashare_lab/adapters/market_data/mx_daily_history.py</w:t>
        </w:r>
      </w:hyperlink>
    </w:p>
    <w:p>
      <w:pPr>
        <w:pStyle w:val="Caption"/>
      </w:pPr>
      <w:hyperlink r:id="rId16">
        <w:r>
          <w:rPr>
            <w:color w:val="8E412C"/>
          </w:rPr>
          <w:t>ashare_lab/application/skill_backtest_service.py</w:t>
        </w:r>
      </w:hyperlink>
    </w:p>
    <w:p>
      <w:pPr>
        <w:pStyle w:val="Caption"/>
      </w:pPr>
      <w:hyperlink r:id="rId19">
        <w:r>
          <w:rPr>
            <w:color w:val="8E412C"/>
          </w:rPr>
          <w:t>docs/bugfix-execution-settings-20260906.md</w:t>
        </w:r>
      </w:hyperlink>
    </w:p>
    <w:p>
      <w:r>
        <w:br w:type="page"/>
      </w:r>
    </w:p>
    <w:p>
      <w:bookmarkStart w:id="5" w:name="calculation"/>
      <w:pPr>
        <w:pStyle w:val="Heading1"/>
      </w:pPr>
      <w:r>
        <w:t>A5 Python 逐日模拟与成交口径</w:t>
      </w:r>
      <w:bookmarkEnd w:id="5"/>
    </w:p>
    <w:p>
      <w:r>
        <w:t>执行入口为 run_skill_backtest，运行的是固定 Python 实现与经校验的结构化策略，不执行模型生成的任意 Python 代码。收益按数据方调整后价格进行收益单位模拟；原始开高低收、交易状态与涨跌停字段用于判断可成交性。这不是完整整手股票、分红送转现金分录账本。</w:t>
      </w:r>
    </w:p>
    <w:p>
      <w:r>
        <w:t>先加载回测区间与指标预热历史，检查覆盖、价格口径、字段和时点。滚动新高与相对成交量的基准排除当天；单均线含当天。预热不足或必需数据缺失不能编造值，更不能悄悄缩短用户要求的区间。</w:t>
      </w:r>
    </w:p>
    <w:p>
      <w:r>
        <w:t>逐日顺序为处理待执行订单、更新持仓与净值、按收盘数据评估条件、安排下一可交易日开盘尝试。遵守 T+1；卖出优先，同日已完成退出不立即再次买入。停牌、无有效开盘价或不满足涨跌停成交规则会阻断成交。</w:t>
      </w:r>
    </w:p>
    <w:p>
      <w:r>
        <w:t>默认参与率上限采用前一完整交易日成交量 × 当日原始开盘价 × 5%，支持容量导致部分成交；可选不限制容量。该代理估计不等于有逐笔盘口撮合证据。</w:t>
      </w:r>
    </w:p>
    <w:p>
      <w:r>
        <w:t>默认单边滑点5bps，买价乘1.0005、卖价乘0.9995；佣金每次 max(5元, 成交额×0.0003)，按用户设置可调整。当前活跃费用函数未单独实现印花税和过户费，不能宣称覆盖全部真实A股成本。</w:t>
      </w:r>
    </w:p>
    <w:p>
      <w:r>
        <w:t>同股持有基准以相同初始资金和对应执行约束买入后持有。期末未平仓按市值计入净值，不强制卖出；需与完整交易回合区分。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涨跌停选项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实际含义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严格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不利方向触及涨跌停时不成交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默认保守／等待打开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日线无法证明开盘后解锁；缺少证据的开盘不成交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允许成交量代理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允许在成交量容量约束下估算；不保证真实排队可成交</w:t>
            </w:r>
          </w:p>
        </w:tc>
      </w:tr>
    </w:tbl>
    <w:p>
      <w:pPr>
        <w:spacing w:after="20"/>
      </w:pP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hyperlink r:id="rId17">
        <w:r>
          <w:rPr>
            <w:color w:val="8E412C"/>
          </w:rPr>
          <w:t>ashare_lab/application/skill_backtest.py</w:t>
        </w:r>
      </w:hyperlink>
    </w:p>
    <w:p>
      <w:pPr>
        <w:pStyle w:val="Caption"/>
      </w:pPr>
      <w:hyperlink r:id="rId16">
        <w:r>
          <w:rPr>
            <w:color w:val="8E412C"/>
          </w:rPr>
          <w:t>ashare_lab/application/skill_backtest_service.py</w:t>
        </w:r>
      </w:hyperlink>
    </w:p>
    <w:p>
      <w:r>
        <w:br w:type="page"/>
      </w:r>
    </w:p>
    <w:p>
      <w:bookmarkStart w:id="6" w:name="metrics"/>
      <w:pPr>
        <w:pStyle w:val="Heading1"/>
      </w:pPr>
      <w:r>
        <w:t>A6 结果指标如何计算</w:t>
      </w:r>
      <w:bookmarkEnd w:id="6"/>
    </w:p>
    <w:p>
      <w:r>
        <w:t>所有统计来自不可变运行产物中的净值曲线及已完成交易回合；模型不参与以下数值计算。报告展示需区分百分比收益与百分点差，不能将跑赢基准解释成盈利。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统计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固定计算规则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策略收益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期末净值 ÷ 期初净值 − 1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年化收益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(期末／期初)^(365.2425／实际经过自然日) − 1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最大回撤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逐日净值 ÷ 截至当日历史最高净值 − 1，取最小值；显示负值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年化波动率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每日净值收益的样本标准差 × √252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夏普比率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每日收益均值 ÷ 样本标准差 × √252；此实现未扣无风险利率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超额收益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策略累计收益 − 同股持有累计收益；为百分点差，不是回归alpha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完整交易次数／胜率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完整回合数；扣费用后净盈利回合 ÷ 完整回合，无回合则为空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盈利因子 profit_factor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盈利回合净利润合计 ÷ 亏损回合净亏损绝对值；无亏损需特殊展示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平均持有天数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完成回合买入至卖出的自然日平均差，不是持有规则的交易日参数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样本警示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完成回合少于30即提示样本不足；不是超过30就证明有效</w:t>
            </w:r>
          </w:p>
        </w:tc>
      </w:tr>
    </w:tbl>
    <w:p>
      <w:pPr>
        <w:spacing w:after="20"/>
      </w:pPr>
    </w:p>
    <w:p>
      <w:r>
        <w:t>实际例子：7.40% − 20.55% = −13.15个百分点。2个完整回合、4笔成交与12条活动记录是三种不同计数；胜率100%只有2个样本，不能对外宣传高胜率策略。</w:t>
      </w: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hyperlink r:id="rId20">
        <w:r>
          <w:rPr>
            <w:color w:val="8E412C"/>
          </w:rPr>
          <w:t>ashare_lab/domain/analytics/metrics.py</w:t>
        </w:r>
      </w:hyperlink>
    </w:p>
    <w:p>
      <w:pPr>
        <w:pStyle w:val="Caption"/>
      </w:pPr>
      <w:hyperlink r:id="rId21">
        <w:r>
          <w:rPr>
            <w:color w:val="8E412C"/>
          </w:rPr>
          <w:t>docs/releases/public-004-acceptance.json</w:t>
        </w:r>
      </w:hyperlink>
    </w:p>
    <w:p>
      <w:r>
        <w:br w:type="page"/>
      </w:r>
    </w:p>
    <w:p>
      <w:bookmarkStart w:id="7" w:name="models"/>
      <w:pPr>
        <w:pStyle w:val="Heading1"/>
      </w:pPr>
      <w:r>
        <w:t>A7 基模与提示词如何分工</w:t>
      </w:r>
      <w:bookmarkEnd w:id="7"/>
    </w:p>
    <w:p>
      <w:r>
        <w:t>当前发布配置中，候选模型为 deepseek-v4-flash，关闭 thinking；复杂规划／报告为 deepseek-v4-pro，开启 thinking、reasoning_effort=high。公网真实报告记录已确认 Pro 与提示词 backtest-review.prompt.v12。Flash 为配置核验，不表示所有请求都使用同一种调用路径。</w:t>
      </w:r>
    </w:p>
    <w:p>
      <w:r>
        <w:t>下列为提示词结构化摘述，不是完整提示词逐字抄录。凭证、内部地址和用户会话内容不随汇报导出。模型返回的思考文本仅是体验展示，不作为收益、行情或因果的证据。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传入模型的材料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约束与输出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候选解析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用户原话、股票上下文、日期、能力矩阵、JSON Schema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保留明确参数；缺关键项澄清；不得补造代码、指标或行情；输出候选JSON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想法规划／补查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用户目标、可执行指标、已返回股票和字段、缺项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只提出范围内补查与可执行方向；参数仍由工程校验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报告解释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strategy、verifiedResultFacts、completedRuns、已展示方案、证据等级、报告引用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只引已验证事实；未运行方案不能说已盈利；比较需核对股票／区间／费用／数据版本</w:t>
            </w:r>
          </w:p>
        </w:tc>
      </w:tr>
    </w:tbl>
    <w:p>
      <w:pPr>
        <w:spacing w:after="20"/>
      </w:pPr>
    </w:p>
    <w:p>
      <w:r>
        <w:t>候选主提示词版本为 ashare-lab.bounded-candidate.prompt.v1。候选结构不合约或偏离原文时，校验层拒绝或进行有限修复，不能让模型输出直接进入计算。</w:t>
      </w:r>
    </w:p>
    <w:p>
      <w:r>
        <w:t>报告提示词要求简短 analysis 与 conclusion；亏损、零成交、变差均如实说明，不因跑赢同股持有就说优化成功。汇总指标未提供逐笔归因时不能臆断追高或震荡导致亏损。新的改进机制明确是待验证假设，完整规则仍须通过同一能力和参数校验。</w:t>
      </w: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hyperlink r:id="rId22">
        <w:r>
          <w:rPr>
            <w:color w:val="8E412C"/>
          </w:rPr>
          <w:t>ashare_lab/adapters/language/vibe_candidates.py</w:t>
        </w:r>
      </w:hyperlink>
    </w:p>
    <w:p>
      <w:pPr>
        <w:pStyle w:val="Caption"/>
      </w:pPr>
      <w:hyperlink r:id="rId23">
        <w:r>
          <w:rPr>
            <w:color w:val="8E412C"/>
          </w:rPr>
          <w:t>ashare_lab/adapters/language/vibe_backtest_review.py</w:t>
        </w:r>
      </w:hyperlink>
    </w:p>
    <w:p>
      <w:pPr>
        <w:pStyle w:val="Caption"/>
      </w:pPr>
      <w:hyperlink r:id="rId24">
        <w:r>
          <w:rPr>
            <w:color w:val="8E412C"/>
          </w:rPr>
          <w:t>ashare_lab/adapters/language/vibe_ideas.py</w:t>
        </w:r>
      </w:hyperlink>
    </w:p>
    <w:p>
      <w:pPr>
        <w:pStyle w:val="Caption"/>
      </w:pPr>
      <w:hyperlink r:id="rId14">
        <w:r>
          <w:rPr>
            <w:color w:val="8E412C"/>
          </w:rPr>
          <w:t>ashare_lab/api/skill_app.py</w:t>
        </w:r>
      </w:hyperlink>
    </w:p>
    <w:p>
      <w:r>
        <w:br w:type="page"/>
      </w:r>
    </w:p>
    <w:p>
      <w:bookmarkStart w:id="8" w:name="recovery"/>
      <w:pPr>
        <w:pStyle w:val="Heading1"/>
      </w:pPr>
      <w:r>
        <w:t>A8 多轮检索与任务执行控制</w:t>
      </w:r>
      <w:bookmarkEnd w:id="8"/>
    </w:p>
    <w:p>
      <w:r>
        <w:t>一次问答可以多次调用模型和工具，但有次数、字段、标的与时间边界，不是“搜一次就结束”，也不是无限自循环。来源返回部分数据时保留已得事实，缺关键项才补查；重试中展示正在继续检索或读取，终止后给清楚原因与下一步。</w:t>
      </w:r>
    </w:p>
    <w:p>
      <w:r>
        <w:t>股票策略配对最多3轮模型判断、最多2次补充查数，限制在核验过的至多5只股票、8个字段；拒绝重复或越界查询。普通实时查询结果复核最多2轮，最多1次重新查数。规则候选、报告结构的修复也有限，不以重试替代校验。</w:t>
      </w:r>
    </w:p>
    <w:p>
      <w:r>
        <w:t>日线长区间按最多730自然日切片，检查边界覆盖和重叠一致性。缺字段做有限补查；上市日期与用户区间冲突须明示并让用户修改，不生成上市前行情。网络／鉴权／余额／字段缺失需分类，不能一律写成用户股票名称有误。</w:t>
      </w:r>
    </w:p>
    <w:p>
      <w:r>
        <w:t>公网异步入口用202受理并给请求ID，前端查询同一请求状态，避免等待长连接。回测服务单独使用Python线程队列；当前配置1个运行线程、最多2个待处理名额，与AI请求池不是一回事。</w:t>
      </w:r>
    </w:p>
    <w:p>
      <w:r>
        <w:t>005已改为策略2路与报告1路独立执行，各另容纳8条等待请求。每个匿名浏览器每类最多3条未完成、每分钟12次写入，全站每分钟60次写入；等待会提示排队并自动继续。浏览器随机标识用于调度，不是账号或鉴权。</w:t>
      </w:r>
    </w:p>
    <w:p>
      <w:r>
        <w:t>005真实公网场景中，旧报告分析与两位客户换股并行；东方财富、美的集团两份新回测均先完成。原报告约165秒返回且结果哈希仍绑定原运行，观察到15,801字符思考、160px滚动区。A为移动尺寸UI，B为独立浏览器环境API，不是微信真机或高负载验收。此前解析失败保留B35；临时队列不保证重建恢复。</w:t>
      </w: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hyperlink r:id="rId25">
        <w:r>
          <w:rPr>
            <w:color w:val="8E412C"/>
          </w:rPr>
          <w:t>ashare_lab/api/routes/strategy_drafts.py</w:t>
        </w:r>
      </w:hyperlink>
    </w:p>
    <w:p>
      <w:pPr>
        <w:pStyle w:val="Caption"/>
      </w:pPr>
      <w:hyperlink r:id="rId26">
        <w:r>
          <w:rPr>
            <w:color w:val="8E412C"/>
          </w:rPr>
          <w:t>deploy/private_preview/dialogue_requests.py</w:t>
        </w:r>
      </w:hyperlink>
    </w:p>
    <w:p>
      <w:pPr>
        <w:pStyle w:val="Caption"/>
      </w:pPr>
      <w:hyperlink r:id="rId16">
        <w:r>
          <w:rPr>
            <w:color w:val="8E412C"/>
          </w:rPr>
          <w:t>ashare_lab/application/skill_backtest_service.py</w:t>
        </w:r>
      </w:hyperlink>
    </w:p>
    <w:p>
      <w:pPr>
        <w:pStyle w:val="Caption"/>
      </w:pPr>
      <w:hyperlink r:id="rId27">
        <w:r>
          <w:rPr>
            <w:color w:val="8E412C"/>
          </w:rPr>
          <w:t>docs/bugfix-concurrency-20260906.md</w:t>
        </w:r>
      </w:hyperlink>
    </w:p>
    <w:p>
      <w:pPr>
        <w:pStyle w:val="Caption"/>
      </w:pPr>
      <w:hyperlink r:id="rId28">
        <w:r>
          <w:rPr>
            <w:color w:val="8E412C"/>
          </w:rPr>
          <w:t>docs/release-public-005-20260906.md</w:t>
        </w:r>
      </w:hyperlink>
    </w:p>
    <w:p>
      <w:pPr>
        <w:pStyle w:val="Caption"/>
      </w:pPr>
      <w:r>
        <w:t>docs/bug-backlog-and-acceptance.md，当前剩余待办与归档依据</w:t>
      </w:r>
    </w:p>
    <w:p>
      <w:r>
        <w:br w:type="page"/>
      </w:r>
    </w:p>
    <w:p>
      <w:bookmarkStart w:id="9" w:name="evidence"/>
      <w:pPr>
        <w:pStyle w:val="Heading1"/>
      </w:pPr>
      <w:r>
        <w:t>A9 公网验收证据与可复核范围</w:t>
      </w:r>
      <w:bookmarkEnd w:id="9"/>
    </w:p>
    <w:p>
      <w:r>
        <w:t>005已承接100%公网流量；两位客户新回测均在旧报告分析结束前完成，原报告哈希保持，真实思考返回15,801字符。机器记录附后。以下保留004完整UI链路样本，不将上一版结果冒充本轮重测。</w:t>
      </w:r>
    </w:p>
    <w:p>
      <w:r>
        <w:t>样本为美的集团000333.SZ，2025-09-06至2026-09-06，本金100万元；买入RSI14上穿35且成交额&gt;5亿元；卖出持有满10个后续交易日且RSI14&gt;55。输入历史366行覆盖2025-03-10至2026-09-04，含回测开始前的预热；指标与金额共732点。输出为回测区间内242个净值点、12条活动、4笔成交、2个完整回合，不把输入行数当交易回合数。</w:t>
      </w:r>
    </w:p>
    <w:p>
      <w:r>
        <w:t>验收顺序：草稿ready → 回测受理 → 运行succeeded → summary／series／trades核对 → 报告sourceResultHash匹配。页面能打开或health返回200，不足以证明回测成功。</w:t>
      </w:r>
    </w:p>
    <w:p>
      <w:r>
        <w:t>本次移动尺寸Chromium为390×844；实际思考返回和160px滚动已观察。微信真机返回首页chip恢复仍未完成，不能用此证据替代B30。也未覆盖全部10指标的所有周期、全股票、长历史和全部网络故障。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标识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具体值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004样本源包修订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153914b6776fb983ebbb8d7087d16b3890dda8e271a706579314e5bb965863ac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草稿／版本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796e24ba-e5cd-4afe-b516-adbfc7096694 ／ revision 2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运行ID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run:a3f9c24cbec24ccdaf70bf7fb11bab7e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结果哈希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0d88ffe98b70b945abce4767ebefad5514a548569ea6e54587471a78e799f542</w:t>
            </w:r>
          </w:p>
        </w:tc>
      </w:tr>
      <w:tr>
        <w:trPr>
          <w:cantSplit/>
        </w:trPr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报告模型／提示词</w:t>
            </w:r>
          </w:p>
        </w:tc>
        <w:tc>
          <w:tcPr>
            <w:tcW w:type="dxa" w:w="494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deepseek-v4-pro ／ backtest-review.prompt.v12</w:t>
            </w:r>
          </w:p>
        </w:tc>
      </w:tr>
    </w:tbl>
    <w:p>
      <w:pPr>
        <w:spacing w:after="20"/>
      </w:pP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hyperlink r:id="rId13">
        <w:r>
          <w:rPr>
            <w:color w:val="8E412C"/>
          </w:rPr>
          <w:t>docs/release-public-004-20260906.md</w:t>
        </w:r>
      </w:hyperlink>
    </w:p>
    <w:p>
      <w:pPr>
        <w:pStyle w:val="Caption"/>
      </w:pPr>
      <w:hyperlink r:id="rId29">
        <w:r>
          <w:rPr>
            <w:color w:val="8E412C"/>
          </w:rPr>
          <w:t>docs/releases/public-004-source-manifest.json</w:t>
        </w:r>
      </w:hyperlink>
    </w:p>
    <w:p>
      <w:pPr>
        <w:pStyle w:val="Caption"/>
      </w:pPr>
      <w:hyperlink r:id="rId21">
        <w:r>
          <w:rPr>
            <w:color w:val="8E412C"/>
          </w:rPr>
          <w:t>docs/releases/public-004-acceptance.json</w:t>
        </w:r>
      </w:hyperlink>
    </w:p>
    <w:p>
      <w:pPr>
        <w:pStyle w:val="Caption"/>
      </w:pPr>
      <w:hyperlink r:id="rId30">
        <w:r>
          <w:rPr>
            <w:color w:val="8E412C"/>
          </w:rPr>
          <w:t>docs/releases/public-005-acceptance.json</w:t>
        </w:r>
      </w:hyperlink>
    </w:p>
    <w:p>
      <w:r>
        <w:br w:type="page"/>
      </w:r>
    </w:p>
    <w:p>
      <w:bookmarkStart w:id="10" w:name="risks"/>
      <w:pPr>
        <w:pStyle w:val="Heading1"/>
      </w:pPr>
      <w:r>
        <w:t>A10 待办与下一阶段验证</w:t>
      </w:r>
      <w:bookmarkEnd w:id="10"/>
    </w:p>
    <w:p>
      <w:r>
        <w:t>以下保留尚未完成的范围。004已发布且有完成依据的旧问题已归档；005新增并发隔离已上线并完成真实公网关键场景核验，不再列为待办。</w:t>
      </w:r>
    </w:p>
    <w:p>
      <w:r>
        <w:t>短期建议先把可连续使用的稳定性补齐，再扩指标、扩大样本和开展真实用户体验度量。应新增但尚未采集的度量包括草稿就绪率、真实数据回测完成率、首个有效进度时延、P50／P95完成时长、修改后再回测转化、每次完成调用成本；要区分用户取消与系统失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/>
                <w:sz w:val="18"/>
              </w:rPr>
              <w:t>完成判断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B30 手机回首页chip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微信真机返回／切换chip可恢复；不重复POST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B02 长历史字段；B06 指标逐点；B07 新闻来源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真实区间与字段核对；缺失准确解释，不估造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B09 长对话；B12 复合首次无数据；B35 解析失败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连续修改状态正确；补查保留已得数据；有效输入不被误判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低优先级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B20 思考真实耗时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真实测量，不用固定秒数</w:t>
            </w:r>
          </w:p>
        </w:tc>
      </w:tr>
      <w:tr>
        <w:trPr>
          <w:cantSplit/>
        </w:trPr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暂缓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B22 旧链路清理；B23 提醒／模拟订单；B29 长期存储</w:t>
            </w:r>
          </w:p>
        </w:tc>
        <w:tc>
          <w:tcPr>
            <w:tcW w:type="dxa" w:w="329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69" w:lineRule="auto"/>
            </w:pPr>
            <w:r>
              <w:rPr>
                <w:b w:val="0"/>
                <w:sz w:val="18"/>
              </w:rPr>
              <w:t>保持边界，未获恢复安排不主动扩建</w:t>
            </w:r>
          </w:p>
        </w:tc>
      </w:tr>
    </w:tbl>
    <w:p>
      <w:pPr>
        <w:spacing w:after="20"/>
      </w:pPr>
    </w:p>
    <w:p>
      <w:pPr>
        <w:pStyle w:val="Caption"/>
      </w:pPr>
      <w:r>
        <w:t>核对依据（源码链接需私有仓库权限）</w:t>
      </w:r>
    </w:p>
    <w:p>
      <w:pPr>
        <w:pStyle w:val="Caption"/>
      </w:pPr>
      <w:r>
        <w:t>docs/bug-backlog-and-acceptance.md，当前剩余待办与归档依据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阶段汇报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A股策略回测技术与验收附录  ·  公网005  ·  2026.09.06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eastAsia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 w:eastAsia="Heiti SC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cstheme="majorBidi" w:ascii="Arial" w:hAnsi="Arial" w:eastAsia="Heiti SC"/>
      <w:b/>
      <w:bCs/>
      <w:color w:val="14141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cstheme="majorBidi" w:ascii="Arial" w:hAnsi="Arial" w:eastAsia="Heiti SC"/>
      <w:b/>
      <w:bCs/>
      <w:color w:val="14141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cstheme="majorBidi" w:ascii="Arial" w:hAnsi="Arial" w:eastAsia="Heiti SC"/>
      <w:b/>
      <w:color w:val="14141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="Hei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SC"/>
      <w:b/>
      <w:bCs/>
      <w:color w:val="14141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hare-strategy-preview-305722-11-1330091763.sh.run.tcloudbase.com/" TargetMode="External"/><Relationship Id="rId12" Type="http://schemas.openxmlformats.org/officeDocument/2006/relationships/hyperlink" Target="https://github.com/kasaviawuh111-cpu/ai-strategy-backtest/blob/19220c1/web/src/App.tsx" TargetMode="External"/><Relationship Id="rId13" Type="http://schemas.openxmlformats.org/officeDocument/2006/relationships/hyperlink" Target="https://github.com/kasaviawuh111-cpu/ai-strategy-backtest/blob/19220c1/docs/release-public-004-20260906.md" TargetMode="External"/><Relationship Id="rId14" Type="http://schemas.openxmlformats.org/officeDocument/2006/relationships/hyperlink" Target="https://github.com/kasaviawuh111-cpu/ai-strategy-backtest/blob/19220c1/ashare_lab/api/skill_app.py" TargetMode="External"/><Relationship Id="rId15" Type="http://schemas.openxmlformats.org/officeDocument/2006/relationships/hyperlink" Target="https://github.com/kasaviawuh111-cpu/ai-strategy-backtest/blob/19220c1/ashare_lab/adapters/market_data/mx_indicator_contract.py" TargetMode="External"/><Relationship Id="rId16" Type="http://schemas.openxmlformats.org/officeDocument/2006/relationships/hyperlink" Target="https://github.com/kasaviawuh111-cpu/ai-strategy-backtest/blob/19220c1/ashare_lab/application/skill_backtest_service.py" TargetMode="External"/><Relationship Id="rId17" Type="http://schemas.openxmlformats.org/officeDocument/2006/relationships/hyperlink" Target="https://github.com/kasaviawuh111-cpu/ai-strategy-backtest/blob/19220c1/ashare_lab/application/skill_backtest.py" TargetMode="External"/><Relationship Id="rId18" Type="http://schemas.openxmlformats.org/officeDocument/2006/relationships/hyperlink" Target="https://github.com/kasaviawuh111-cpu/ai-strategy-backtest/blob/19220c1/ashare_lab/adapters/market_data/mx_daily_history.py" TargetMode="External"/><Relationship Id="rId19" Type="http://schemas.openxmlformats.org/officeDocument/2006/relationships/hyperlink" Target="https://github.com/kasaviawuh111-cpu/ai-strategy-backtest/blob/19220c1/docs/bugfix-execution-settings-20260906.md" TargetMode="External"/><Relationship Id="rId20" Type="http://schemas.openxmlformats.org/officeDocument/2006/relationships/hyperlink" Target="https://github.com/kasaviawuh111-cpu/ai-strategy-backtest/blob/19220c1/ashare_lab/domain/analytics/metrics.py" TargetMode="External"/><Relationship Id="rId21" Type="http://schemas.openxmlformats.org/officeDocument/2006/relationships/hyperlink" Target="https://github.com/kasaviawuh111-cpu/ai-strategy-backtest/blob/19220c1/docs/releases/public-004-acceptance.json" TargetMode="External"/><Relationship Id="rId22" Type="http://schemas.openxmlformats.org/officeDocument/2006/relationships/hyperlink" Target="https://github.com/kasaviawuh111-cpu/ai-strategy-backtest/blob/19220c1/ashare_lab/adapters/language/vibe_candidates.py" TargetMode="External"/><Relationship Id="rId23" Type="http://schemas.openxmlformats.org/officeDocument/2006/relationships/hyperlink" Target="https://github.com/kasaviawuh111-cpu/ai-strategy-backtest/blob/19220c1/ashare_lab/adapters/language/vibe_backtest_review.py" TargetMode="External"/><Relationship Id="rId24" Type="http://schemas.openxmlformats.org/officeDocument/2006/relationships/hyperlink" Target="https://github.com/kasaviawuh111-cpu/ai-strategy-backtest/blob/19220c1/ashare_lab/adapters/language/vibe_ideas.py" TargetMode="External"/><Relationship Id="rId25" Type="http://schemas.openxmlformats.org/officeDocument/2006/relationships/hyperlink" Target="https://github.com/kasaviawuh111-cpu/ai-strategy-backtest/blob/19220c1/ashare_lab/api/routes/strategy_drafts.py" TargetMode="External"/><Relationship Id="rId26" Type="http://schemas.openxmlformats.org/officeDocument/2006/relationships/hyperlink" Target="https://github.com/kasaviawuh111-cpu/ai-strategy-backtest/blob/19220c1/deploy/private_preview/dialogue_requests.py" TargetMode="External"/><Relationship Id="rId27" Type="http://schemas.openxmlformats.org/officeDocument/2006/relationships/hyperlink" Target="../bugfix-concurrency-20260906.md" TargetMode="External"/><Relationship Id="rId28" Type="http://schemas.openxmlformats.org/officeDocument/2006/relationships/hyperlink" Target="../release-public-005-20260906.md" TargetMode="External"/><Relationship Id="rId29" Type="http://schemas.openxmlformats.org/officeDocument/2006/relationships/hyperlink" Target="https://github.com/kasaviawuh111-cpu/ai-strategy-backtest/blob/19220c1/docs/releases/public-004-source-manifest.json" TargetMode="External"/><Relationship Id="rId30" Type="http://schemas.openxmlformats.org/officeDocument/2006/relationships/hyperlink" Target="../releases/public-005-acceptance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A股策略回测技术与验收附录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