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000" w:after="0" w:line="240"/>
        <w:ind w:right="0" w:left="0" w:firstLine="0"/>
        <w:jc w:val="center"/>
        <w:rPr>
          <w:rFonts w:ascii="Arial" w:hAnsi="Arial" w:cs="Arial" w:eastAsia="Arial"/>
          <w:color w:val="auto"/>
          <w:spacing w:val="0"/>
          <w:position w:val="0"/>
          <w:sz w:val="21"/>
          <w:shd w:fill="auto" w:val="clear"/>
        </w:rPr>
      </w:pPr>
      <w:r>
        <w:rPr>
          <w:rFonts w:ascii="Arial" w:hAnsi="Arial" w:cs="Arial" w:eastAsia="Arial"/>
          <w:b/>
          <w:color w:val="2E75B6"/>
          <w:spacing w:val="0"/>
          <w:position w:val="0"/>
          <w:sz w:val="56"/>
          <w:shd w:fill="auto" w:val="clear"/>
        </w:rPr>
        <w:t xml:space="preserve">The Backbone Strain Atlas</w:t>
      </w:r>
    </w:p>
    <w:p>
      <w:pPr>
        <w:spacing w:before="200" w:after="0" w:line="240"/>
        <w:ind w:right="0" w:left="0" w:firstLine="0"/>
        <w:jc w:val="center"/>
        <w:rPr>
          <w:rFonts w:ascii="Arial" w:hAnsi="Arial" w:cs="Arial" w:eastAsia="Arial"/>
          <w:color w:val="auto"/>
          <w:spacing w:val="0"/>
          <w:position w:val="0"/>
          <w:sz w:val="21"/>
          <w:shd w:fill="auto" w:val="clear"/>
        </w:rPr>
      </w:pPr>
      <w:r>
        <w:rPr>
          <w:rFonts w:ascii="Arial" w:hAnsi="Arial" w:cs="Arial" w:eastAsia="Arial"/>
          <w:color w:val="666666"/>
          <w:spacing w:val="0"/>
          <w:position w:val="0"/>
          <w:sz w:val="24"/>
          <w:shd w:fill="auto" w:val="clear"/>
        </w:rPr>
        <w:t xml:space="preserve">Torsional Curvature as a Mechanical Observable in Protein Crystallography</w:t>
      </w:r>
    </w:p>
    <w:p>
      <w:pPr>
        <w:spacing w:before="600" w:after="0" w:line="240"/>
        <w:ind w:right="0" w:left="0" w:firstLine="0"/>
        <w:jc w:val="center"/>
        <w:rPr>
          <w:rFonts w:ascii="Arial" w:hAnsi="Arial" w:cs="Arial" w:eastAsia="Arial"/>
          <w:color w:val="auto"/>
          <w:spacing w:val="0"/>
          <w:position w:val="0"/>
          <w:sz w:val="21"/>
          <w:shd w:fill="auto" w:val="clear"/>
        </w:rPr>
      </w:pPr>
      <w:r>
        <w:rPr>
          <w:rFonts w:ascii="Arial" w:hAnsi="Arial" w:cs="Arial" w:eastAsia="Arial"/>
          <w:color w:val="999999"/>
          <w:spacing w:val="0"/>
          <w:position w:val="0"/>
          <w:sz w:val="22"/>
          <w:shd w:fill="auto" w:val="clear"/>
        </w:rPr>
        <w:t xml:space="preserve">v15 </w:t>
      </w:r>
      <w:r>
        <w:rPr>
          <w:rFonts w:ascii="Arial" w:hAnsi="Arial" w:cs="Arial" w:eastAsia="Arial"/>
          <w:color w:val="999999"/>
          <w:spacing w:val="0"/>
          <w:position w:val="0"/>
          <w:sz w:val="22"/>
          <w:shd w:fill="auto" w:val="clear"/>
        </w:rPr>
        <w:t xml:space="preserve">—</w:t>
      </w:r>
      <w:r>
        <w:rPr>
          <w:rFonts w:ascii="Arial" w:hAnsi="Arial" w:cs="Arial" w:eastAsia="Arial"/>
          <w:color w:val="999999"/>
          <w:spacing w:val="0"/>
          <w:position w:val="0"/>
          <w:sz w:val="22"/>
          <w:shd w:fill="auto" w:val="clear"/>
        </w:rPr>
        <w:t xml:space="preserve"> March 2026</w:t>
      </w:r>
    </w:p>
    <w:p>
      <w:pPr>
        <w:spacing w:before="0" w:after="0" w:line="240"/>
        <w:ind w:right="0" w:left="0" w:firstLine="0"/>
        <w:jc w:val="center"/>
        <w:rPr>
          <w:rFonts w:ascii="Arial" w:hAnsi="Arial" w:cs="Arial" w:eastAsia="Arial"/>
          <w:color w:val="auto"/>
          <w:spacing w:val="0"/>
          <w:position w:val="0"/>
          <w:sz w:val="21"/>
          <w:shd w:fill="auto" w:val="clear"/>
        </w:rPr>
      </w:pPr>
      <w:r>
        <w:rPr>
          <w:rFonts w:ascii="Arial" w:hAnsi="Arial" w:cs="Arial" w:eastAsia="Arial"/>
          <w:color w:val="auto"/>
          <w:spacing w:val="0"/>
          <w:position w:val="0"/>
          <w:sz w:val="22"/>
          <w:shd w:fill="auto" w:val="clear"/>
        </w:rPr>
        <w:t xml:space="preserve">Kase Branham</w:t>
      </w:r>
      <w:r>
        <w:rPr>
          <w:rFonts w:ascii="Arial" w:hAnsi="Arial" w:cs="Arial" w:eastAsia="Arial"/>
          <w:color w:val="auto"/>
          <w:spacing w:val="0"/>
          <w:position w:val="0"/>
          <w:sz w:val="21"/>
          <w:shd w:fill="auto" w:val="clear"/>
        </w:rPr>
        <w:t xml:space="preserve"> </w:t>
      </w:r>
    </w:p>
    <w:p>
      <w:pPr>
        <w:spacing w:before="0" w:after="0" w:line="240"/>
        <w:ind w:right="0" w:left="0" w:firstLine="0"/>
        <w:jc w:val="center"/>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1. Executive Summary</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Discrete torsional curvature (kappa-squared) provides a reproducible, target-structured measure of mechanical strain redistribution in paired protein crystal structures. Grounded in the Kirchhoff elastic rod framework, it approximates the geometric component of backbone bending energy density in conformational space. Drug binding induces specific redistribution patterns but does not preferentially perturb distal residues beyond the crystallographic baseline.</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The metric is independent of binding affinity (rho = +0.15), B-factor changes (rho = -0.01), and raw torsion angle changes (rho = +0.07). It does not predict drug potency or functional rescue. It fills a column in the drug characterization matrix that no existing measurement captures.</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The central finding</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Decomposing the signal into local (binding-site) and distal (remote) components reveals they are statistically independent (rho = -0.08, p = 0.78) and move in opposite directions in 36% of cases. This means the protein interior is not a single mechanical compartment. Binding-site strain tells you nothing about distal strain. Global delta-Gini is a composite of two semi-independent mechanical processes, defining three modes of drug-target interaction: uniform, concentrator, and exporter.</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Dataset</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39 drug comparisons across 11 targets, 6 apo-apo controls, 107 unique crystal structures. 10 energy-weighting tests confirmed material constants are unnecessary. 6 artifact controls validated the metric against crystallographic and mathematical confounds. Every predictive hypothesis against external functional data failed. What survived is the measurement, the physical interpretation, and the local/distal independence.</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0" w:line="240"/>
        <w:ind w:right="0" w:left="0" w:firstLine="0"/>
        <w:jc w:val="left"/>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2. Theoretical Foundation: Kirchhoff Elastic Rod</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2.1 What kappa-squared measures</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In the Kirchhoff framework, bending energy per unit length of an elastic rod equals one-half EI kappa-squared. Our discrete kappa-squared is the geometric component: the squared rate of change of backbone direction in Ramachandran (phi, psi) space, normalized by arc-length traversed. It measures how sharply the backbone trajectory bends at each residue relative to the local step size.</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2.2 Conformational space, not physical space</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This is curvature of the backbone trajectory in conformational space (phi, psi), not spatial curvature of the polypeptide chain in three-dimensional Cartesian coordinates. Classical Kirchhoff rod theory applies to spatial curves in three dimensions. We adapt it to a two-dimensional torsion angle manifold where each residue is a point and the backbone traces a path. The physical analogy holds because bending energy in either space depends on the squared rate of change of direction per unit arc-length, but the two curvatures are distinct geometric quantities. Spatial curvature measures how the chain bends in physical space. Conformational curvature measures how the backbone’s local geometry changes along the sequence.</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2.3 Why the Gini coefficient</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 rod with bending energy concentrated in sharp kinks (high Gini) is brittle: few points carry disproportionate stress. One with energy distributed smoothly (low Gini) is resilient. Positive delta-Gini means the perturbation concentrated bending energy (stiffened). Negative delta-Gini means it spread energy to more positions (loosened).</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2.4 Why helices dominate</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Alpha-helices advance ~38 degrees of arc per residue; beta-sheets ~84 degrees. Kappa-squared divides by arc-length squared, producing 4.9x amplification for helices. Un-normalized angular deviations are nearly equal (helix 3.17, sheet 2.74). This reflects physical reality: helices are precision structures where small deviations represent significant strain.</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2.5 Evidence for rod behavior</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(1) Autocorrelation: strain at position i correlates with i+5 (rho = 0.151, p = 3e-5), 1.5-turn propagation. (2) Interior concentration: 16.7x more kappa-squared than boundaries (clamped-beam mechanics). (3) Length dependence: longer helices have higher mean kappa-squared (rho = +0.591, p &lt; 0.0001).</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2.6 Material constants are unnecessary</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We tested whether weighting by an EI proxy (1/B-factor) changes results. It does not. At the residue level, kappa-squared and kappa-squared/B correlate at rho = +0.959 (n = 4,465). Delta-Gini correlation: rho = +0.982 (n = 21 drugs). Direction agreement: 100%. Mode classification preserved (rho = +0.952). Kappa-squared varies over three orders of magnitude; B-factor varies ~2-fold. The geometric signal dominates completely.</w:t>
      </w:r>
    </w:p>
    <w:p>
      <w:pPr>
        <w:spacing w:before="120" w:after="120" w:line="240"/>
        <w:ind w:right="0" w:left="360" w:firstLine="0"/>
        <w:jc w:val="left"/>
        <w:rPr>
          <w:rFonts w:ascii="Arial" w:hAnsi="Arial" w:cs="Arial" w:eastAsia="Arial"/>
          <w:color w:val="auto"/>
          <w:spacing w:val="0"/>
          <w:position w:val="0"/>
          <w:sz w:val="21"/>
          <w:shd w:fill="auto" w:val="clear"/>
        </w:rPr>
      </w:pPr>
      <w:r>
        <w:rPr>
          <w:rFonts w:ascii="Arial" w:hAnsi="Arial" w:cs="Arial" w:eastAsia="Arial"/>
          <w:i/>
          <w:color w:val="auto"/>
          <w:spacing w:val="0"/>
          <w:position w:val="0"/>
          <w:sz w:val="21"/>
          <w:shd w:fill="auto" w:val="clear"/>
        </w:rPr>
        <w:t xml:space="preserve">Two PDB files and a Gini computation yield the complete mechanical fingerprint. No parameters, force fields, or simulations required.</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0" w:line="240"/>
        <w:ind w:right="0" w:left="0" w:firstLine="0"/>
        <w:jc w:val="left"/>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3. The Measurement</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3.1 Computation</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Extract backbone atoms (N, CA, C). Compute phi/psi per residue. Three-residue sliding window: tangent vectors in (phi, psi) space, arc-length between consecutive residues, squared rate of change of tangent per unit arc-length. Gini coefficient of the resulting distribution.</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3.2 Significance</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Noise floor: +/-1 degree produces delta-Gini &lt; 0.012. Bootstrap CIs (n=2000, seed=42): 14/123 (11%) significant.</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3.3 Baseline</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AlphaFold (94,578 structures): Gini = 0.835 +/- 0.005. Crystal (107): 0.655 to 0.983, mean 0.805.</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3.4 Dataset</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Drug comparisons: </w:t>
      </w:r>
      <w:r>
        <w:rPr>
          <w:rFonts w:ascii="Arial" w:hAnsi="Arial" w:cs="Arial" w:eastAsia="Arial"/>
          <w:color w:val="auto"/>
          <w:spacing w:val="0"/>
          <w:position w:val="0"/>
          <w:sz w:val="20"/>
          <w:shd w:fill="auto" w:val="clear"/>
        </w:rPr>
        <w:t xml:space="preserve">39 across 11 targets</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Apo-apo controls: </w:t>
      </w:r>
      <w:r>
        <w:rPr>
          <w:rFonts w:ascii="Arial" w:hAnsi="Arial" w:cs="Arial" w:eastAsia="Arial"/>
          <w:color w:val="auto"/>
          <w:spacing w:val="0"/>
          <w:position w:val="0"/>
          <w:sz w:val="20"/>
          <w:shd w:fill="auto" w:val="clear"/>
        </w:rPr>
        <w:t xml:space="preserve">6 (4 lysozyme, 2 myoglobin)</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Clean (sphere &lt;30%): </w:t>
      </w:r>
      <w:r>
        <w:rPr>
          <w:rFonts w:ascii="Arial" w:hAnsi="Arial" w:cs="Arial" w:eastAsia="Arial"/>
          <w:color w:val="auto"/>
          <w:spacing w:val="0"/>
          <w:position w:val="0"/>
          <w:sz w:val="20"/>
          <w:shd w:fill="auto" w:val="clear"/>
        </w:rPr>
        <w:t xml:space="preserve">20 drug + 4 apo-apo</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0" w:line="240"/>
        <w:ind w:right="0" w:left="0" w:firstLine="0"/>
        <w:jc w:val="left"/>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4. What the Metric Captures</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4.1 Direction is a target property</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CA-II: 100% stiffen. HIV-PR: 92% stiffen. HSP90: 71% loosen. CDK2: 71% loosen. Eta-squared = 0.41 (p = 9e-10). This is the central unresolved question: what property of a protein determines whether perturbations concentrate or distribute bending energy?</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4.2 Magnitude is a drug property</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|delta-Gini| varies 10- to 80-fold within a target. CA-II: 0.002 to 0.165.</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4.3 Local and distal are independent</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Rho = -0.08, p = 0.78 (n=14). Opposite directions in 36% of cases. The protein interior is not a single mechanical compartment. Binding-site behavior does not predict distal behavior. Global delta-Gini is a composite of two semi-independent processes.</w:t>
      </w:r>
    </w:p>
    <w:p>
      <w:pPr>
        <w:spacing w:before="120" w:after="120" w:line="240"/>
        <w:ind w:right="0" w:left="360" w:firstLine="0"/>
        <w:jc w:val="left"/>
        <w:rPr>
          <w:rFonts w:ascii="Arial" w:hAnsi="Arial" w:cs="Arial" w:eastAsia="Arial"/>
          <w:color w:val="auto"/>
          <w:spacing w:val="0"/>
          <w:position w:val="0"/>
          <w:sz w:val="21"/>
          <w:shd w:fill="auto" w:val="clear"/>
        </w:rPr>
      </w:pPr>
      <w:r>
        <w:rPr>
          <w:rFonts w:ascii="Arial" w:hAnsi="Arial" w:cs="Arial" w:eastAsia="Arial"/>
          <w:i/>
          <w:color w:val="auto"/>
          <w:spacing w:val="0"/>
          <w:position w:val="0"/>
          <w:sz w:val="21"/>
          <w:shd w:fill="auto" w:val="clear"/>
        </w:rPr>
        <w:t xml:space="preserve">This is the most conceptually powerful finding: most structural metrics collapse everything into one signal. Kappa-squared reveals two uncorrelated mechanical compartments within the same protein.</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4.4 Three mechanical modes</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Uniform (43%): </w:t>
      </w:r>
      <w:r>
        <w:rPr>
          <w:rFonts w:ascii="Arial" w:hAnsi="Arial" w:cs="Arial" w:eastAsia="Arial"/>
          <w:color w:val="auto"/>
          <w:spacing w:val="0"/>
          <w:position w:val="0"/>
          <w:sz w:val="21"/>
          <w:shd w:fill="auto" w:val="clear"/>
        </w:rPr>
        <w:t xml:space="preserve">Local and distal move together.</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Concentrator (21%): </w:t>
      </w:r>
      <w:r>
        <w:rPr>
          <w:rFonts w:ascii="Arial" w:hAnsi="Arial" w:cs="Arial" w:eastAsia="Arial"/>
          <w:color w:val="auto"/>
          <w:spacing w:val="0"/>
          <w:position w:val="0"/>
          <w:sz w:val="21"/>
          <w:shd w:fill="auto" w:val="clear"/>
        </w:rPr>
        <w:t xml:space="preserve">Local stiffens, distal loosens. Tafamidis on TTR.</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1"/>
          <w:shd w:fill="auto" w:val="clear"/>
        </w:rPr>
        <w:t xml:space="preserve">Exporter (14%): </w:t>
      </w:r>
      <w:r>
        <w:rPr>
          <w:rFonts w:ascii="Arial" w:hAnsi="Arial" w:cs="Arial" w:eastAsia="Arial"/>
          <w:color w:val="auto"/>
          <w:spacing w:val="0"/>
          <w:position w:val="0"/>
          <w:sz w:val="21"/>
          <w:shd w:fill="auto" w:val="clear"/>
        </w:rPr>
        <w:t xml:space="preserve">Local loosens, distal stiffens. Darunavir on HIV-PR.</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4.5 Metric independence</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kappa-sq vs raw torsion: </w:t>
      </w:r>
      <w:r>
        <w:rPr>
          <w:rFonts w:ascii="Arial" w:hAnsi="Arial" w:cs="Arial" w:eastAsia="Arial"/>
          <w:color w:val="auto"/>
          <w:spacing w:val="0"/>
          <w:position w:val="0"/>
          <w:sz w:val="20"/>
          <w:shd w:fill="auto" w:val="clear"/>
        </w:rPr>
        <w:t xml:space="preserve">rho = +0.07 (uncorrelated)</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kappa-sq vs B-factor: </w:t>
      </w:r>
      <w:r>
        <w:rPr>
          <w:rFonts w:ascii="Arial" w:hAnsi="Arial" w:cs="Arial" w:eastAsia="Arial"/>
          <w:color w:val="auto"/>
          <w:spacing w:val="0"/>
          <w:position w:val="0"/>
          <w:sz w:val="20"/>
          <w:shd w:fill="auto" w:val="clear"/>
        </w:rPr>
        <w:t xml:space="preserve">rho = -0.01 (uncorrelated)</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raw torsion vs B-factor: </w:t>
      </w:r>
      <w:r>
        <w:rPr>
          <w:rFonts w:ascii="Arial" w:hAnsi="Arial" w:cs="Arial" w:eastAsia="Arial"/>
          <w:color w:val="auto"/>
          <w:spacing w:val="0"/>
          <w:position w:val="0"/>
          <w:sz w:val="20"/>
          <w:shd w:fill="auto" w:val="clear"/>
        </w:rPr>
        <w:t xml:space="preserve">rho = +0.50 (correlated)</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Raw torsion tracks flexibility. Kappa-squared tracks mechanical geometry. Different observables.</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0" w:line="240"/>
        <w:ind w:right="0" w:left="0" w:firstLine="0"/>
        <w:jc w:val="left"/>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5. Distal Perturbation: A Geometric Property</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Clean drug comparisons: mean 86% distal (n=20). Clean apo-apo: 99% distal (n=4). Drug binding does not amplify distal perturbation. It slightly reduces it by introducing local constraint. Peripheral residues are inherently more variable across crystal forms. The drug-specific information is the pattern, not the location.</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5.1 Symmetric pocket definition</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Pocket defined once per target from a reference drug structure (C-alpha within 10 Angstroms of primary ligand). Same residue set for all comparisons including apo-apo. Sphere &lt;30% required.</w:t>
      </w:r>
    </w:p>
    <w:tbl>
      <w:tblPr/>
      <w:tblGrid>
        <w:gridCol w:w="1800"/>
        <w:gridCol w:w="800"/>
        <w:gridCol w:w="1400"/>
        <w:gridCol w:w="1400"/>
        <w:gridCol w:w="1400"/>
        <w:gridCol w:w="256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2e75b6"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Target</w:t>
            </w:r>
          </w:p>
        </w:tc>
        <w:tc>
          <w:tcPr>
            <w:tcW w:w="800" w:type="dxa"/>
            <w:tcBorders>
              <w:top w:val="single" w:color="cccccc" w:sz="1"/>
              <w:left w:val="single" w:color="cccccc" w:sz="1"/>
              <w:bottom w:val="single" w:color="cccccc" w:sz="1"/>
              <w:right w:val="single" w:color="cccccc" w:sz="1"/>
            </w:tcBorders>
            <w:shd w:color="000000" w:fill="2e75b6"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n</w:t>
            </w:r>
          </w:p>
        </w:tc>
        <w:tc>
          <w:tcPr>
            <w:tcW w:w="1400" w:type="dxa"/>
            <w:tcBorders>
              <w:top w:val="single" w:color="cccccc" w:sz="1"/>
              <w:left w:val="single" w:color="cccccc" w:sz="1"/>
              <w:bottom w:val="single" w:color="cccccc" w:sz="1"/>
              <w:right w:val="single" w:color="cccccc" w:sz="1"/>
            </w:tcBorders>
            <w:shd w:color="000000" w:fill="2e75b6"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mean%DIS</w:t>
            </w:r>
          </w:p>
        </w:tc>
        <w:tc>
          <w:tcPr>
            <w:tcW w:w="1400" w:type="dxa"/>
            <w:tcBorders>
              <w:top w:val="single" w:color="cccccc" w:sz="1"/>
              <w:left w:val="single" w:color="cccccc" w:sz="1"/>
              <w:bottom w:val="single" w:color="cccccc" w:sz="1"/>
              <w:right w:val="single" w:color="cccccc" w:sz="1"/>
            </w:tcBorders>
            <w:shd w:color="000000" w:fill="2e75b6"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sphere</w:t>
            </w:r>
          </w:p>
        </w:tc>
        <w:tc>
          <w:tcPr>
            <w:tcW w:w="1400" w:type="dxa"/>
            <w:tcBorders>
              <w:top w:val="single" w:color="cccccc" w:sz="1"/>
              <w:left w:val="single" w:color="cccccc" w:sz="1"/>
              <w:bottom w:val="single" w:color="cccccc" w:sz="1"/>
              <w:right w:val="single" w:color="cccccc" w:sz="1"/>
            </w:tcBorders>
            <w:shd w:color="000000" w:fill="2e75b6"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range</w:t>
            </w:r>
          </w:p>
        </w:tc>
        <w:tc>
          <w:tcPr>
            <w:tcW w:w="2560" w:type="dxa"/>
            <w:tcBorders>
              <w:top w:val="single" w:color="cccccc" w:sz="1"/>
              <w:left w:val="single" w:color="cccccc" w:sz="1"/>
              <w:bottom w:val="single" w:color="cccccc" w:sz="1"/>
              <w:right w:val="single" w:color="cccccc" w:sz="1"/>
            </w:tcBorders>
            <w:shd w:color="000000" w:fill="2e75b6" w:val="clear"/>
            <w:tcMar>
              <w:left w:w="100" w:type="dxa"/>
              <w:right w:w="100" w:type="dxa"/>
            </w:tcMar>
            <w:vAlign w:val="top"/>
          </w:tcPr>
          <w:p>
            <w:pPr>
              <w:spacing w:before="0" w:after="0" w:line="240"/>
              <w:ind w:right="0" w:left="0" w:firstLine="0"/>
              <w:jc w:val="left"/>
              <w:rPr>
                <w:spacing w:val="0"/>
                <w:position w:val="0"/>
                <w:shd w:fill="auto" w:val="clear"/>
              </w:rPr>
            </w:pPr>
            <w:r>
              <w:rPr>
                <w:rFonts w:ascii="Arial" w:hAnsi="Arial" w:cs="Arial" w:eastAsia="Arial"/>
                <w:b/>
                <w:color w:val="FFFFFF"/>
                <w:spacing w:val="0"/>
                <w:position w:val="0"/>
                <w:sz w:val="18"/>
                <w:shd w:fill="auto" w:val="clear"/>
              </w:rPr>
              <w:t xml:space="preserve">note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CA-II</w:t>
            </w:r>
          </w:p>
        </w:tc>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10</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83%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17%</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50-100%</w:t>
            </w:r>
          </w:p>
        </w:tc>
        <w:tc>
          <w:tcPr>
            <w:tcW w:w="25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all stiffen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CDK2</w:t>
            </w:r>
          </w:p>
        </w:tc>
        <w:tc>
          <w:tcPr>
            <w:tcW w:w="8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3</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98%</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4-10%</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95-100%</w:t>
            </w:r>
          </w:p>
        </w:tc>
        <w:tc>
          <w:tcPr>
            <w:tcW w:w="256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all loosen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HSP90</w:t>
            </w:r>
          </w:p>
        </w:tc>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2</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83%</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14%</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80-85%</w:t>
            </w:r>
          </w:p>
        </w:tc>
        <w:tc>
          <w:tcPr>
            <w:tcW w:w="25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mixed</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TTR</w:t>
            </w:r>
          </w:p>
        </w:tc>
        <w:tc>
          <w:tcPr>
            <w:tcW w:w="8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2</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78%</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17%</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75-80%</w:t>
            </w:r>
          </w:p>
        </w:tc>
        <w:tc>
          <w:tcPr>
            <w:tcW w:w="256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both stiffen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ERK</w:t>
            </w:r>
          </w:p>
        </w:tc>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95%</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7%</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95%</w:t>
            </w:r>
          </w:p>
        </w:tc>
        <w:tc>
          <w:tcPr>
            <w:tcW w:w="25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phosphorylation</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ER-alpha</w:t>
            </w:r>
          </w:p>
        </w:tc>
        <w:tc>
          <w:tcPr>
            <w:tcW w:w="8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75%</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26%</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75%</w:t>
            </w:r>
          </w:p>
        </w:tc>
        <w:tc>
          <w:tcPr>
            <w:tcW w:w="256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agonist vs antagonist</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Thermolysin</w:t>
            </w:r>
          </w:p>
        </w:tc>
        <w:tc>
          <w:tcPr>
            <w:tcW w:w="8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100%</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8%</w:t>
            </w:r>
          </w:p>
        </w:tc>
        <w:tc>
          <w:tcPr>
            <w:tcW w:w="140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100%</w:t>
            </w:r>
          </w:p>
        </w:tc>
        <w:tc>
          <w:tcPr>
            <w:tcW w:w="2560" w:type="dxa"/>
            <w:tcBorders>
              <w:top w:val="single" w:color="cccccc" w:sz="1"/>
              <w:left w:val="single" w:color="cccccc" w:sz="1"/>
              <w:bottom w:val="single" w:color="cccccc" w:sz="1"/>
              <w:right w:val="single" w:color="cccccc" w:sz="1"/>
            </w:tcBorders>
            <w:shd w:color="000000" w:fill="ffffff"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metalloprotease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Lyz (apo-apo)</w:t>
            </w:r>
          </w:p>
        </w:tc>
        <w:tc>
          <w:tcPr>
            <w:tcW w:w="8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4</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99%</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10%</w:t>
            </w:r>
          </w:p>
        </w:tc>
        <w:tc>
          <w:tcPr>
            <w:tcW w:w="140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95-100%</w:t>
            </w:r>
          </w:p>
        </w:tc>
        <w:tc>
          <w:tcPr>
            <w:tcW w:w="2560" w:type="dxa"/>
            <w:tcBorders>
              <w:top w:val="single" w:color="cccccc" w:sz="1"/>
              <w:left w:val="single" w:color="cccccc" w:sz="1"/>
              <w:bottom w:val="single" w:color="cccccc" w:sz="1"/>
              <w:right w:val="single" w:color="cccccc" w:sz="1"/>
            </w:tcBorders>
            <w:shd w:color="000000" w:fill="f2f7fa" w:val="clear"/>
            <w:tcMar>
              <w:left w:w="100" w:type="dxa"/>
              <w:right w:w="100"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18"/>
                <w:shd w:fill="auto" w:val="clear"/>
              </w:rPr>
              <w:t xml:space="preserve">crystal form control</w:t>
            </w:r>
          </w:p>
        </w:tc>
      </w:tr>
    </w:tbl>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5.2 Inflated sphere</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19 comparisons with sphere 30-50% (HIV-PR, hemoglobin, myoglobin, DHFR): mean 62% distal. Hemoglobin T-to-R: 57%, consistent with induced-fit.</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0" w:line="240"/>
        <w:ind w:right="0" w:left="0" w:firstLine="0"/>
        <w:jc w:val="left"/>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6. Artifact Controls</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A: No Frenet: </w:t>
      </w:r>
      <w:r>
        <w:rPr>
          <w:rFonts w:ascii="Arial" w:hAnsi="Arial" w:cs="Arial" w:eastAsia="Arial"/>
          <w:color w:val="auto"/>
          <w:spacing w:val="0"/>
          <w:position w:val="0"/>
          <w:sz w:val="20"/>
          <w:shd w:fill="auto" w:val="clear"/>
        </w:rPr>
        <w:t xml:space="preserve">Same 75% distal with raw angles. Different residue ranking (rho = +0.07). Physics, not math.</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B: B-factor: </w:t>
      </w:r>
      <w:r>
        <w:rPr>
          <w:rFonts w:ascii="Arial" w:hAnsi="Arial" w:cs="Arial" w:eastAsia="Arial"/>
          <w:color w:val="auto"/>
          <w:spacing w:val="0"/>
          <w:position w:val="0"/>
          <w:sz w:val="20"/>
          <w:shd w:fill="auto" w:val="clear"/>
        </w:rPr>
        <w:t xml:space="preserve">65% distal. Uncorrelated with kappa-sq (rho = -0.01). Not repackaged flexibility.</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C: Apo-apo: </w:t>
      </w:r>
      <w:r>
        <w:rPr>
          <w:rFonts w:ascii="Arial" w:hAnsi="Arial" w:cs="Arial" w:eastAsia="Arial"/>
          <w:color w:val="auto"/>
          <w:spacing w:val="0"/>
          <w:position w:val="0"/>
          <w:sz w:val="20"/>
          <w:shd w:fill="auto" w:val="clear"/>
        </w:rPr>
        <w:t xml:space="preserve">95-100% distal. Confirms geometric baseline exceeds drug comparisons.</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D: Cutoff: </w:t>
      </w:r>
      <w:r>
        <w:rPr>
          <w:rFonts w:ascii="Arial" w:hAnsi="Arial" w:cs="Arial" w:eastAsia="Arial"/>
          <w:color w:val="auto"/>
          <w:spacing w:val="0"/>
          <w:position w:val="0"/>
          <w:sz w:val="20"/>
          <w:shd w:fill="auto" w:val="clear"/>
        </w:rPr>
        <w:t xml:space="preserve">Robust 5-12 Angstroms.</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E: Sphere: </w:t>
      </w:r>
      <w:r>
        <w:rPr>
          <w:rFonts w:ascii="Arial" w:hAnsi="Arial" w:cs="Arial" w:eastAsia="Arial"/>
          <w:color w:val="auto"/>
          <w:spacing w:val="0"/>
          <w:position w:val="0"/>
          <w:sz w:val="20"/>
          <w:shd w:fill="auto" w:val="clear"/>
        </w:rPr>
        <w:t xml:space="preserve">Requires &lt;30% for valid local/distal classification.</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F: Symmetric pocket: </w:t>
      </w:r>
      <w:r>
        <w:rPr>
          <w:rFonts w:ascii="Arial" w:hAnsi="Arial" w:cs="Arial" w:eastAsia="Arial"/>
          <w:color w:val="auto"/>
          <w:spacing w:val="0"/>
          <w:position w:val="0"/>
          <w:sz w:val="20"/>
          <w:shd w:fill="auto" w:val="clear"/>
        </w:rPr>
        <w:t xml:space="preserve">One definition per target, used for all comparisons.</w:t>
      </w:r>
    </w:p>
    <w:p>
      <w:pPr>
        <w:spacing w:before="0" w:after="60" w:line="240"/>
        <w:ind w:right="0" w:left="360" w:firstLine="0"/>
        <w:jc w:val="left"/>
        <w:rPr>
          <w:rFonts w:ascii="Arial" w:hAnsi="Arial" w:cs="Arial" w:eastAsia="Arial"/>
          <w:color w:val="auto"/>
          <w:spacing w:val="0"/>
          <w:position w:val="0"/>
          <w:sz w:val="21"/>
          <w:shd w:fill="auto" w:val="clear"/>
        </w:rPr>
      </w:pPr>
      <w:r>
        <w:rPr>
          <w:rFonts w:ascii="Arial" w:hAnsi="Arial" w:cs="Arial" w:eastAsia="Arial"/>
          <w:b/>
          <w:color w:val="auto"/>
          <w:spacing w:val="0"/>
          <w:position w:val="0"/>
          <w:sz w:val="20"/>
          <w:shd w:fill="auto" w:val="clear"/>
        </w:rPr>
        <w:t xml:space="preserve">G: Energy weighting: </w:t>
      </w:r>
      <w:r>
        <w:rPr>
          <w:rFonts w:ascii="Arial" w:hAnsi="Arial" w:cs="Arial" w:eastAsia="Arial"/>
          <w:color w:val="auto"/>
          <w:spacing w:val="0"/>
          <w:position w:val="0"/>
          <w:sz w:val="20"/>
          <w:shd w:fill="auto" w:val="clear"/>
        </w:rPr>
        <w:t xml:space="preserve">kappa-sq/B redundant with kappa-sq (rho = +0.982). Material constants unnecessary.</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0" w:line="240"/>
        <w:ind w:right="0" w:left="0" w:firstLine="0"/>
        <w:jc w:val="left"/>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7. What Failed</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Baseline Gini not absolute (crystal shifts up to 0.249). GOF/LOF: 53% (chance). Potency: rho = +0.15. Rescue: rho = -0.18. Force proxy: same delta-Gini at 60x different Kd. Site topology: 50%. MW: no correlation. Drug-specific distal amplification: -13 pp excess. Energy weighting: redundant.</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0" w:line="240"/>
        <w:ind w:right="0" w:left="0" w:firstLine="0"/>
        <w:jc w:val="left"/>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8. The 86% Question</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Secondary structure explains 14.4% of Gini variance. The 86% is where the physics lives: the specific pattern of forces acting on each helical rod, determined by crystal packing, neighboring contacts, and solvent exposure. Two proteins with identical secondary structure but different environments will have different Gini values because their rods experience different force distributions.</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0" w:line="240"/>
        <w:ind w:right="0" w:left="0" w:firstLine="0"/>
        <w:jc w:val="left"/>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9. Domain of Validity</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Valid</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Paired crystallographic comparisons. Within-target drug ranking. Direction consensus (n &gt;= 15). Local/distal decomposition (sphere &lt;30%). Geometric fingerprinting.</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Invalid</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Cross-protein Gini. Potency prediction. Direction from architecture. Sphere &gt;= 30%. Drug-specific distal claims. Energy weighting.</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0" w:line="240"/>
        <w:ind w:right="0" w:left="0" w:firstLine="0"/>
        <w:jc w:val="left"/>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10. Open Questions</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10.1 What determines direction?</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Direction clusters by target (eta-squared = 0.41) but is unpredictable from architecture. This is the central unresolved question. If answered, the metric moves from observable to mechanism.</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10.2 Baseline subtraction</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Multiple apo crystal forms could establish per-residue noise floors for drug-specific signal isolation.</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10.3 Mode and pharmacology</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Concentrator (tafamidis) and exporter (darunavir) modes may correlate with pharmacological mechanism. Needs clinical data.</w:t>
      </w:r>
    </w:p>
    <w:p>
      <w:pPr>
        <w:spacing w:before="280" w:after="160" w:line="240"/>
        <w:ind w:right="0" w:left="0" w:firstLine="0"/>
        <w:jc w:val="left"/>
        <w:rPr>
          <w:rFonts w:ascii="Arial" w:hAnsi="Arial" w:cs="Arial" w:eastAsia="Arial"/>
          <w:b/>
          <w:color w:val="333333"/>
          <w:spacing w:val="0"/>
          <w:position w:val="0"/>
          <w:sz w:val="26"/>
          <w:shd w:fill="auto" w:val="clear"/>
        </w:rPr>
      </w:pPr>
      <w:r>
        <w:rPr>
          <w:rFonts w:ascii="Arial" w:hAnsi="Arial" w:cs="Arial" w:eastAsia="Arial"/>
          <w:b/>
          <w:color w:val="333333"/>
          <w:spacing w:val="0"/>
          <w:position w:val="0"/>
          <w:sz w:val="26"/>
          <w:shd w:fill="auto" w:val="clear"/>
        </w:rPr>
        <w:t xml:space="preserve">10.4 NMR/MD validation</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Per-residue kappa-squared profiles versus NMR chemical shift perturbations or MD force constants would test whether static crystal geometry captures genuine mechanical properties.</w:t>
      </w:r>
    </w:p>
    <w:p>
      <w:pPr>
        <w:spacing w:before="0" w:after="0" w:line="240"/>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 </w:t>
      </w:r>
    </w:p>
    <w:p>
      <w:pPr>
        <w:spacing w:before="0" w:after="0" w:line="240"/>
        <w:ind w:right="0" w:left="0" w:firstLine="0"/>
        <w:jc w:val="left"/>
        <w:rPr>
          <w:rFonts w:ascii="Arial" w:hAnsi="Arial" w:cs="Arial" w:eastAsia="Arial"/>
          <w:color w:val="auto"/>
          <w:spacing w:val="0"/>
          <w:position w:val="0"/>
          <w:sz w:val="21"/>
          <w:shd w:fill="auto" w:val="clear"/>
        </w:rPr>
      </w:pPr>
    </w:p>
    <w:p>
      <w:pPr>
        <w:spacing w:before="360" w:after="200" w:line="240"/>
        <w:ind w:right="0" w:left="0" w:firstLine="0"/>
        <w:jc w:val="left"/>
        <w:rPr>
          <w:rFonts w:ascii="Arial" w:hAnsi="Arial" w:cs="Arial" w:eastAsia="Arial"/>
          <w:b/>
          <w:color w:val="2E75B6"/>
          <w:spacing w:val="0"/>
          <w:position w:val="0"/>
          <w:sz w:val="32"/>
          <w:shd w:fill="auto" w:val="clear"/>
        </w:rPr>
      </w:pPr>
      <w:r>
        <w:rPr>
          <w:rFonts w:ascii="Arial" w:hAnsi="Arial" w:cs="Arial" w:eastAsia="Arial"/>
          <w:b/>
          <w:color w:val="2E75B6"/>
          <w:spacing w:val="0"/>
          <w:position w:val="0"/>
          <w:sz w:val="32"/>
          <w:shd w:fill="auto" w:val="clear"/>
        </w:rPr>
        <w:t xml:space="preserve">11. Methods</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Structures: RCSB PDB, mmCIF. Backbone N/CA/C. Phi/psi via atan2 dihedrals. Kappa-squared: three-residue sliding window, Frenet-Serret normalization in (phi, psi) conformational space. Gini coefficient per structure.</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Pocket: defined once per target from reference drug structure (C-alpha within 10 Angstroms of primary ligand). Same set for all comparisons. Primary ligand: largest non-cofactor HETATM. Sphere &lt;30% required.</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Energy weighting: kappa-squared/B tested across 21 comparisons, 4,465 residues, 16 census structures. Confirmed redundant.</w:t>
      </w:r>
    </w:p>
    <w:p>
      <w:pPr>
        <w:spacing w:before="0" w:after="120" w:line="276"/>
        <w:ind w:right="0" w:left="0" w:firstLine="0"/>
        <w:jc w:val="left"/>
        <w:rPr>
          <w:rFonts w:ascii="Arial" w:hAnsi="Arial" w:cs="Arial" w:eastAsia="Arial"/>
          <w:color w:val="auto"/>
          <w:spacing w:val="0"/>
          <w:position w:val="0"/>
          <w:sz w:val="21"/>
          <w:shd w:fill="auto" w:val="clear"/>
        </w:rPr>
      </w:pPr>
      <w:r>
        <w:rPr>
          <w:rFonts w:ascii="Arial" w:hAnsi="Arial" w:cs="Arial" w:eastAsia="Arial"/>
          <w:color w:val="auto"/>
          <w:spacing w:val="0"/>
          <w:position w:val="0"/>
          <w:sz w:val="21"/>
          <w:shd w:fill="auto" w:val="clear"/>
        </w:rPr>
        <w:t xml:space="preserve">Statistics: Spearman, eta-squared, bootstrap (n=2000, seed=42). No multiple comparison corrections. Deterministic. Python 3, numpy, scipy.</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