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5.png" ContentType="image/png"/>
  <Override PartName="/word/media/rId26.png" ContentType="image/png"/>
  <Override PartName="/word/media/rId13.png" ContentType="image/png"/>
  <Override PartName="/word/media/rId44.png" ContentType="image/png"/>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Categorical Exclusions: Expand, Adopt, Develop</w:t>
      </w:r>
    </w:p>
    <w:p>
      <w:pPr>
        <w:pStyle w:val="Subtitle"/>
      </w:pPr>
      <w:r>
        <w:t xml:space="preserve">NEPA by the Numbers — Fact Sheet 3: Categorical Exclusions</w:t>
      </w:r>
    </w:p>
    <w:p>
      <w:pPr>
        <w:pStyle w:val="Date"/>
      </w:pPr>
      <w:r>
        <w:t xml:space="preserve">July 31, 2026</w:t>
      </w:r>
    </w:p>
    <w:bookmarkStart w:id="12" w:name="key-findings"/>
    <w:p>
      <w:pPr>
        <w:pStyle w:val="Heading2"/>
      </w:pPr>
      <w:r>
        <w:t xml:space="preserve">Key Findings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rPr>
                <w:b/>
                <w:bCs/>
              </w:rPr>
              <w:t xml:space="preserve">Every clean-energy Finding of No Significant Impact (FONSI) was systematically screened for categorical exclusion (CE) opportunities.</w:t>
            </w:r>
            <w:r>
              <w:t xml:space="preserve"> </w:t>
            </w:r>
            <w:r>
              <w:t xml:space="preserve">Placing all 451 decarbonization FONSIs on a technology × action grid and matching each cell against the 2,105 existing federal CEs yields 21 adopt, 2 expand, and 17 develop candidate cells — no category was hand-picked.</w:t>
            </w:r>
          </w:p>
          <w:p>
            <w:pPr>
              <w:pStyle w:val="Compact"/>
              <w:numPr>
                <w:ilvl w:val="0"/>
                <w:numId w:val="1001"/>
              </w:numPr>
            </w:pPr>
            <w:r>
              <w:rPr>
                <w:b/>
                <w:bCs/>
              </w:rPr>
              <w:t xml:space="preserve">The single strongest opportunity is expanding an existing transmission CE.</w:t>
            </w:r>
            <w:r>
              <w:t xml:space="preserve"> </w:t>
            </w:r>
            <w:r>
              <w:t xml:space="preserve">26 bounded, low-impact transmission-upgrade FONSIs across 12 states match TVA’s existing exclusions for in-corridor work — but long rebuilds exceed the CE’s ~25-mile cap. Widening that mileage limit is the highest-volume, best-evidenced move.</w:t>
            </w:r>
          </w:p>
          <w:p>
            <w:pPr>
              <w:pStyle w:val="Compact"/>
              <w:numPr>
                <w:ilvl w:val="0"/>
                <w:numId w:val="1001"/>
              </w:numPr>
            </w:pPr>
            <w:r>
              <w:rPr>
                <w:b/>
                <w:bCs/>
              </w:rPr>
              <w:t xml:space="preserve">Adopting a peer agency’s CE — now explicitly authorized by the FRA — is well-precedented.</w:t>
            </w:r>
            <w:r>
              <w:t xml:space="preserve"> </w:t>
            </w:r>
            <w:r>
              <w:t xml:space="preserve">317 existing CEs already have a near-twin at another agency, forming 130 shared action families. Cross-agency convergence on shared CEs is how the landscape already works.</w:t>
            </w:r>
          </w:p>
          <w:p>
            <w:pPr>
              <w:pStyle w:val="Compact"/>
              <w:numPr>
                <w:ilvl w:val="0"/>
                <w:numId w:val="1001"/>
              </w:numPr>
            </w:pPr>
            <w:r>
              <w:rPr>
                <w:b/>
                <w:bCs/>
              </w:rPr>
              <w:t xml:space="preserve">Most decarbonization FONSIs (69%) rely on committed mitigation, and that mitigation language is project-specific</w:t>
            </w:r>
            <w:r>
              <w:t xml:space="preserve"> </w:t>
            </w:r>
            <w:r>
              <w:t xml:space="preserve">— no mitigation phrasing recurs across projects. A defensible new CE must encode recurring significance thresholds as design criteria, not copy any project’s mitigation commitments.</w:t>
            </w:r>
          </w:p>
          <w:p>
            <w:pPr>
              <w:pStyle w:val="Compact"/>
              <w:numPr>
                <w:ilvl w:val="0"/>
                <w:numId w:val="1001"/>
              </w:numPr>
            </w:pPr>
            <w:r>
              <w:rPr>
                <w:b/>
                <w:bCs/>
              </w:rPr>
              <w:t xml:space="preserve">The number of FONSIs is too small to justify specific brand-new CEs today, but the method scales.</w:t>
            </w:r>
            <w:r>
              <w:t xml:space="preserve"> </w:t>
            </w:r>
            <w:r>
              <w:t xml:space="preserve">With more data — a bigger corpus and post-FRA records — the same machinery can surface CE candidates for expert review.</w:t>
            </w:r>
          </w:p>
          <w:p/>
        </w:tc>
      </w:tr>
    </w:tbl>
    <w:p>
      <w:r>
        <w:pict>
          <v:rect style="width:0;height:1.5pt" o:hralign="center" o:hrstd="t" o:hr="t"/>
        </w:pict>
      </w:r>
    </w:p>
    <w:bookmarkEnd w:id="12"/>
    <w:bookmarkStart w:id="17" w:name="introduction"/>
    <w:p>
      <w:pPr>
        <w:pStyle w:val="Heading1"/>
      </w:pPr>
      <w:r>
        <w:t xml:space="preserve">Introduction</w:t>
      </w:r>
    </w:p>
    <w:p>
      <w:pPr>
        <w:pStyle w:val="FirstParagraph"/>
      </w:pPr>
      <w:r>
        <w:t xml:space="preserve">Categorical exclusions are NEPA’s fastest pathway, and its most common one. A CE covers a class of actions that an agency has determined, based on experience, does not individually or cumulatively have significant environmental effects. Once a class is established in an agency’s NEPA procedures, individual actions in that class are documented in days or weeks rather than the months (EA) or years (EIS) that bespoke analysis requires. The integrity of the tool depends on the class being genuinely low-impact — a CE is a determination backed by evidence and expert judgment, not a loophole.</w:t>
      </w:r>
    </w:p>
    <w:p>
      <w:pPr>
        <w:pStyle w:val="BodyText"/>
      </w:pPr>
      <w:r>
        <w:t xml:space="preserve">Historically, establishing a regulatory CE has been slow: an agency must assemble evidence that a class of actions is reliably insignificant (often from its own record of EAs that consistently ended in FONSIs), propose it, and take it through notice-and-comment. The Fiscal Responsibility Act of 2023 changed the landscape by expressly authorizing any agency to adopt another agency’s existing CE — a shortcut that makes the existing federal CE catalog a shared resource rather than a set of agency silos.</w:t>
      </w:r>
    </w:p>
    <w:p>
      <w:pPr>
        <w:pStyle w:val="BodyText"/>
      </w:pPr>
      <w:r>
        <w:t xml:space="preserve">That creates a data problem that is now solvable. Which classes of actions are agencies repeatedly reviewing through full EAs that reliably end in</w:t>
      </w:r>
      <w:r>
        <w:t xml:space="preserve"> </w:t>
      </w:r>
      <w:r>
        <w:t xml:space="preserve">“no significant impact”</w:t>
      </w:r>
      <w:r>
        <w:t xml:space="preserve">? Which of those already have a matching CE at another agency? NEPATEC 2.0 and machine learning make it possible to answer these questions systematically for the first time: every decarbonization FONSI can be read, classified by technology and action, matched against the complete federal CE catalog, and sorted into three opportunity types — expand an existing CE whose size bound is too tight, adopt a CE another agency already holds, or develop a new CE where none exists.</w:t>
      </w:r>
    </w:p>
    <w:p>
      <w:pPr>
        <w:pStyle w:val="BodyText"/>
      </w:pPr>
      <w:hyperlink w:anchor="fig-coverage-grid">
        <w:r>
          <w:rPr>
            <w:rStyle w:val="Hyperlink"/>
          </w:rPr>
          <w:t xml:space="preserve">Figure 1</w:t>
        </w:r>
      </w:hyperlink>
      <w:r>
        <w:t xml:space="preserve"> </w:t>
      </w:r>
      <w:r>
        <w:t xml:space="preserve">shows the result of that screen: every decarbonization FONSI placed on the technology × action grid, with each cell colored by the verdict it resolves to. The rest of this fact sheet walks through the three verdicts in turn.</w:t>
      </w:r>
    </w:p>
    <w:tbl>
      <w:tblPr>
        <w:tblStyle w:val="Table"/>
        <w:tblW w:type="pct" w:w="5000"/>
        <w:tblLayout w:type="fixed"/>
        <w:tblLook w:firstRow="0" w:lastRow="0" w:firstColumn="0" w:lastColumn="0" w:noHBand="0" w:noVBand="0" w:val="0000"/>
      </w:tblPr>
      <w:tblGrid>
        <w:gridCol w:w="7920"/>
      </w:tblGrid>
      <w:tr>
        <w:tc>
          <w:tcPr/>
          <w:bookmarkStart w:id="16" w:name="fig-coverage-grid"/>
          <w:p>
            <w:pPr>
              <w:pStyle w:val="Compact"/>
              <w:jc w:val="center"/>
            </w:pPr>
            <w:r>
              <w:drawing>
                <wp:inline>
                  <wp:extent cx="5334000" cy="2782956"/>
                  <wp:effectExtent b="0" l="0" r="0" t="0"/>
                  <wp:docPr descr="" title="" id="14" name="Picture"/>
                  <a:graphic>
                    <a:graphicData uri="http://schemas.openxmlformats.org/drawingml/2006/picture">
                      <pic:pic>
                        <pic:nvPicPr>
                          <pic:cNvPr descr="../output/factsheet/figures/fig_d6_coverage_grid.png" id="15" name="Picture"/>
                          <pic:cNvPicPr>
                            <a:picLocks noChangeArrowheads="1" noChangeAspect="1"/>
                          </pic:cNvPicPr>
                        </pic:nvPicPr>
                        <pic:blipFill>
                          <a:blip r:embed="rId13"/>
                          <a:stretch>
                            <a:fillRect/>
                          </a:stretch>
                        </pic:blipFill>
                        <pic:spPr bwMode="auto">
                          <a:xfrm>
                            <a:off x="0" y="0"/>
                            <a:ext cx="5334000" cy="27829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Note: The clean-energy CE coverage map — every decarbonization FONSI placed by technology × action. Color = verdict (adopt / expand / develop / develop-excluded / already covered); number = CE-shaped FONSIs in the cell.</w:t>
            </w:r>
          </w:p>
          <w:bookmarkEnd w:id="16"/>
        </w:tc>
      </w:tr>
    </w:tbl>
    <w:p>
      <w:pPr>
        <w:pStyle w:val="BodyText"/>
      </w:pPr>
      <w:r>
        <w:t xml:space="preserve">All verdicts below are candidates pending verification against current eCFR and agency CE text — a prioritized review list for subject-matter experts, not legal conclusions.</w:t>
      </w:r>
    </w:p>
    <w:bookmarkEnd w:id="17"/>
    <w:bookmarkStart w:id="24" w:name="expanding-existing-ces"/>
    <w:p>
      <w:pPr>
        <w:pStyle w:val="Heading1"/>
      </w:pPr>
      <w:r>
        <w:t xml:space="preserve">Expanding Existing CEs</w:t>
      </w:r>
    </w:p>
    <w:bookmarkStart w:id="18" w:name="methodology"/>
    <w:p>
      <w:pPr>
        <w:pStyle w:val="Heading2"/>
      </w:pPr>
      <w:r>
        <w:t xml:space="preserve">Methodology</w:t>
      </w:r>
    </w:p>
    <w:p>
      <w:pPr>
        <w:pStyle w:val="FirstParagraph"/>
      </w:pPr>
      <w:r>
        <w:t xml:space="preserve">From the 451 decarbonization FONSIs, a language model labeled each project’s action (new-build, upgrade, maintenance, demonstration, etc.) and judged whether the action is inherently small, routine, and low-impact — the</w:t>
      </w:r>
      <w:r>
        <w:t xml:space="preserve"> </w:t>
      </w:r>
      <w:r>
        <w:t xml:space="preserve">“CE-shaped”</w:t>
      </w:r>
      <w:r>
        <w:t xml:space="preserve"> </w:t>
      </w:r>
      <w:r>
        <w:t xml:space="preserve">subset (215 projects: in-corridor work, previously disturbed land, no major new construction). Each technology × action cell was then matched by text similarity against all 2,105 existing federal CEs. A cell resolves to expand when a close CE exists but the FONSIs’ own stated sizes exceed the CE’s numeric limit.</w:t>
      </w:r>
    </w:p>
    <w:bookmarkEnd w:id="18"/>
    <w:bookmarkStart w:id="23" w:name="X909bcdc86220b26f2accd7ff8f53d9a5553f790"/>
    <w:p>
      <w:pPr>
        <w:pStyle w:val="Heading2"/>
      </w:pPr>
      <w:r>
        <w:t xml:space="preserve">Raising the mileage cap on the transmission CE is the strongest expand case</w:t>
      </w:r>
    </w:p>
    <w:p>
      <w:pPr>
        <w:pStyle w:val="FirstParagraph"/>
      </w:pPr>
      <w:r>
        <w:t xml:space="preserve">The strongest single opportunity in the screen involves 26 in-corridor transmission upgrade FONSIs — reconductoring, rebuilding, and uprating existing lines within existing rights-of-way — across 12 states, mostly in the West, run by BLM, DOE, and the power marketing administrations as full EAs. TVA already categorically excludes exactly this work under two exclusions: CE #17 (modify in place — reconductoring, equipment swaps; no length limit) and CE #19 (rebuild within the existing right-of-way — capped at 25 miles).</w:t>
      </w:r>
    </w:p>
    <w:p>
      <w:pPr>
        <w:pStyle w:val="BodyText"/>
      </w:pPr>
      <w:r>
        <w:t xml:space="preserve">The catch is the cap. The in-corridor rebuilds in our data run a ~28-mile median — some far longer — against CE #19’s 25-mile limit. So the move is not simply to adopt TVA’s CE as-is, but to expand its mileage bound (or write the adopted version with a higher cap) so it covers the work agencies are demonstrably approving as insignificant anyway.</w:t>
      </w:r>
      <w:r>
        <w:t xml:space="preserve"> </w:t>
      </w:r>
      <w:hyperlink w:anchor="fig-sizes">
        <w:r>
          <w:rPr>
            <w:rStyle w:val="Hyperlink"/>
          </w:rPr>
          <w:t xml:space="preserve">Figure 2</w:t>
        </w:r>
      </w:hyperlink>
      <w:r>
        <w:t xml:space="preserve"> </w:t>
      </w:r>
      <w:r>
        <w:t xml:space="preserve">puts the mileage problem in context: across all bounded low-impact FONSIs that state a size, line miles is the one dimension that systematically runs past existing CE limits, while acreage and voltage mostly fall within them.</w:t>
      </w:r>
    </w:p>
    <w:tbl>
      <w:tblPr>
        <w:tblStyle w:val="Table"/>
        <w:tblW w:type="pct" w:w="5000"/>
        <w:tblLayout w:type="fixed"/>
        <w:tblLook w:firstRow="0" w:lastRow="0" w:firstColumn="0" w:lastColumn="0" w:noHBand="0" w:noVBand="0" w:val="0000"/>
      </w:tblPr>
      <w:tblGrid>
        <w:gridCol w:w="7920"/>
      </w:tblGrid>
      <w:tr>
        <w:tc>
          <w:tcPr/>
          <w:bookmarkStart w:id="22" w:name="fig-sizes"/>
          <w:p>
            <w:pPr>
              <w:pStyle w:val="Compact"/>
              <w:jc w:val="center"/>
            </w:pPr>
            <w:r>
              <w:drawing>
                <wp:inline>
                  <wp:extent cx="4800600" cy="4107180"/>
                  <wp:effectExtent b="0" l="0" r="0" t="0"/>
                  <wp:docPr descr="" title="" id="20" name="Picture"/>
                  <a:graphic>
                    <a:graphicData uri="http://schemas.openxmlformats.org/drawingml/2006/picture">
                      <pic:pic>
                        <pic:nvPicPr>
                          <pic:cNvPr descr="../output/factsheet/figures/fig_d6_sizes.png" id="21" name="Picture"/>
                          <pic:cNvPicPr>
                            <a:picLocks noChangeArrowheads="1" noChangeAspect="1"/>
                          </pic:cNvPicPr>
                        </pic:nvPicPr>
                        <pic:blipFill>
                          <a:blip r:embed="rId19"/>
                          <a:stretch>
                            <a:fillRect/>
                          </a:stretch>
                        </pic:blipFill>
                        <pic:spPr bwMode="auto">
                          <a:xfrm>
                            <a:off x="0" y="0"/>
                            <a:ext cx="4800600" cy="41071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Note: Bounded low-impact FONSIs (all technologies) vs. all stated CE size limits (log scale). Line length (miles) is the dimension where FONSIs systematically run past stated CE limits; acreage and voltage mostly fall within or near them (voltage is bounded by only two CEs, so that row is indicative). The ~28-mile rebuild median in the text is computed from the transmission-upgrade FONSIs alone.</w:t>
            </w:r>
          </w:p>
          <w:bookmarkEnd w:id="22"/>
        </w:tc>
      </w:tr>
    </w:tbl>
    <w:p>
      <w:pPr>
        <w:pStyle w:val="BodyText"/>
      </w:pPr>
      <w:r>
        <w:t xml:space="preserve">This is also nearly the only numeric expand case possible. Of the 2,105 CEs in the federal catalog, only 86 write their scope limit as a number — an acreage, mileage, voltage, megawatt, or well-count cap like CE #19’s 25 miles. The other ~2,019 bound their scope with words (</w:t>
      </w:r>
      <w:r>
        <w:t xml:space="preserve">“routine,”</w:t>
      </w:r>
      <w:r>
        <w:t xml:space="preserve"> </w:t>
      </w:r>
      <w:r>
        <w:t xml:space="preserve">“minor,”</w:t>
      </w:r>
      <w:r>
        <w:t xml:space="preserve"> </w:t>
      </w:r>
      <w:r>
        <w:t xml:space="preserve">“within existing facilities”</w:t>
      </w:r>
      <w:r>
        <w:t xml:space="preserve">), so for them the expansion question is qualitative — whether the CE’s text covers the action — not a number that can be raised.</w:t>
      </w:r>
    </w:p>
    <w:bookmarkEnd w:id="23"/>
    <w:bookmarkEnd w:id="24"/>
    <w:bookmarkStart w:id="40" w:name="adopting-other-agencies-ces"/>
    <w:p>
      <w:pPr>
        <w:pStyle w:val="Heading1"/>
      </w:pPr>
      <w:r>
        <w:t xml:space="preserve">Adopting Other Agencies’ CEs</w:t>
      </w:r>
    </w:p>
    <w:bookmarkStart w:id="25" w:name="methodology-1"/>
    <w:p>
      <w:pPr>
        <w:pStyle w:val="Heading2"/>
      </w:pPr>
      <w:r>
        <w:t xml:space="preserve">Methodology</w:t>
      </w:r>
    </w:p>
    <w:p>
      <w:pPr>
        <w:pStyle w:val="FirstParagraph"/>
      </w:pPr>
      <w:r>
        <w:t xml:space="preserve">The same grid resolves a cell to adopt when a close matching CE exists — but at a different agency than the ones running the EAs. To test whether cross-agency adoption is realistic, we also compared every existing CE against every other by text similarity, flagging near-duplicates held at multiple agencies.</w:t>
      </w:r>
    </w:p>
    <w:bookmarkEnd w:id="25"/>
    <w:bookmarkStart w:id="39" w:name="X59ac717823f3c808aa43b17946d0cec5b3f72f3"/>
    <w:p>
      <w:pPr>
        <w:pStyle w:val="Heading2"/>
      </w:pPr>
      <w:r>
        <w:t xml:space="preserve">Adoption is already how the CE landscape works</w:t>
      </w:r>
    </w:p>
    <w:p>
      <w:pPr>
        <w:pStyle w:val="FirstParagraph"/>
      </w:pPr>
      <w:r>
        <w:t xml:space="preserve">The existing catalog — 2,105 CEs across 78 federal agency units — is heavily redundant in exactly the way the FRA’s adoption authority anticipates. Laid out by text similarity, the CEs form recognizable cross-agency families (</w:t>
      </w:r>
      <w:hyperlink w:anchor="fig-ce-scatter">
        <w:r>
          <w:rPr>
            <w:rStyle w:val="Hyperlink"/>
          </w:rPr>
          <w:t xml:space="preserve">Figure 3</w:t>
        </w:r>
      </w:hyperlink>
      <w:r>
        <w:t xml:space="preserve">): real property and rights-of-way, geophysical surveys and data collection, routine maintenance, procurement, hazardous-materials handling.</w:t>
      </w:r>
    </w:p>
    <w:tbl>
      <w:tblPr>
        <w:tblStyle w:val="Table"/>
        <w:tblW w:type="pct" w:w="5000"/>
        <w:tblLayout w:type="fixed"/>
        <w:tblLook w:firstRow="0" w:lastRow="0" w:firstColumn="0" w:lastColumn="0" w:noHBand="0" w:noVBand="0" w:val="0000"/>
      </w:tblPr>
      <w:tblGrid>
        <w:gridCol w:w="7920"/>
      </w:tblGrid>
      <w:tr>
        <w:tc>
          <w:tcPr/>
          <w:bookmarkStart w:id="29" w:name="fig-ce-scatter"/>
          <w:p>
            <w:pPr>
              <w:pStyle w:val="Compact"/>
              <w:jc w:val="center"/>
            </w:pPr>
            <w:r>
              <w:drawing>
                <wp:inline>
                  <wp:extent cx="5067300" cy="3840480"/>
                  <wp:effectExtent b="0" l="0" r="0" t="0"/>
                  <wp:docPr descr="" title="" id="27" name="Picture"/>
                  <a:graphic>
                    <a:graphicData uri="http://schemas.openxmlformats.org/drawingml/2006/picture">
                      <pic:pic>
                        <pic:nvPicPr>
                          <pic:cNvPr descr="../output/factsheet/figures/fig_d6_ce_scatter.png" id="28" name="Picture"/>
                          <pic:cNvPicPr>
                            <a:picLocks noChangeArrowheads="1" noChangeAspect="1"/>
                          </pic:cNvPicPr>
                        </pic:nvPicPr>
                        <pic:blipFill>
                          <a:blip r:embed="rId26"/>
                          <a:stretch>
                            <a:fillRect/>
                          </a:stretch>
                        </pic:blipFill>
                        <pic:spPr bwMode="auto">
                          <a:xfrm>
                            <a:off x="0" y="0"/>
                            <a:ext cx="5067300" cy="38404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Note: All existing federal CEs laid out by text similarity (t-SNE), colored by family and labeled by distinctive phrases. Closer = more similar wording. The families recur across different departments — the precedent for adoption.</w:t>
            </w:r>
          </w:p>
          <w:bookmarkEnd w:id="29"/>
        </w:tc>
      </w:tr>
    </w:tbl>
    <w:p>
      <w:pPr>
        <w:pStyle w:val="BodyText"/>
      </w:pPr>
      <w:r>
        <w:t xml:space="preserve">The same comparison can be read at a much finer grain than the figure’s broad families: setting a strict similarity bar — one agency’s CE written in close-to-identical language to another’s — 317 of the 2,105 CEs have such a near-twin at a different agency, and linking the twins together yields 130 action families already shared by two or more agencies. The biggest of these are reassuringly mundane: routine procurement of goods and services (excluded in near-identical terms by 8 agency units), ordinary personnel and administrative activities, building demolition and disposal, post-fire rehabilitation on public lands. That is the precedent that matters here: when an action is genuinely low-impact, agencies have repeatedly ended up writing nearly identical exclusions into their own NEPA procedures — the FRA’s adoption authority formalizes, and shortcuts, what the landscape already does informally.</w:t>
      </w:r>
    </w:p>
    <w:p>
      <w:pPr>
        <w:pStyle w:val="BodyText"/>
      </w:pPr>
      <w:r>
        <w:t xml:space="preserve">The CE authorities that decarbonization and fossil projects actually cite are similarly concentrated (</w:t>
      </w:r>
      <w:hyperlink w:anchor="fig-top-ce">
        <w:r>
          <w:rPr>
            <w:rStyle w:val="Hyperlink"/>
          </w:rPr>
          <w:t xml:space="preserve">Figure 4</w:t>
        </w:r>
      </w:hyperlink>
      <w:r>
        <w:t xml:space="preserve">): a small set of workhorse exclusions (DOE’s financial-assistance CEs, BLM’s oil-and-gas pathways) carries most of the volume.</w:t>
      </w:r>
    </w:p>
    <w:tbl>
      <w:tblPr>
        <w:tblStyle w:val="Table"/>
        <w:tblW w:type="pct" w:w="5000"/>
        <w:tblLayout w:type="fixed"/>
        <w:tblLook w:firstRow="0" w:lastRow="0" w:firstColumn="0" w:lastColumn="0" w:noHBand="0" w:noVBand="0" w:val="0000"/>
      </w:tblPr>
      <w:tblGrid>
        <w:gridCol w:w="7920"/>
      </w:tblGrid>
      <w:tr>
        <w:tc>
          <w:tcPr/>
          <w:bookmarkStart w:id="33" w:name="fig-top-ce"/>
          <w:p>
            <w:pPr>
              <w:pStyle w:val="Compact"/>
              <w:jc w:val="center"/>
            </w:pPr>
            <w:r>
              <w:drawing>
                <wp:inline>
                  <wp:extent cx="5067300" cy="4560570"/>
                  <wp:effectExtent b="0" l="0" r="0" t="0"/>
                  <wp:docPr descr="" title="" id="31" name="Picture"/>
                  <a:graphic>
                    <a:graphicData uri="http://schemas.openxmlformats.org/drawingml/2006/picture">
                      <pic:pic>
                        <pic:nvPicPr>
                          <pic:cNvPr descr="../output/factsheet/figures/fig4_top_ce_codes.png" id="32" name="Picture"/>
                          <pic:cNvPicPr>
                            <a:picLocks noChangeArrowheads="1" noChangeAspect="1"/>
                          </pic:cNvPicPr>
                        </pic:nvPicPr>
                        <pic:blipFill>
                          <a:blip r:embed="rId30"/>
                          <a:stretch>
                            <a:fillRect/>
                          </a:stretch>
                        </pic:blipFill>
                        <pic:spPr bwMode="auto">
                          <a:xfrm>
                            <a:off x="0" y="0"/>
                            <a:ext cx="5067300" cy="4560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Note: The 15 most-cited CE authorities across all energy projects in NEPATEC 2.0 (document-level citation counts).</w:t>
            </w:r>
          </w:p>
          <w:bookmarkEnd w:id="33"/>
        </w:tc>
      </w:tr>
    </w:tbl>
    <w:p>
      <w:pPr>
        <w:pStyle w:val="BodyText"/>
      </w:pPr>
      <w:r>
        <w:t xml:space="preserve">For the decarbonization FONSI grid, 21 cells resolve to adopt — though most rest on thin evidence (only 9 have two or more CE-shaped FONSIs).</w:t>
      </w:r>
      <w:r>
        <w:t xml:space="preserve"> </w:t>
      </w:r>
      <w:hyperlink w:anchor="fig-adoption-gap">
        <w:r>
          <w:rPr>
            <w:rStyle w:val="Hyperlink"/>
          </w:rPr>
          <w:t xml:space="preserve">Figure 5</w:t>
        </w:r>
      </w:hyperlink>
      <w:r>
        <w:t xml:space="preserve"> </w:t>
      </w:r>
      <w:r>
        <w:t xml:space="preserve">shows those better-evidenced candidates: each bar is a recurring action that agencies ran as full EAs, labeled with the existing CE (and the agency that holds it) they could adopt instead. Treat it as a menu of matches to verify, not a set of robust findings; the full candidate detail, including which agencies could adopt each CE, is in the</w:t>
      </w:r>
      <w:r>
        <w:t xml:space="preserve"> </w:t>
      </w:r>
      <w:hyperlink r:id="rId34">
        <w:r>
          <w:rPr>
            <w:rStyle w:val="Hyperlink"/>
          </w:rPr>
          <w:t xml:space="preserve">Deliverable 6 report</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adoption-gap"/>
          <w:p>
            <w:pPr>
              <w:pStyle w:val="Compact"/>
              <w:jc w:val="center"/>
            </w:pPr>
            <w:r>
              <w:drawing>
                <wp:inline>
                  <wp:extent cx="5067300" cy="3152986"/>
                  <wp:effectExtent b="0" l="0" r="0" t="0"/>
                  <wp:docPr descr="" title="" id="36" name="Picture"/>
                  <a:graphic>
                    <a:graphicData uri="http://schemas.openxmlformats.org/drawingml/2006/picture">
                      <pic:pic>
                        <pic:nvPicPr>
                          <pic:cNvPr descr="../output/factsheet/figures/fig_d6_adoption_gap.png" id="37" name="Picture"/>
                          <pic:cNvPicPr>
                            <a:picLocks noChangeArrowheads="1" noChangeAspect="1"/>
                          </pic:cNvPicPr>
                        </pic:nvPicPr>
                        <pic:blipFill>
                          <a:blip r:embed="rId35"/>
                          <a:stretch>
                            <a:fillRect/>
                          </a:stretch>
                        </pic:blipFill>
                        <pic:spPr bwMode="auto">
                          <a:xfrm>
                            <a:off x="0" y="0"/>
                            <a:ext cx="5067300" cy="315298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Note: Candidate adopt opportunities — recurring decarbonization actions run as full EAs despite a close CE match at another agency (adopt cells with at least two CE-shaped, low-impact FONSIs). Matches pending eCFR verification.</w:t>
            </w:r>
          </w:p>
          <w:bookmarkEnd w:id="38"/>
        </w:tc>
      </w:tr>
    </w:tbl>
    <w:p>
      <w:pPr>
        <w:pStyle w:val="BodyText"/>
      </w:pPr>
      <w:r>
        <w:t xml:space="preserve">One timing caveat: nearly all of these FONSIs predate the FRA’s June 2023 adoption authority — agencies ran full EAs because the shortcut did not yet exist. The findings identify where adoption review is likely worthwhile; confirming that agencies still process these actions as EAs post-FRA is the required next check.</w:t>
      </w:r>
    </w:p>
    <w:bookmarkEnd w:id="39"/>
    <w:bookmarkEnd w:id="40"/>
    <w:bookmarkStart w:id="43" w:name="developing-new-ces"/>
    <w:p>
      <w:pPr>
        <w:pStyle w:val="Heading1"/>
      </w:pPr>
      <w:r>
        <w:t xml:space="preserve">Developing New CEs</w:t>
      </w:r>
    </w:p>
    <w:bookmarkStart w:id="41" w:name="methodology-2"/>
    <w:p>
      <w:pPr>
        <w:pStyle w:val="Heading2"/>
      </w:pPr>
      <w:r>
        <w:t xml:space="preserve">Methodology</w:t>
      </w:r>
    </w:p>
    <w:p>
      <w:pPr>
        <w:pStyle w:val="FirstParagraph"/>
      </w:pPr>
      <w:r>
        <w:t xml:space="preserve">A cell resolves to develop when the FONSIs recur but no existing CE comes close — no CE in the catalog scores a strong text match (typically below the 0.40 reference line) and the coverage check finds none whose text covers the action. These are the gaps invisible to any approach that starts from existing CE categories.</w:t>
      </w:r>
    </w:p>
    <w:bookmarkEnd w:id="41"/>
    <w:bookmarkStart w:id="42" w:name="X3dae96f209be937e21a2a491c76acf025f2cb70"/>
    <w:p>
      <w:pPr>
        <w:pStyle w:val="Heading2"/>
      </w:pPr>
      <w:r>
        <w:t xml:space="preserve">Real gaps exist, but the evidence supports keeping them high-level</w:t>
      </w:r>
    </w:p>
    <w:p>
      <w:pPr>
        <w:pStyle w:val="FirstParagraph"/>
      </w:pPr>
      <w:r>
        <w:t xml:space="preserve">17 cells resolve to develop, 15 of them codifiable as a physical action class. The cross-cutting standout is demonstration and pilot facilities, which recur as a gap for wind, nuclear, and other clean-energy projects — one new CE could cover small-scale research and demonstration installations across technologies. (The method discriminates: for geothermal and biomass, the same demonstration action already has a matchable CE, so it resolves to adopt instead.)</w:t>
      </w:r>
    </w:p>
    <w:p>
      <w:pPr>
        <w:pStyle w:val="BodyText"/>
      </w:pPr>
      <w:r>
        <w:t xml:space="preserve">We deliberately stop short of recommending specific new CEs. The FONSI counts behind each develop cell are small — enough to flag a recurring pattern, not enough to constitute the evidence record a rulemaking would need. The right reading is methodological: this machinery can surface where new CEs are worth building, and it will get sharper as more data accumulates — particularly post-FRA records and a corpus extending beyond decarbonization.</w:t>
      </w:r>
    </w:p>
    <w:bookmarkEnd w:id="42"/>
    <w:bookmarkEnd w:id="43"/>
    <w:bookmarkStart w:id="48" w:name="mitigated-fonsis"/>
    <w:p>
      <w:pPr>
        <w:pStyle w:val="Heading1"/>
      </w:pPr>
      <w:r>
        <w:t xml:space="preserve">Mitigated FONSIs</w:t>
      </w:r>
    </w:p>
    <w:p>
      <w:pPr>
        <w:pStyle w:val="FirstParagraph"/>
      </w:pPr>
      <w:r>
        <w:t xml:space="preserve">A large majority of decarbonization FONSIs — 310 of 451 (69%) — are mitigated FONSIs (</w:t>
      </w:r>
      <w:hyperlink w:anchor="fig-mitigated">
        <w:r>
          <w:rPr>
            <w:rStyle w:val="Hyperlink"/>
          </w:rPr>
          <w:t xml:space="preserve">Figure 6</w:t>
        </w:r>
      </w:hyperlink>
      <w:r>
        <w:t xml:space="preserve">): the</w:t>
      </w:r>
      <w:r>
        <w:t xml:space="preserve"> </w:t>
      </w:r>
      <w:r>
        <w:t xml:space="preserve">“no significant impact”</w:t>
      </w:r>
      <w:r>
        <w:t xml:space="preserve"> </w:t>
      </w:r>
      <w:r>
        <w:t xml:space="preserve">finding depends on committed mitigation rather than the action being inherently benign, and in 309 of those the commitment is case-specific.</w:t>
      </w:r>
    </w:p>
    <w:tbl>
      <w:tblPr>
        <w:tblStyle w:val="Table"/>
        <w:tblW w:type="pct" w:w="5000"/>
        <w:tblLayout w:type="fixed"/>
        <w:tblLook w:firstRow="0" w:lastRow="0" w:firstColumn="0" w:lastColumn="0" w:noHBand="0" w:noVBand="0" w:val="0000"/>
      </w:tblPr>
      <w:tblGrid>
        <w:gridCol w:w="7920"/>
      </w:tblGrid>
      <w:tr>
        <w:tc>
          <w:tcPr/>
          <w:bookmarkStart w:id="47" w:name="fig-mitigated"/>
          <w:p>
            <w:pPr>
              <w:pStyle w:val="Compact"/>
              <w:jc w:val="center"/>
            </w:pPr>
            <w:r>
              <w:drawing>
                <wp:inline>
                  <wp:extent cx="5067300" cy="2589953"/>
                  <wp:effectExtent b="0" l="0" r="0" t="0"/>
                  <wp:docPr descr="" title="" id="45" name="Picture"/>
                  <a:graphic>
                    <a:graphicData uri="http://schemas.openxmlformats.org/drawingml/2006/picture">
                      <pic:pic>
                        <pic:nvPicPr>
                          <pic:cNvPr descr="../output/factsheet/figures/fig_d6_mitigated_overall.png" id="46" name="Picture"/>
                          <pic:cNvPicPr>
                            <a:picLocks noChangeArrowheads="1" noChangeAspect="1"/>
                          </pic:cNvPicPr>
                        </pic:nvPicPr>
                        <pic:blipFill>
                          <a:blip r:embed="rId44"/>
                          <a:stretch>
                            <a:fillRect/>
                          </a:stretch>
                        </pic:blipFill>
                        <pic:spPr bwMode="auto">
                          <a:xfrm>
                            <a:off x="0" y="0"/>
                            <a:ext cx="5067300" cy="2589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Note: Share of decarbonization FONSIs whose finding of no significant impact relies on committed mitigation.</w:t>
            </w:r>
          </w:p>
          <w:bookmarkEnd w:id="47"/>
        </w:tc>
      </w:tr>
    </w:tbl>
    <w:p>
      <w:pPr>
        <w:pStyle w:val="BodyText"/>
      </w:pPr>
      <w:r>
        <w:t xml:space="preserve">We tested whether the mitigation itself follows patterns that could be codified, and found none. Breaking every committed-mitigation summary into phrases and counting recurrence across projects, no mitigation phrase repeats: the measures are written project by project (SHPO consultation, raptor-nest buffers, site-specific erosion plans). What does recur is (1) the resource areas mitigation protects — consistently biological, soils, water, and cultural — and (2) the agencies’ explicit significance thresholds (</w:t>
      </w:r>
      <w:r>
        <w:t xml:space="preserve">“would be significant if it exceeded X”</w:t>
      </w:r>
      <w:r>
        <w:t xml:space="preserve">), which repeat across projects and are the natural, codifiable bounds for any new or expanded CE.</w:t>
      </w:r>
    </w:p>
    <w:p>
      <w:pPr>
        <w:pStyle w:val="BodyText"/>
      </w:pPr>
      <w:r>
        <w:t xml:space="preserve">The design implication is that a CE built from this evidence base cannot rely on case-by-case mitigation commitments; it must encode the recurring protections as standing design criteria and exclude actions that would hinge on project-specific mitigation.</w:t>
      </w:r>
    </w:p>
    <w:bookmarkEnd w:id="48"/>
    <w:bookmarkStart w:id="50" w:name="conclusion-and-policy-implications"/>
    <w:p>
      <w:pPr>
        <w:pStyle w:val="Heading1"/>
      </w:pPr>
      <w:r>
        <w:t xml:space="preserve">Conclusion and Policy Implications</w:t>
      </w:r>
    </w:p>
    <w:p>
      <w:pPr>
        <w:pStyle w:val="FirstParagraph"/>
      </w:pPr>
      <w:r>
        <w:rPr>
          <w:b/>
          <w:bCs/>
        </w:rPr>
        <w:t xml:space="preserve">The federal government should invest in expanding NEPATEC — and consider responsible use of AI to identify CE candidates.</w:t>
      </w:r>
      <w:r>
        <w:t xml:space="preserve"> </w:t>
      </w:r>
      <w:r>
        <w:t xml:space="preserve">This analysis demonstrates a repeatable pattern: machine reading of the FONSI record can surface where agencies repeatedly conclude</w:t>
      </w:r>
      <w:r>
        <w:t xml:space="preserve"> </w:t>
      </w:r>
      <w:r>
        <w:t xml:space="preserve">“no significant impact”</w:t>
      </w:r>
      <w:r>
        <w:t xml:space="preserve"> </w:t>
      </w:r>
      <w:r>
        <w:t xml:space="preserve">for the same class of action, match those classes against the full federal CE catalog, and rank expand/adopt/develop opportunities — work that would take a policy team months per agency to do by hand. Three implications follow:</w:t>
      </w:r>
    </w:p>
    <w:p>
      <w:pPr>
        <w:pStyle w:val="Compact"/>
        <w:numPr>
          <w:ilvl w:val="0"/>
          <w:numId w:val="1002"/>
        </w:numPr>
      </w:pPr>
      <w:r>
        <w:rPr>
          <w:b/>
          <w:bCs/>
        </w:rPr>
        <w:t xml:space="preserve">Act on the transmission case.</w:t>
      </w:r>
      <w:r>
        <w:t xml:space="preserve"> </w:t>
      </w:r>
      <w:r>
        <w:t xml:space="preserve">The in-corridor transmission upgrade finding is well-evidenced, maps to a specific existing CE, and has a specific fix (raise the mileage cap). It is the natural first candidate for expert verification.</w:t>
      </w:r>
    </w:p>
    <w:p>
      <w:pPr>
        <w:pStyle w:val="Compact"/>
        <w:numPr>
          <w:ilvl w:val="0"/>
          <w:numId w:val="1002"/>
        </w:numPr>
      </w:pPr>
      <w:r>
        <w:rPr>
          <w:b/>
          <w:bCs/>
        </w:rPr>
        <w:t xml:space="preserve">Use the FRA’s adoption authority systematically, not opportunistically.</w:t>
      </w:r>
      <w:r>
        <w:t xml:space="preserve"> </w:t>
      </w:r>
      <w:r>
        <w:t xml:space="preserve">The catalog’s 130 shared action families show adoption is normal practice; the candidate list here gives agencies a place to start looking.</w:t>
      </w:r>
    </w:p>
    <w:p>
      <w:pPr>
        <w:pStyle w:val="Compact"/>
        <w:numPr>
          <w:ilvl w:val="0"/>
          <w:numId w:val="1002"/>
        </w:numPr>
      </w:pPr>
      <w:r>
        <w:rPr>
          <w:b/>
          <w:bCs/>
        </w:rPr>
        <w:t xml:space="preserve">Keep humans in the loop.</w:t>
      </w:r>
      <w:r>
        <w:t xml:space="preserve"> </w:t>
      </w:r>
      <w:r>
        <w:t xml:space="preserve">Every machine-identified candidate is a screening result. The appropriate model is AI-assisted triage feeding subject-matter-expert review and ordinary rulemaking process — the analysis narrows the field of candidates, and experts confirm which ones hold up.</w:t>
      </w:r>
    </w:p>
    <w:p>
      <w:pPr>
        <w:pStyle w:val="FirstParagraph"/>
      </w:pPr>
      <w:r>
        <w:t xml:space="preserve">More data makes all of this better. A NEPATEC that continuously ingests agency records — with the structured metadata contemplated by CEQ’s NEPA and Permitting Data and Technology Standard — would turn CE identification from a one-time research exercise into standing capability.</w:t>
      </w:r>
    </w:p>
    <w:p>
      <w:r>
        <w:pict>
          <v:rect style="width:0;height:1.5pt" o:hralign="center" o:hrstd="t" o:hr="t"/>
        </w:pict>
      </w:r>
    </w:p>
    <w:p>
      <w:pPr>
        <w:pStyle w:val="FirstParagraph"/>
      </w:pPr>
      <w:r>
        <w:rPr>
          <w:i/>
          <w:iCs/>
        </w:rPr>
        <w:t xml:space="preserve">Data: NEPATEC 2.0 — 451 decarbonization FONSIs; 2,105 federal CEs (CE Explorer catalog). Methods and full results:</w:t>
      </w:r>
      <w:r>
        <w:rPr>
          <w:i/>
          <w:iCs/>
        </w:rPr>
        <w:t xml:space="preserve"> </w:t>
      </w:r>
      <w:hyperlink r:id="rId34">
        <w:r>
          <w:rPr>
            <w:rStyle w:val="Hyperlink"/>
            <w:i/>
            <w:iCs/>
          </w:rPr>
          <w:t xml:space="preserve">Phase 2 Deliverable 6</w:t>
        </w:r>
      </w:hyperlink>
      <w:r>
        <w:rPr>
          <w:i/>
          <w:iCs/>
        </w:rPr>
        <w:t xml:space="preserve"> </w:t>
      </w:r>
      <w:r>
        <w:rPr>
          <w:i/>
          <w:iCs/>
        </w:rPr>
        <w:t xml:space="preserve">and</w:t>
      </w:r>
      <w:r>
        <w:rPr>
          <w:i/>
          <w:iCs/>
        </w:rPr>
        <w:t xml:space="preserve"> </w:t>
      </w:r>
      <w:hyperlink r:id="rId49">
        <w:r>
          <w:rPr>
            <w:rStyle w:val="Hyperlink"/>
            <w:i/>
            <w:iCs/>
          </w:rPr>
          <w:t xml:space="preserve">Deliverable 3</w:t>
        </w:r>
      </w:hyperlink>
      <w:r>
        <w:rPr>
          <w:i/>
          <w:iCs/>
        </w:rPr>
        <w:t xml:space="preserv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26" Target="media/rId26.png" /><Relationship Type="http://schemas.openxmlformats.org/officeDocument/2006/relationships/image" Id="rId13" Target="media/rId13.png" /><Relationship Type="http://schemas.openxmlformats.org/officeDocument/2006/relationships/image" Id="rId44" Target="media/rId44.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49" Target="https://www.kaseyzapatka.com/nepa/phase2/reports/deliverable03.html" TargetMode="External" /><Relationship Type="http://schemas.openxmlformats.org/officeDocument/2006/relationships/hyperlink" Id="rId34" Target="https://www.kaseyzapatka.com/nepa/phase2/reports/deliverable06.html" TargetMode="External" /></Relationships>
</file>

<file path=word/_rels/footnotes.xml.rels><?xml version="1.0" encoding="UTF-8"?><Relationships xmlns="http://schemas.openxmlformats.org/package/2006/relationships"><Relationship Type="http://schemas.openxmlformats.org/officeDocument/2006/relationships/hyperlink" Id="rId49" Target="https://www.kaseyzapatka.com/nepa/phase2/reports/deliverable03.html" TargetMode="External" /><Relationship Type="http://schemas.openxmlformats.org/officeDocument/2006/relationships/hyperlink" Id="rId34" Target="https://www.kaseyzapatka.com/nepa/phase2/reports/deliverable0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Categorical Exclusions: Expand, Adopt, Develop</dc:title>
  <dc:creator/>
  <cp:keywords/>
  <dcterms:created xsi:type="dcterms:W3CDTF">2026-08-01T05:55:00Z</dcterms:created>
  <dcterms:modified xsi:type="dcterms:W3CDTF">2026-08-01T05:55:00Z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3: Categorical Exclusions</vt:lpwstr>
  </property>
  <property fmtid="{D5CDD505-2E9C-101B-9397-08002B2CF9AE}" pid="12" name="toc-title">
    <vt:lpwstr>Table of contents</vt:lpwstr>
  </property>
</Properties>
</file>