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8.png" ContentType="image/png"/>
  <Override PartName="/word/media/rId43.png" ContentType="image/png"/>
  <Override PartName="/word/media/rId63.png" ContentType="image/png"/>
  <Override PartName="/word/media/rId67.png" ContentType="image/png"/>
  <Override PartName="/word/media/rId58.png" ContentType="image/png"/>
  <Override PartName="/word/media/rId53.png" ContentType="image/png"/>
  <Override PartName="/word/media/rId34.png" ContentType="image/png"/>
  <Override PartName="/word/media/rId48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</w:t>
      </w:r>
      <w:r>
        <w:t xml:space="preserve"> </w:t>
      </w:r>
      <w:r>
        <w:t xml:space="preserve">Long</w:t>
      </w:r>
      <w:r>
        <w:t xml:space="preserve"> </w:t>
      </w:r>
      <w:r>
        <w:t xml:space="preserve">Do</w:t>
      </w:r>
      <w:r>
        <w:t xml:space="preserve"> </w:t>
      </w:r>
      <w:r>
        <w:t xml:space="preserve">NEPA</w:t>
      </w:r>
      <w:r>
        <w:t xml:space="preserve"> </w:t>
      </w:r>
      <w:r>
        <w:t xml:space="preserve">Reviews</w:t>
      </w:r>
      <w:r>
        <w:t xml:space="preserve"> </w:t>
      </w:r>
      <w:r>
        <w:t xml:space="preserve">Take?</w:t>
      </w:r>
    </w:p>
    <w:p>
      <w:pPr>
        <w:pStyle w:val="Subtitle"/>
      </w:pPr>
      <w:r>
        <w:t xml:space="preserve">NEPA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Numbers</w:t>
      </w:r>
      <w:r>
        <w:t xml:space="preserve"> </w:t>
      </w:r>
      <w:r>
        <w:t xml:space="preserve">—</w:t>
      </w:r>
      <w:r>
        <w:t xml:space="preserve"> </w:t>
      </w:r>
      <w:r>
        <w:t xml:space="preserve">Fact</w:t>
      </w:r>
      <w:r>
        <w:t xml:space="preserve"> </w:t>
      </w:r>
      <w:r>
        <w:t xml:space="preserve">Sheet</w:t>
      </w:r>
      <w:r>
        <w:t xml:space="preserve"> </w:t>
      </w:r>
      <w:r>
        <w:t xml:space="preserve">1:</w:t>
      </w:r>
      <w:r>
        <w:t xml:space="preserve"> </w:t>
      </w:r>
      <w:r>
        <w:t xml:space="preserve">Review</w:t>
      </w:r>
      <w:r>
        <w:t xml:space="preserve"> </w:t>
      </w:r>
      <w:r>
        <w:t xml:space="preserve">Timelines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24,</w:t>
      </w:r>
      <w:r>
        <w:t xml:space="preserve"> </w:t>
      </w:r>
      <w:r>
        <w:t xml:space="preserve">2026</w:t>
      </w:r>
    </w:p>
    <w:bookmarkStart w:id="23" w:name="key-findings"/>
    <w:p>
      <w:pPr>
        <w:pStyle w:val="Heading2"/>
      </w:pPr>
      <w:r>
        <w:t xml:space="preserve">Key Findings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Findings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  <w:pStyle w:val="Compact"/>
            </w:pPr>
            <w:r>
              <w:rPr>
                <w:bCs/>
                <w:b/>
              </w:rPr>
              <w:t xml:space="preserve">NEPA review duration climbs from days to months to years as review intensity increases.</w:t>
            </w:r>
            <w:r>
              <w:t xml:space="preserve"> </w:t>
            </w:r>
            <w:r>
              <w:t xml:space="preserve">Median review duration is</w:t>
            </w:r>
            <w:r>
              <w:t xml:space="preserve"> </w:t>
            </w:r>
            <w:r>
              <w:rPr>
                <w:bCs/>
                <w:b/>
              </w:rPr>
              <w:t xml:space="preserve">20 days for Categorical Exclusions (CEs)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117 days (~4 months) for Environmental Assessments (EAs)</w:t>
            </w:r>
            <w:r>
              <w:t xml:space="preserve">, and</w:t>
            </w:r>
            <w:r>
              <w:t xml:space="preserve"> </w:t>
            </w:r>
            <w:r>
              <w:rPr>
                <w:bCs/>
                <w:b/>
              </w:rPr>
              <w:t xml:space="preserve">1,021 days (~2.8 years) for Environmental Impact Statements (EISs)</w:t>
            </w:r>
            <w:r>
              <w:t xml:space="preserve">.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rPr>
                <w:bCs/>
                <w:b/>
              </w:rPr>
              <w:t xml:space="preserve">Decarbonization and fossil energy projects take broadly similar time within each review process.</w:t>
            </w:r>
            <w:r>
              <w:t xml:space="preserve"> </w:t>
            </w:r>
            <w:r>
              <w:t xml:space="preserve">The apparent fossil-EA speed advantage is a data artifact (administrative start dates recorded near the decision), not a real difference in review length.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rPr>
                <w:bCs/>
                <w:b/>
              </w:rPr>
              <w:t xml:space="preserve">Post-FRA, EIS documents got shorter, but reviews have not yet gotten measurably faster.</w:t>
            </w:r>
            <w:r>
              <w:t xml:space="preserve"> </w:t>
            </w:r>
            <w:r>
              <w:t xml:space="preserve">Mean EIS length fell from 318 to 269 regulatory pages after the Fiscal Responsibility Act of 2023, while median durations are statistically unchanged — though the post-FRA sample is still small.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rPr>
                <w:bCs/>
                <w:b/>
              </w:rPr>
              <w:t xml:space="preserve">The longest reviews are real, and they are concentrated in EISs.</w:t>
            </w:r>
            <w:r>
              <w:t xml:space="preserve"> </w:t>
            </w:r>
            <w:r>
              <w:t xml:space="preserve">Genuinely protracted reviews — SunZia Southwest Transmission (14.6 years), Grain Belt Express, Energia Sierra Juarez, Cushman Hydroelectric — are candidates for case-study investigation; multi-year</w:t>
            </w:r>
            <w:r>
              <w:t xml:space="preserve"> </w:t>
            </w:r>
            <w:r>
              <w:rPr>
                <w:iCs/>
                <w:i/>
              </w:rPr>
              <w:t xml:space="preserve">CE</w:t>
            </w:r>
            <w:r>
              <w:t xml:space="preserve"> </w:t>
            </w:r>
            <w:r>
              <w:t xml:space="preserve">“</w:t>
            </w:r>
            <w:r>
              <w:t xml:space="preserve">durations,</w:t>
            </w:r>
            <w:r>
              <w:t xml:space="preserve">”</w:t>
            </w:r>
            <w:r>
              <w:t xml:space="preserve"> </w:t>
            </w:r>
            <w:r>
              <w:t xml:space="preserve">by contrast, are almost always extraction errors.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rPr>
                <w:bCs/>
                <w:b/>
              </w:rPr>
              <w:t xml:space="preserve">Better federal timeline data would improve every finding in this fact sheet.</w:t>
            </w:r>
            <w:r>
              <w:t xml:space="preserve"> </w:t>
            </w:r>
            <w:r>
              <w:t xml:space="preserve">No federal data source systematically records when NEPA reviews start and end; every date here was recovered from document text or agency registers. Agency adoption of the CEQ NEPA and Permitting Data and Technology Standard would make timeline analysis dramatically more complete.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Few questions in permitting policy attract more attention than how long NEPA reviews take. The</w:t>
      </w:r>
      <w:r>
        <w:t xml:space="preserve"> </w:t>
      </w:r>
      <w:r>
        <w:rPr>
          <w:bCs/>
          <w:b/>
        </w:rPr>
        <w:t xml:space="preserve">Fiscal Responsibility Act of 2023 (FRA)</w:t>
      </w:r>
      <w:r>
        <w:t xml:space="preserve"> </w:t>
      </w:r>
      <w:r>
        <w:t xml:space="preserve">wrote timeline targets directly into statute — one year for an EA, two years for an EIS — along with presumptive page limits. The regulatory ground has also shifted repeatedly: the Council on Environmental Quality (CEQ) rewrote its NEPA implementing regulations in 2020, revised them again in 2022 and 2024, and then rescinded them entirely in 2025 following</w:t>
      </w:r>
      <w:r>
        <w:t xml:space="preserve"> </w:t>
      </w:r>
      <w:r>
        <w:rPr>
          <w:iCs/>
          <w:i/>
        </w:rPr>
        <w:t xml:space="preserve">Marin Audubon Society v. FAA</w:t>
      </w:r>
      <w:r>
        <w:t xml:space="preserve"> </w:t>
      </w:r>
      <w:r>
        <w:t xml:space="preserve">and Executive Order 14154, returning procedural detail to individual agencies. Most recently, the Supreme Court’s decision in</w:t>
      </w:r>
      <w:r>
        <w:t xml:space="preserve"> </w:t>
      </w:r>
      <w:r>
        <w:rPr>
          <w:iCs/>
          <w:i/>
        </w:rPr>
        <w:t xml:space="preserve">Seven County Infrastructure Coalition v. Eagle County</w:t>
      </w:r>
      <w:r>
        <w:t xml:space="preserve"> </w:t>
      </w:r>
      <w:r>
        <w:t xml:space="preserve">(2025) narrowed the scope of judicial review of NEPA analyses, with implications for how much analysis agencies feel compelled to produce.</w:t>
      </w:r>
    </w:p>
    <w:p>
      <w:pPr>
        <w:pStyle w:val="BodyText"/>
      </w:pPr>
      <w:r>
        <w:t xml:space="preserve">Against that backdrop, empirical evidence on NEPA timelines remains thin. Prior studies have documented multi-year EIS timelines [cite the Phase 1 report’s timelines literature — RFF et al.], but most rely on the small EIS population or hand-collected samples. Because roughly 95% of NEPA actions are resolved through CEs and EAs — for which no central timeline data exist — the full distribution of NEPA review durations has been largely unmeasured. Policymakers assessing the FRA’s reforms, CE expansion proposals, and further statutory changes need that baseline.</w:t>
      </w:r>
    </w:p>
    <w:p>
      <w:pPr>
        <w:pStyle w:val="BodyText"/>
      </w:pPr>
      <w:r>
        <w:t xml:space="preserve">This fact sheet reports review timelines extracted from</w:t>
      </w:r>
      <w:r>
        <w:t xml:space="preserve"> </w:t>
      </w:r>
      <w:r>
        <w:rPr>
          <w:bCs/>
          <w:b/>
        </w:rPr>
        <w:t xml:space="preserve">NEPATEC 2.0</w:t>
      </w:r>
      <w:r>
        <w:t xml:space="preserve">, the largest assembled corpus of NEPA documents, covering</w:t>
      </w:r>
      <w:r>
        <w:t xml:space="preserve"> </w:t>
      </w:r>
      <w:r>
        <w:rPr>
          <w:bCs/>
          <w:b/>
        </w:rPr>
        <w:t xml:space="preserve">61,881 projects</w:t>
      </w:r>
      <w:r>
        <w:t xml:space="preserve"> </w:t>
      </w:r>
      <w:r>
        <w:t xml:space="preserve">across CEs, EAs, and EISs — with a focus on decarbonization technologies (solar, wind, transmission, geothermal, storage, nuclear, and related infrastructure) and comparisons to fossil energy projects.</w:t>
      </w:r>
    </w:p>
    <w:bookmarkEnd w:id="24"/>
    <w:bookmarkStart w:id="33" w:name="methodology"/>
    <w:p>
      <w:pPr>
        <w:pStyle w:val="Heading1"/>
      </w:pPr>
      <w:r>
        <w:t xml:space="preserve">Methodology</w:t>
      </w:r>
    </w:p>
    <w:bookmarkStart w:id="26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The timeline analysis covers the full NEPATEC 2.0 database. Energy-technology comparisons use the project technology classifications developed in this research program: roughly one-third of projects are decarbonization-related, with fossil energy and non-energy federal actions making up the rest. Full methodological detail is in the</w:t>
      </w:r>
      <w:r>
        <w:t xml:space="preserve"> </w:t>
      </w:r>
      <w:hyperlink r:id="rId25">
        <w:r>
          <w:rPr>
            <w:rStyle w:val="Hyperlink"/>
          </w:rPr>
          <w:t xml:space="preserve">Phase 2 Deliverable 4 report</w:t>
        </w:r>
      </w:hyperlink>
      <w:r>
        <w:t xml:space="preserve">.</w:t>
      </w:r>
    </w:p>
    <w:bookmarkEnd w:id="26"/>
    <w:bookmarkStart w:id="27" w:name="how-dates-were-extracted"/>
    <w:p>
      <w:pPr>
        <w:pStyle w:val="Heading2"/>
      </w:pPr>
      <w:r>
        <w:t xml:space="preserve">How dates were extracted</w:t>
      </w:r>
    </w:p>
    <w:p>
      <w:pPr>
        <w:pStyle w:val="FirstParagraph"/>
      </w:pPr>
      <w:r>
        <w:t xml:space="preserve">No federal data source systematically records NEPA start and end dates, so we recovered them from the documents themselves. For every project we identify two milestones — the</w:t>
      </w:r>
      <w:r>
        <w:t xml:space="preserve"> </w:t>
      </w:r>
      <w:r>
        <w:rPr>
          <w:bCs/>
          <w:b/>
        </w:rPr>
        <w:t xml:space="preserve">initiation</w:t>
      </w:r>
      <w:r>
        <w:t xml:space="preserve"> </w:t>
      </w:r>
      <w:r>
        <w:t xml:space="preserve">(application received, Notice of Intent, or scoping start) and the</w:t>
      </w:r>
      <w: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(signature, Record of Decision, or Finding of No Significant Impact). A machine-learning pipeline extracts every candidate date from every document, classifies its role, ranks candidates, anchors on authoritative BLM/DOE register dates where available (~40,000 official dates), and sends only the hardest cases to a large language model for adjudication. A project’s timeline is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when both dates are found.</w:t>
      </w:r>
    </w:p>
    <w:bookmarkEnd w:id="27"/>
    <w:bookmarkStart w:id="32" w:name="data-completeness"/>
    <w:p>
      <w:pPr>
        <w:pStyle w:val="Heading2"/>
      </w:pPr>
      <w:r>
        <w:t xml:space="preserve">Data completeness</w:t>
      </w:r>
    </w:p>
    <w:p>
      <w:pPr>
        <w:pStyle w:val="FirstParagraph"/>
      </w:pPr>
      <w:r>
        <w:t xml:space="preserve">Completeness varies sharply by review process, and the gaps are structural rather than fixable by better parsing: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 — 55% complete.</w:t>
      </w:r>
      <w:r>
        <w:t xml:space="preserve"> </w:t>
      </w:r>
      <w:r>
        <w:t xml:space="preserve">Most CEs are single-signature determinations with no recorded start date.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EA — 58% complete.</w:t>
      </w:r>
      <w:r>
        <w:t xml:space="preserve"> </w:t>
      </w:r>
      <w:r>
        <w:t xml:space="preserve">The strongest of the three, but EAs have no Notice-of-Intent requirement, so start dates are often never documented.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EIS — 36% complete.</w:t>
      </w:r>
      <w:r>
        <w:t xml:space="preserve"> </w:t>
      </w:r>
      <w:r>
        <w:t xml:space="preserve">Initiations are well documented (an NOI is required), but Records of Decision are usually separate documents outside the corpus — only 42.3% of EISs have a recoverable decision date.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1" w:name="fig-coverage"/>
          <w:p>
            <w:pPr>
              <w:jc w:val="center"/>
            </w:pPr>
            <w:r>
              <w:drawing>
                <wp:inline>
                  <wp:extent cx="5334000" cy="355599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../output/factsheet/figures/fig_d4_coverage_by_process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Note: Timeline coverage by review process — share of projects with both dates, decision only, initiation only, or neither.</w:t>
            </w:r>
          </w:p>
          <w:bookmarkEnd w:id="31"/>
        </w:tc>
      </w:tr>
    </w:tbl>
    <w:p>
      <w:pPr>
        <w:pStyle w:val="BodyText"/>
      </w:pPr>
      <w:r>
        <w:t xml:space="preserve">All duration findings below use complete timelines only. Because incompleteness is driven by document availability rather than by project characteristics, medians are a reasonable estimate for each process — but readers should keep the completeness rates above in mind, particularly for EISs.</w:t>
      </w:r>
    </w:p>
    <w:bookmarkEnd w:id="32"/>
    <w:bookmarkEnd w:id="33"/>
    <w:bookmarkStart w:id="74" w:name="results"/>
    <w:p>
      <w:pPr>
        <w:pStyle w:val="Heading1"/>
      </w:pPr>
      <w:r>
        <w:t xml:space="preserve">Results</w:t>
      </w:r>
    </w:p>
    <w:bookmarkStart w:id="42" w:name="review-duration-by-process"/>
    <w:p>
      <w:pPr>
        <w:pStyle w:val="Heading2"/>
      </w:pPr>
      <w:r>
        <w:t xml:space="preserve">Review duration by process</w:t>
      </w:r>
    </w:p>
    <w:p>
      <w:pPr>
        <w:pStyle w:val="FirstParagraph"/>
      </w:pPr>
      <w:r>
        <w:t xml:space="preserve">Durations track the expected complexity ladder. The median CE is resolved in</w:t>
      </w:r>
      <w:r>
        <w:t xml:space="preserve"> </w:t>
      </w:r>
      <w:r>
        <w:rPr>
          <w:bCs/>
          <w:b/>
        </w:rPr>
        <w:t xml:space="preserve">20 days</w:t>
      </w:r>
      <w:r>
        <w:t xml:space="preserve">; the median EA in</w:t>
      </w:r>
      <w:r>
        <w:t xml:space="preserve"> </w:t>
      </w:r>
      <w:r>
        <w:rPr>
          <w:bCs/>
          <w:b/>
        </w:rPr>
        <w:t xml:space="preserve">117 days (~4 months)</w:t>
      </w:r>
      <w:r>
        <w:t xml:space="preserve">; the median EIS in</w:t>
      </w:r>
      <w:r>
        <w:t xml:space="preserve"> </w:t>
      </w:r>
      <w:r>
        <w:rPr>
          <w:bCs/>
          <w:b/>
        </w:rPr>
        <w:t xml:space="preserve">1,021 days (~2.8 years)</w:t>
      </w:r>
      <w:r>
        <w:t xml:space="preserve"> </w:t>
      </w:r>
      <w:r>
        <w:t xml:space="preserve">(n = 27,275 / 1,736 / 1,329 complete timelines).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7" w:name="fig-duration-process"/>
          <w:p>
            <w:pPr>
              <w:jc w:val="center"/>
            </w:pPr>
            <w:r>
              <w:drawing>
                <wp:inline>
                  <wp:extent cx="5334000" cy="29337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./output/factsheet/figures/fs1_duration_by_process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3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Note: Thin bar = 10th–90th percentile; thick bar = interquartile range (25th–75th); point = median. All complete timelines; month-only dates imputed to mid-month.</w:t>
            </w:r>
          </w:p>
          <w:bookmarkEnd w:id="37"/>
        </w:tc>
      </w:tr>
    </w:tbl>
    <w:p>
      <w:pPr>
        <w:pStyle w:val="BodyText"/>
      </w:pPr>
      <w:r>
        <w:t xml:space="preserve">The full distributions show the same ladder as a</w:t>
      </w:r>
      <w:r>
        <w:t xml:space="preserve"> </w:t>
      </w:r>
      <w:r>
        <w:rPr>
          <w:iCs/>
          <w:i/>
        </w:rPr>
        <w:t xml:space="preserve">shape</w:t>
      </w:r>
      <w:r>
        <w:t xml:space="preserve">, not just a median: CE durations pile up near zero, EAs spread out to a year or two, and the EIS distribution is broad and heavy-tailed — a meaningful share of EISs run 3–10+ years.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1" w:name="fig-duration-hist"/>
          <w:p>
            <w:pPr>
              <w:jc w:val="center"/>
            </w:pPr>
            <w:r>
              <w:drawing>
                <wp:inline>
                  <wp:extent cx="5334000" cy="60960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./output/factsheet/figures/fig_d4_duration_histogram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9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Note: Review duration distribution by process; all complete timelines.</w:t>
            </w:r>
          </w:p>
          <w:bookmarkEnd w:id="41"/>
        </w:tc>
      </w:tr>
    </w:tbl>
    <w:bookmarkEnd w:id="42"/>
    <w:bookmarkStart w:id="47" w:name="X8dda7a0781f7e663778b51a2a91ccfa15902242"/>
    <w:p>
      <w:pPr>
        <w:pStyle w:val="Heading2"/>
      </w:pPr>
      <w:r>
        <w:t xml:space="preserve">Fossil vs. decarbonization: basically the same amount of time</w:t>
      </w:r>
    </w:p>
    <w:p>
      <w:pPr>
        <w:pStyle w:val="FirstParagraph"/>
      </w:pPr>
      <w:r>
        <w:t xml:space="preserve">Within each review process, decarbonization and fossil projects take broadly similar time. Decarbonization and fossil EISs have similar median durations (~32 vs. ~35 months), and CE determinations are fast for everyone.</w:t>
      </w:r>
    </w:p>
    <w:p>
      <w:pPr>
        <w:pStyle w:val="BodyText"/>
      </w:pPr>
      <w:r>
        <w:t xml:space="preserve">The one visible gap — fossil EAs appearing far faster (~1 month median vs. ~10 months for decarbonization) — is a</w:t>
      </w:r>
      <w:r>
        <w:t xml:space="preserve"> </w:t>
      </w:r>
      <w:r>
        <w:rPr>
          <w:bCs/>
          <w:b/>
        </w:rPr>
        <w:t xml:space="preserve">data artifact, not a real speed difference</w:t>
      </w:r>
      <w:r>
        <w:t xml:space="preserve">: 84% of fossil EAs take their start date from the BLM register, where the recorded</w:t>
      </w:r>
      <w:r>
        <w:t xml:space="preserve"> </w:t>
      </w:r>
      <w:r>
        <w:t xml:space="preserve">“</w:t>
      </w:r>
      <w:r>
        <w:t xml:space="preserve">project start</w:t>
      </w:r>
      <w:r>
        <w:t xml:space="preserve">”</w:t>
      </w:r>
      <w:r>
        <w:t xml:space="preserve"> </w:t>
      </w:r>
      <w:r>
        <w:t xml:space="preserve">is frequently a late administrative entry made within days of the decision. Restricting fossil EAs to document-stated start dates lifts their median to roughly five months, much closer to the decarbonization figure.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6" w:name="fig-duration-energy"/>
          <w:p>
            <w:pPr>
              <w:jc w:val="center"/>
            </w:pPr>
            <w:r>
              <w:drawing>
                <wp:inline>
                  <wp:extent cx="5334000" cy="436418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./output/factsheet/figures/fig_d4_duration_summary_intervals_by_energy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4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Note: Timeline duration by process and energy category. The magenta</w:t>
            </w:r>
            <w:r>
              <w:t xml:space="preserve"> </w:t>
            </w:r>
            <w:r>
              <w:t xml:space="preserve">‘</w:t>
            </w:r>
            <w:r>
              <w:t xml:space="preserve">Fossil (doc-anchored)</w:t>
            </w:r>
            <w:r>
              <w:t xml:space="preserve">’</w:t>
            </w:r>
            <w:r>
              <w:t xml:space="preserve"> </w:t>
            </w:r>
            <w:r>
              <w:t xml:space="preserve">row in the EA panel shows the corrected fossil-EA median using document-stated start dates only.</w:t>
            </w:r>
          </w:p>
          <w:bookmarkEnd w:id="46"/>
        </w:tc>
      </w:tr>
    </w:tbl>
    <w:bookmarkEnd w:id="47"/>
    <w:bookmarkStart w:id="52" w:name="duration-by-technology"/>
    <w:p>
      <w:pPr>
        <w:pStyle w:val="Heading2"/>
      </w:pPr>
      <w:r>
        <w:t xml:space="preserve">Duration by technology</w:t>
      </w:r>
    </w:p>
    <w:p>
      <w:pPr>
        <w:pStyle w:val="FirstParagraph"/>
      </w:pPr>
      <w:r>
        <w:t xml:space="preserve">Breaking durations down by technology (EA and EIS panels below; CE medians are under a month for every technology) shows the same conclusion at finer grain:</w:t>
      </w:r>
      <w:r>
        <w:t xml:space="preserve"> </w:t>
      </w:r>
      <w:r>
        <w:rPr>
          <w:bCs/>
          <w:b/>
        </w:rPr>
        <w:t xml:space="preserve">no decarbonization technology faces systematically longer reviews than its fossil counterparts within the same process.</w:t>
      </w:r>
      <w:r>
        <w:t xml:space="preserve"> </w:t>
      </w:r>
      <w:r>
        <w:t xml:space="preserve">Wind EISs sit at the high end with a long upper tail, coal EISs at a similar level; solar EISs conclude faster than the decarbonization average.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1" w:name="fig-duration-tech"/>
          <w:p>
            <w:pPr>
              <w:jc w:val="center"/>
            </w:pPr>
            <w:r>
              <w:drawing>
                <wp:inline>
                  <wp:extent cx="5334000" cy="339436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../output/factsheet/figures/fs1_duration_by_technology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94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Note: Review duration by technology and energy category, EA and EIS panels. Thin bar = 10th–90th percentile; thick bar = interquartile range; point = median; cells with fewer than 15 complete timelines suppressed. Fossil EA durations are compressed by the register start-date artifact described above.</w:t>
            </w:r>
          </w:p>
          <w:bookmarkEnd w:id="51"/>
        </w:tc>
      </w:tr>
    </w:tbl>
    <w:bookmarkEnd w:id="52"/>
    <w:bookmarkStart w:id="57" w:name="X11633a60fd383039c2831a096fc3e78c375b02e"/>
    <w:p>
      <w:pPr>
        <w:pStyle w:val="Heading2"/>
      </w:pPr>
      <w:r>
        <w:t xml:space="preserve">What Phase 1 found: programmatic reviews and solar</w:t>
      </w:r>
    </w:p>
    <w:p>
      <w:pPr>
        <w:pStyle w:val="FirstParagraph"/>
      </w:pPr>
      <w:r>
        <w:t xml:space="preserve">Two Phase 1 findings on decarbonization timelines carry forward: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Programmatic and tiered reviews remain rare but promising.</w:t>
      </w:r>
      <w:r>
        <w:t xml:space="preserve"> </w:t>
      </w:r>
      <w:r>
        <w:t xml:space="preserve">Tiered EISs — site-specific reviews that build on an umbrella programmatic review — were faster on median (593 days) than standard (1087 days) or programmatic (914 days) EISs, though samples are small. Tiered EAs took</w:t>
      </w:r>
      <w:r>
        <w:t xml:space="preserve"> </w:t>
      </w:r>
      <w:r>
        <w:rPr>
          <w:iCs/>
          <w:i/>
        </w:rPr>
        <w:t xml:space="preserve">longer</w:t>
      </w:r>
      <w:r>
        <w:t xml:space="preserve"> </w:t>
      </w:r>
      <w:r>
        <w:t xml:space="preserve">than standard EAs (734 vs. 421 days), suggesting the real efficiency gain from tiering comes when it lets an agency avoid a full EIS altogether.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Solar reviews conclude faster than decarbonization reviews generally.</w:t>
      </w:r>
      <w:r>
        <w:t xml:space="preserve"> </w:t>
      </w:r>
      <w:r>
        <w:t xml:space="preserve">On the rebuilt Phase 2 timeline, solar EISs conclude about a year faster than the all-decarbonization EIS median (~22 vs. ~34 months), replicating the Phase 1 finding on a larger sample; solar EAs run on par with decarbonization EAs (~12 months).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6" w:name="fig-solar"/>
          <w:p>
            <w:pPr>
              <w:jc w:val="center"/>
            </w:pPr>
            <w:r>
              <w:drawing>
                <wp:inline>
                  <wp:extent cx="5334000" cy="320039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output/factsheet/figures/fig_d4_solar_duration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Note: Timeline duration for solar-tagged projects. Dashed tick = the all-decarbonization median for that process. Thin bar = 10th–90th percentile; thick bar = interquartile range; point = median.</w:t>
            </w:r>
          </w:p>
          <w:bookmarkEnd w:id="56"/>
        </w:tc>
      </w:tr>
    </w:tbl>
    <w:bookmarkEnd w:id="57"/>
    <w:bookmarkStart w:id="62" w:name="reviews-by-decision-year"/>
    <w:p>
      <w:pPr>
        <w:pStyle w:val="Heading2"/>
      </w:pPr>
      <w:r>
        <w:t xml:space="preserve">Reviews by decision year</w:t>
      </w:r>
    </w:p>
    <w:p>
      <w:pPr>
        <w:pStyle w:val="FirstParagraph"/>
      </w:pPr>
      <w:r>
        <w:t xml:space="preserve">Review volume tracks federal funding cycles. CE volumes ramp up from the late 2000s (ARRA-era funding) with a second rise into the 2020s (BIL/IRA); EIS decisions lag CEs and EAs by several years, reflecting longer review cycles. The pattern is even sharper at the Department of Energy — the single largest agency in the dataset — where the ARRA and BIL/IRA grant-and-loan cycles dominate.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1" w:name="fig-by-year-doe"/>
          <w:p>
            <w:pPr>
              <w:jc w:val="center"/>
            </w:pPr>
            <w:r>
              <w:drawing>
                <wp:inline>
                  <wp:extent cx="5334000" cy="436418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output/factsheet/figures/fig_d4_projects_by_decision_year_do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4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Note: Department of Energy projects by decision year, faceted by review process.</w:t>
            </w:r>
          </w:p>
          <w:bookmarkEnd w:id="61"/>
        </w:tc>
      </w:tr>
    </w:tbl>
    <w:bookmarkEnd w:id="62"/>
    <w:bookmarkStart w:id="71" w:name="Xe4f9931eb3c261a81567b0a50a433b9b500acd1"/>
    <w:p>
      <w:pPr>
        <w:pStyle w:val="Heading2"/>
      </w:pPr>
      <w:r>
        <w:t xml:space="preserve">Before and after the Fiscal Responsibility Act</w:t>
      </w:r>
    </w:p>
    <w:p>
      <w:pPr>
        <w:pStyle w:val="FirstParagraph"/>
      </w:pPr>
      <w:r>
        <w:t xml:space="preserve">The FRA (enacted June 3, 2023) set statutory timeline targets and page limits. Two early findings, both provisional given the short post-FRA window:</w:t>
      </w:r>
    </w:p>
    <w:p>
      <w:pPr>
        <w:pStyle w:val="BodyText"/>
      </w:pPr>
      <w:r>
        <w:rPr>
          <w:bCs/>
          <w:b/>
        </w:rPr>
        <w:t xml:space="preserve">Durations have not yet measurably fallen.</w:t>
      </w:r>
      <w:r>
        <w:t xml:space="preserve"> </w:t>
      </w:r>
      <w:r>
        <w:t xml:space="preserve">Median EIS duration is essentially unchanged pre- vs. post-FRA (1,019 → 1,094 days; n = 106 post-FRA), and EA and CE medians are modestly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post-FRA — though reviews decided shortly after enactment mostly ran under pre-FRA rules, and the post-FRA sample is confounded with data-coverage timing, so this should not yet be read as evidence the FRA failed.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6" w:name="fig-fra-duration"/>
          <w:p>
            <w:pPr>
              <w:jc w:val="center"/>
            </w:pPr>
            <w:r>
              <w:drawing>
                <wp:inline>
                  <wp:extent cx="5067300" cy="281516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../output/factsheet/figures/fig_d4_fra_comparison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815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Note: Median review duration pre- vs. post-FRA (FRA enactment, June 3, 2023). Post-FRA samples are small and provisional.</w:t>
            </w:r>
          </w:p>
          <w:bookmarkEnd w:id="66"/>
        </w:tc>
      </w:tr>
    </w:tbl>
    <w:p>
      <w:pPr>
        <w:pStyle w:val="BodyText"/>
      </w:pPr>
      <w:r>
        <w:rPr>
          <w:bCs/>
          <w:b/>
        </w:rPr>
        <w:t xml:space="preserve">Documents did get shorter — at least EISs.</w:t>
      </w:r>
      <w:r>
        <w:t xml:space="preserve"> </w:t>
      </w:r>
      <w:r>
        <w:t xml:space="preserve">Mean EIS length fell from 318 to 269 regulatory pages (median 261 → 212), while EA length was essentially flat (33 → 39 pages) — EAs were already well under the 75-page limit. Against the FRA’s presumptive limits, 83% of post-FRA EAs comply with the 75-page limit; 32% of post-FRA EISs fall within the baseline 150-page limit, and 65% fall within the 300-page extraordinary-complexity ceiling.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0" w:name="fig-fra-pages"/>
          <w:p>
            <w:pPr>
              <w:jc w:val="center"/>
            </w:pPr>
            <w:r>
              <w:drawing>
                <wp:inline>
                  <wp:extent cx="4800600" cy="288036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../output/factsheet/figures/fig_d4_pages_pre_post_fra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80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Note: Mean regulatory pages pre- vs. post-FRA (bar = mean; diamond = median). Regulatory pages = body word count ÷ 500, excluding appendices and low-content pages, per 40 C.F.R. § 1508.1(bb).</w:t>
            </w:r>
          </w:p>
          <w:bookmarkEnd w:id="70"/>
        </w:tc>
      </w:tr>
    </w:tbl>
    <w:p>
      <w:pPr>
        <w:pStyle w:val="BodyText"/>
      </w:pPr>
      <w:r>
        <w:rPr>
          <w:iCs/>
          <w:i/>
        </w:rPr>
        <w:t xml:space="preserve">A parallel segmentation of durations by CEQ regulatory regime (1978 rules / 2020 rule / 2022–24 revisions / 2025 rescission) is in progress and will be added when complete.</w:t>
      </w:r>
    </w:p>
    <w:bookmarkEnd w:id="71"/>
    <w:bookmarkStart w:id="73" w:name="timeline-outliers-the-longest-reviews"/>
    <w:p>
      <w:pPr>
        <w:pStyle w:val="Heading2"/>
      </w:pPr>
      <w:r>
        <w:t xml:space="preserve">Timeline outliers: the longest reviews</w:t>
      </w:r>
    </w:p>
    <w:p>
      <w:pPr>
        <w:pStyle w:val="FirstParagraph"/>
      </w:pPr>
      <w:r>
        <w:t xml:space="preserve">The right tail matters for policy: the highest-profile NEPA controversies involve reviews measured in decades. We flagged every review longer than ~13.7 years and read the evidence behind each. The critical distinction is</w:t>
      </w:r>
      <w:r>
        <w:t xml:space="preserve"> </w:t>
      </w:r>
      <w:r>
        <w:rPr>
          <w:bCs/>
          <w:b/>
        </w:rPr>
        <w:t xml:space="preserve">real versus extraction error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EIS outliers are mostly real.</w:t>
      </w:r>
      <w:r>
        <w:t xml:space="preserve"> </w:t>
      </w:r>
      <w:r>
        <w:t xml:space="preserve">EIS median duration is already ~3 years; a 14–17-year EIS sits in the legitimate tail. Transmission, restoration, and resource-management EISs genuinely run that long.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 outliers are mostly errors.</w:t>
      </w:r>
      <w:r>
        <w:t xml:space="preserve"> </w:t>
      </w:r>
      <w:r>
        <w:t xml:space="preserve">CEs are fast determinations, so a multi-year CE almost always reflects a mis-extracted start date (typically a decades-old citation — an original land grant, a covering programmatic review — selected as the initiation). These are flagged and excluded.</w:t>
      </w:r>
    </w:p>
    <w:bookmarkStart w:id="72" w:name="tbl-outliers"/>
    <w:p>
      <w:pPr>
        <w:pStyle w:val="TableCaption"/>
      </w:pPr>
      <w:r>
        <w:t xml:space="preserve">Table 1: Genuinely long EIS reviews — case-study candidates. Confirmed extraction errors, multi-year EA/CE spans, and pre-1990 initiations (a strong error signal) excluded.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 1: Genuinely long EIS reviews — case-study candidates. Confirmed extraction errors, multi-year EA/CE spans, and pre-1990 initiations (a strong error signal) excluded."/>
      </w:tblPr>
      <w:tblGrid>
        <w:gridCol w:w="4645"/>
        <w:gridCol w:w="609"/>
        <w:gridCol w:w="533"/>
        <w:gridCol w:w="456"/>
        <w:gridCol w:w="837"/>
        <w:gridCol w:w="8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Interstate Highway 35 Capital Express Central Project Fro…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1993-03-15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2023-01-05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 Cache Creek, Yolo County, Woodland and Vicinity, Ca…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1996-05-06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2019-12-27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Land Management Plan Helena – Lewis and Clark Nation…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2021-10-15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Rawlins Resource Management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2002-02-25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2019-11-13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Mojave Route Network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2003-06-07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Clearwater National Forest Travel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2007-11-28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Pima County Multi-Species Conservation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2000-09-07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2016-01-15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Placer County Conservation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2005-03-15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2020-05-16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Roan Plateau Planning Area Resource Management P…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2000-11-16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2015-09-22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Malheur National Forest Site-Specific Invasive Plants Tre…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2000-06-26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2015-03-15</w:t>
            </w:r>
          </w:p>
        </w:tc>
      </w:tr>
    </w:tbl>
    <w:bookmarkEnd w:id="72"/>
    <w:p>
      <w:pPr>
        <w:pStyle w:val="BodyText"/>
      </w:pPr>
      <w:r>
        <w:t xml:space="preserve">The strongest case-study candidates —</w:t>
      </w:r>
      <w:r>
        <w:t xml:space="preserve"> </w:t>
      </w:r>
      <w:r>
        <w:rPr>
          <w:bCs/>
          <w:b/>
        </w:rPr>
        <w:t xml:space="preserve">SunZia Southwest Transmission</w:t>
      </w:r>
      <w:r>
        <w:t xml:space="preserve"> </w:t>
      </w:r>
      <w:r>
        <w:t xml:space="preserve">(right-of-way application September 2008 → Record of Decision April 2023),</w:t>
      </w:r>
      <w:r>
        <w:t xml:space="preserve"> </w:t>
      </w:r>
      <w:r>
        <w:rPr>
          <w:bCs/>
          <w:b/>
        </w:rPr>
        <w:t xml:space="preserve">Energia Sierra Juarez</w:t>
      </w:r>
      <w:r>
        <w:t xml:space="preserve">,</w:t>
      </w:r>
      <w:r>
        <w:t xml:space="preserve"> </w:t>
      </w:r>
      <w:r>
        <w:rPr>
          <w:bCs/>
          <w:b/>
        </w:rPr>
        <w:t xml:space="preserve">Grain Belt Express</w:t>
      </w:r>
      <w:r>
        <w:t xml:space="preserve">, and</w:t>
      </w:r>
      <w:r>
        <w:t xml:space="preserve"> </w:t>
      </w:r>
      <w:r>
        <w:rPr>
          <w:bCs/>
          <w:b/>
        </w:rPr>
        <w:t xml:space="preserve">Cushman Hydroelectric</w:t>
      </w:r>
      <w:r>
        <w:t xml:space="preserve"> </w:t>
      </w:r>
      <w:r>
        <w:t xml:space="preserve">— are exactly the protracted, multi-administration reviews that dominate the permitting-reform debate.</w:t>
      </w:r>
      <w:r>
        <w:t xml:space="preserve"> </w:t>
      </w:r>
      <w:r>
        <w:rPr>
          <w:iCs/>
          <w:i/>
        </w:rPr>
        <w:t xml:space="preserve">[Short case studies on 1–2 of these to be added by CATF if timing allows; otherwise a follow-up research product.]</w:t>
      </w:r>
    </w:p>
    <w:bookmarkEnd w:id="73"/>
    <w:bookmarkEnd w:id="74"/>
    <w:bookmarkStart w:id="75" w:name="conclusion-and-policy-implications"/>
    <w:p>
      <w:pPr>
        <w:pStyle w:val="Heading1"/>
      </w:pPr>
      <w:r>
        <w:t xml:space="preserve">Conclusion and Policy Implications</w:t>
      </w:r>
    </w:p>
    <w:p>
      <w:pPr>
        <w:pStyle w:val="FirstParagraph"/>
      </w:pPr>
      <w:r>
        <w:rPr>
          <w:bCs/>
          <w:b/>
        </w:rPr>
        <w:t xml:space="preserve">Review duration scales as expected across CE, EA, and EIS — and decarbonization projects are not being singled out for slower treatment.</w:t>
      </w:r>
      <w:r>
        <w:t xml:space="preserve"> </w:t>
      </w:r>
      <w:r>
        <w:t xml:space="preserve">The median CE takes weeks, the median EA months, and the median EIS about three years; within each process, fossil and decarbonization projects take broadly similar time. For decarbonization deployment, this reinforces a Phase 1 conclusion: because the overwhelming majority of decarbonization actions are resolved through fast CEs, reforms targeting EIS speed alone touch a small slice of the portfolio.</w:t>
      </w:r>
    </w:p>
    <w:p>
      <w:pPr>
        <w:pStyle w:val="BodyText"/>
      </w:pPr>
      <w:r>
        <w:rPr>
          <w:bCs/>
          <w:b/>
        </w:rPr>
        <w:t xml:space="preserve">It is too early to see the FRA’s timeline reforms in the duration data — but document length is already responding.</w:t>
      </w:r>
      <w:r>
        <w:t xml:space="preserve"> </w:t>
      </w:r>
      <w:r>
        <w:t xml:space="preserve">EIS page counts dropped meaningfully post-FRA while durations held steady. Whether shorter documents eventually translate into shorter reviews is a question the data can answer in another year or two of decisions.</w:t>
      </w:r>
      <w:r>
        <w:t xml:space="preserve"> </w:t>
      </w:r>
      <w:r>
        <w:rPr>
          <w:iCs/>
          <w:i/>
        </w:rPr>
        <w:t xml:space="preserve">[Findings from the CEQ-regulatory-regime segmentation to be added once that analysis is complete.]</w:t>
      </w:r>
    </w:p>
    <w:p>
      <w:pPr>
        <w:pStyle w:val="BodyText"/>
      </w:pPr>
      <w:r>
        <w:rPr>
          <w:bCs/>
          <w:b/>
        </w:rPr>
        <w:t xml:space="preserve">The single highest-value reform for understanding NEPA timelines is better data.</w:t>
      </w:r>
      <w:r>
        <w:t xml:space="preserve"> </w:t>
      </w:r>
      <w:r>
        <w:t xml:space="preserve">Every date in this analysis had to be recovered from document text or agency registers because no federal system records when reviews begin and end — and structural gaps (missing Records of Decision, unrecorded CE/EA start dates) cap what any extraction method can achieve. Agency adoption of the</w:t>
      </w:r>
      <w:r>
        <w:t xml:space="preserve"> </w:t>
      </w:r>
      <w:r>
        <w:rPr>
          <w:bCs/>
          <w:b/>
        </w:rPr>
        <w:t xml:space="preserve">CEQ NEPA and Permitting Data and Technology Standard</w:t>
      </w:r>
      <w:r>
        <w:t xml:space="preserve"> </w:t>
      </w:r>
      <w:r>
        <w:t xml:space="preserve">— recording initiation, milestones, and decision dates as structured metadata — would make complete, real-time timeline accountability possible not just for researchers but for the agencies themselves.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Data: NEPATEC 2.0 (61,881 projects). Methods and full results:</w:t>
      </w:r>
      <w:r>
        <w:rPr>
          <w:iCs/>
          <w:i/>
        </w:rPr>
        <w:t xml:space="preserve"> </w:t>
      </w:r>
      <w:hyperlink r:id="rId25">
        <w:r>
          <w:rPr>
            <w:rStyle w:val="Hyperlink"/>
            <w:iCs/>
            <w:i/>
          </w:rPr>
          <w:t xml:space="preserve">Phase 2 Deliverable 4</w:t>
        </w:r>
      </w:hyperlink>
      <w:r>
        <w:rPr>
          <w:iCs/>
          <w:i/>
        </w:rPr>
        <w:t xml:space="preserve">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9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1216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12169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47BB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58" Target="media/rId58.png" /><Relationship Type="http://schemas.openxmlformats.org/officeDocument/2006/relationships/image" Id="rId53" Target="media/rId53.png" /><Relationship Type="http://schemas.openxmlformats.org/officeDocument/2006/relationships/image" Id="rId34" Target="media/rId34.png" /><Relationship Type="http://schemas.openxmlformats.org/officeDocument/2006/relationships/image" Id="rId48" Target="media/rId48.png" /><Relationship Type="http://schemas.openxmlformats.org/officeDocument/2006/relationships/image" Id="rId20" Target="media/rId20.png" /><Relationship Type="http://schemas.openxmlformats.org/officeDocument/2006/relationships/hyperlink" Id="rId25" Target="https://www.kaseyzapatka.com/nepa/phase2/reports/deliverable04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kaseyzapatka.com/nepa/phase2/reports/deliverable04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Long Do NEPA Reviews Take?</dc:title>
  <dc:creator/>
  <cp:keywords/>
  <dcterms:created xsi:type="dcterms:W3CDTF">2026-07-25T03:08:12Z</dcterms:created>
  <dcterms:modified xsi:type="dcterms:W3CDTF">2026-07-25T03:08:12Z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July 24, 2026</vt:lpwstr>
  </property>
  <property fmtid="{D5CDD505-2E9C-101B-9397-08002B2CF9AE}" pid="4" name="date-format">
    <vt:lpwstr>long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NEPA by the Numbers — Fact Sheet 1: Review Timelines</vt:lpwstr>
  </property>
  <property fmtid="{D5CDD505-2E9C-101B-9397-08002B2CF9AE}" pid="11" name="toc-title">
    <vt:lpwstr>Table of contents</vt:lpwstr>
  </property>
</Properties>
</file>